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default" w:ascii="Times New Roman" w:hAnsi="Times New Roman" w:eastAsia="仿宋_GB2312" w:cs="Times New Roman"/>
          <w:color w:val="auto"/>
          <w:sz w:val="36"/>
          <w:szCs w:val="36"/>
        </w:rPr>
      </w:pPr>
      <w:bookmarkStart w:id="0" w:name="_Hlk57883707"/>
    </w:p>
    <w:p>
      <w:pPr>
        <w:rPr>
          <w:rFonts w:hint="default" w:ascii="Times New Roman" w:hAnsi="Times New Roman" w:eastAsia="仿宋_GB2312" w:cs="Times New Roman"/>
          <w:color w:val="auto"/>
          <w:sz w:val="36"/>
          <w:szCs w:val="36"/>
        </w:rPr>
      </w:pPr>
    </w:p>
    <w:p>
      <w:pPr>
        <w:rPr>
          <w:rFonts w:hint="default" w:ascii="Times New Roman" w:hAnsi="Times New Roman" w:eastAsia="仿宋_GB2312" w:cs="Times New Roman"/>
          <w:color w:val="auto"/>
          <w:sz w:val="36"/>
          <w:szCs w:val="36"/>
        </w:rPr>
      </w:pPr>
    </w:p>
    <w:p>
      <w:pPr>
        <w:rPr>
          <w:rFonts w:hint="default" w:ascii="Times New Roman" w:hAnsi="Times New Roman" w:eastAsia="仿宋_GB2312" w:cs="Times New Roman"/>
          <w:color w:val="auto"/>
          <w:sz w:val="36"/>
          <w:szCs w:val="36"/>
        </w:rPr>
      </w:pPr>
    </w:p>
    <w:bookmarkEnd w:id="0"/>
    <w:p>
      <w:pPr>
        <w:adjustRightInd w:val="0"/>
        <w:snapToGrid w:val="0"/>
        <w:jc w:val="center"/>
        <w:outlineLvl w:val="0"/>
        <w:rPr>
          <w:rFonts w:hint="default" w:ascii="Times New Roman" w:hAnsi="Times New Roman" w:eastAsia="方正小标宋_GBK" w:cs="Times New Roman"/>
          <w:bCs/>
          <w:color w:val="auto"/>
          <w:sz w:val="72"/>
          <w:szCs w:val="72"/>
        </w:rPr>
      </w:pPr>
      <w:r>
        <w:rPr>
          <w:rFonts w:hint="default" w:ascii="Times New Roman" w:hAnsi="Times New Roman" w:eastAsia="方正小标宋_GBK" w:cs="Times New Roman"/>
          <w:bCs/>
          <w:color w:val="auto"/>
          <w:sz w:val="72"/>
          <w:szCs w:val="72"/>
        </w:rPr>
        <w:t>建设项目环境影响报告表</w:t>
      </w:r>
    </w:p>
    <w:p>
      <w:pPr>
        <w:adjustRightInd w:val="0"/>
        <w:snapToGrid w:val="0"/>
        <w:spacing w:before="192" w:beforeLines="80"/>
        <w:jc w:val="center"/>
        <w:rPr>
          <w:rFonts w:hint="default" w:ascii="Times New Roman" w:hAnsi="Times New Roman" w:eastAsia="楷体_GB2312" w:cs="Times New Roman"/>
          <w:bCs/>
          <w:color w:val="auto"/>
          <w:sz w:val="48"/>
          <w:szCs w:val="48"/>
        </w:rPr>
      </w:pPr>
      <w:r>
        <w:rPr>
          <w:rFonts w:hint="default" w:ascii="Times New Roman" w:hAnsi="Times New Roman" w:eastAsia="楷体_GB2312" w:cs="Times New Roman"/>
          <w:bCs/>
          <w:color w:val="auto"/>
          <w:sz w:val="48"/>
          <w:szCs w:val="48"/>
        </w:rPr>
        <w:t>（生态影响类）</w:t>
      </w:r>
    </w:p>
    <w:p>
      <w:pPr>
        <w:adjustRightInd w:val="0"/>
        <w:snapToGrid w:val="0"/>
        <w:spacing w:line="288" w:lineRule="auto"/>
        <w:jc w:val="center"/>
        <w:rPr>
          <w:rFonts w:hint="default" w:ascii="Times New Roman" w:hAnsi="Times New Roman" w:eastAsia="华文仿宋" w:cs="Times New Roman"/>
          <w:color w:val="auto"/>
          <w:kern w:val="44"/>
          <w:sz w:val="52"/>
          <w:szCs w:val="52"/>
        </w:rPr>
      </w:pPr>
      <w:bookmarkStart w:id="1" w:name="_Hlk57883728"/>
    </w:p>
    <w:p>
      <w:pPr>
        <w:jc w:val="center"/>
        <w:rPr>
          <w:rFonts w:hint="default" w:ascii="Times New Roman" w:hAnsi="Times New Roman" w:eastAsia="仿宋" w:cs="Times New Roman"/>
          <w:color w:val="auto"/>
          <w:sz w:val="52"/>
          <w:szCs w:val="52"/>
          <w:lang w:eastAsia="zh-CN"/>
        </w:rPr>
      </w:pPr>
      <w:r>
        <w:rPr>
          <w:rFonts w:hint="default" w:ascii="Times New Roman" w:hAnsi="Times New Roman" w:eastAsia="仿宋" w:cs="Times New Roman"/>
          <w:color w:val="auto"/>
          <w:sz w:val="52"/>
          <w:szCs w:val="52"/>
          <w:lang w:eastAsia="zh-CN"/>
        </w:rPr>
        <w:t>（</w:t>
      </w:r>
      <w:r>
        <w:rPr>
          <w:rFonts w:hint="eastAsia" w:eastAsia="仿宋" w:cs="Times New Roman"/>
          <w:color w:val="auto"/>
          <w:sz w:val="52"/>
          <w:szCs w:val="52"/>
          <w:lang w:val="en-US" w:eastAsia="zh-CN"/>
        </w:rPr>
        <w:t>公示</w:t>
      </w:r>
      <w:r>
        <w:rPr>
          <w:rFonts w:hint="default" w:ascii="Times New Roman" w:hAnsi="Times New Roman" w:eastAsia="仿宋" w:cs="Times New Roman"/>
          <w:color w:val="auto"/>
          <w:sz w:val="52"/>
          <w:szCs w:val="52"/>
          <w:lang w:val="en-US" w:eastAsia="zh-CN"/>
        </w:rPr>
        <w:t>版</w:t>
      </w:r>
      <w:r>
        <w:rPr>
          <w:rFonts w:hint="default" w:ascii="Times New Roman" w:hAnsi="Times New Roman" w:eastAsia="仿宋" w:cs="Times New Roman"/>
          <w:color w:val="auto"/>
          <w:sz w:val="52"/>
          <w:szCs w:val="52"/>
          <w:lang w:eastAsia="zh-CN"/>
        </w:rPr>
        <w:t>）</w:t>
      </w:r>
    </w:p>
    <w:p>
      <w:pPr>
        <w:ind w:firstLine="1040"/>
        <w:rPr>
          <w:rFonts w:hint="default" w:ascii="Times New Roman" w:hAnsi="Times New Roman" w:eastAsia="仿宋" w:cs="Times New Roman"/>
          <w:color w:val="auto"/>
          <w:sz w:val="52"/>
          <w:szCs w:val="52"/>
        </w:rPr>
      </w:pPr>
    </w:p>
    <w:p>
      <w:pPr>
        <w:ind w:firstLine="1040"/>
        <w:rPr>
          <w:rFonts w:hint="default" w:ascii="Times New Roman" w:hAnsi="Times New Roman" w:eastAsia="仿宋" w:cs="Times New Roman"/>
          <w:color w:val="auto"/>
          <w:sz w:val="52"/>
          <w:szCs w:val="52"/>
        </w:rPr>
      </w:pPr>
    </w:p>
    <w:p>
      <w:pPr>
        <w:ind w:firstLine="1040"/>
        <w:rPr>
          <w:rFonts w:hint="default" w:ascii="Times New Roman" w:hAnsi="Times New Roman" w:eastAsia="仿宋" w:cs="Times New Roman"/>
          <w:color w:val="auto"/>
          <w:sz w:val="52"/>
          <w:szCs w:val="52"/>
        </w:rPr>
      </w:pPr>
    </w:p>
    <w:p>
      <w:pPr>
        <w:ind w:firstLine="1040"/>
        <w:rPr>
          <w:rFonts w:hint="default" w:ascii="Times New Roman" w:hAnsi="Times New Roman" w:eastAsia="仿宋" w:cs="Times New Roman"/>
          <w:color w:val="auto"/>
          <w:sz w:val="52"/>
          <w:szCs w:val="52"/>
        </w:rPr>
      </w:pPr>
    </w:p>
    <w:bookmarkEnd w:id="1"/>
    <w:p>
      <w:pPr>
        <w:adjustRightInd w:val="0"/>
        <w:snapToGrid w:val="0"/>
        <w:spacing w:line="288" w:lineRule="auto"/>
        <w:ind w:left="1800" w:hanging="1800" w:hangingChars="500"/>
        <w:rPr>
          <w:rFonts w:hint="default" w:ascii="Times New Roman" w:hAnsi="Times New Roman" w:eastAsia="仿宋_GB2312" w:cs="Times New Roman"/>
          <w:color w:val="auto"/>
          <w:sz w:val="36"/>
          <w:szCs w:val="36"/>
          <w:u w:val="single"/>
        </w:rPr>
      </w:pPr>
      <w:r>
        <w:rPr>
          <w:rFonts w:hint="default" w:ascii="Times New Roman" w:hAnsi="Times New Roman" w:eastAsia="仿宋_GB2312" w:cs="Times New Roman"/>
          <w:color w:val="auto"/>
          <w:sz w:val="36"/>
          <w:szCs w:val="36"/>
        </w:rPr>
        <w:t>项目名称：</w:t>
      </w:r>
      <w:r>
        <w:rPr>
          <w:rFonts w:hint="default" w:ascii="Times New Roman" w:hAnsi="Times New Roman" w:eastAsia="仿宋_GB2312" w:cs="Times New Roman"/>
          <w:color w:val="auto"/>
          <w:sz w:val="36"/>
          <w:szCs w:val="36"/>
          <w:u w:val="single"/>
        </w:rPr>
        <w:t xml:space="preserve">           </w:t>
      </w:r>
      <w:r>
        <w:rPr>
          <w:rFonts w:hint="eastAsia" w:eastAsia="仿宋_GB2312" w:cs="Times New Roman"/>
          <w:color w:val="auto"/>
          <w:sz w:val="36"/>
          <w:szCs w:val="36"/>
          <w:u w:val="single"/>
          <w:lang w:eastAsia="zh-CN"/>
        </w:rPr>
        <w:t>普陆12HF井工程</w:t>
      </w:r>
      <w:r>
        <w:rPr>
          <w:rFonts w:hint="default" w:ascii="Times New Roman" w:hAnsi="Times New Roman" w:eastAsia="仿宋_GB2312" w:cs="Times New Roman"/>
          <w:color w:val="auto"/>
          <w:sz w:val="36"/>
          <w:szCs w:val="36"/>
          <w:u w:val="single"/>
        </w:rPr>
        <w:t xml:space="preserve">          </w:t>
      </w:r>
    </w:p>
    <w:p>
      <w:pPr>
        <w:adjustRightInd w:val="0"/>
        <w:snapToGrid w:val="0"/>
        <w:spacing w:line="288" w:lineRule="auto"/>
        <w:ind w:left="1800" w:hanging="1800" w:hangingChars="500"/>
        <w:rPr>
          <w:rFonts w:hint="default" w:ascii="Times New Roman" w:hAnsi="Times New Roman" w:eastAsia="仿宋_GB2312" w:cs="Times New Roman"/>
          <w:color w:val="auto"/>
          <w:sz w:val="36"/>
          <w:szCs w:val="36"/>
          <w:u w:val="single"/>
        </w:rPr>
      </w:pPr>
      <w:r>
        <w:rPr>
          <w:rFonts w:hint="default" w:ascii="Times New Roman" w:hAnsi="Times New Roman" w:eastAsia="仿宋_GB2312" w:cs="Times New Roman"/>
          <w:color w:val="auto"/>
          <w:sz w:val="36"/>
          <w:szCs w:val="36"/>
        </w:rPr>
        <w:t>建设单位：</w:t>
      </w:r>
      <w:bookmarkStart w:id="2" w:name="_Hlk66954754"/>
      <w:r>
        <w:rPr>
          <w:rFonts w:hint="default" w:ascii="Times New Roman" w:hAnsi="Times New Roman" w:eastAsia="仿宋_GB2312" w:cs="Times New Roman"/>
          <w:color w:val="auto"/>
          <w:sz w:val="32"/>
          <w:szCs w:val="32"/>
          <w:u w:val="single"/>
        </w:rPr>
        <w:t>中国石油化工股份有限公司中原油田普光分公司</w:t>
      </w:r>
    </w:p>
    <w:bookmarkEnd w:id="2"/>
    <w:p>
      <w:pPr>
        <w:adjustRightInd w:val="0"/>
        <w:snapToGrid w:val="0"/>
        <w:spacing w:line="288" w:lineRule="auto"/>
        <w:ind w:left="1800" w:hanging="1800" w:hangingChars="500"/>
        <w:rPr>
          <w:rFonts w:hint="default" w:ascii="Times New Roman" w:hAnsi="Times New Roman" w:eastAsia="仿宋_GB2312" w:cs="Times New Roman"/>
          <w:color w:val="auto"/>
          <w:sz w:val="36"/>
          <w:szCs w:val="36"/>
          <w:u w:val="single"/>
        </w:rPr>
      </w:pPr>
      <w:r>
        <w:rPr>
          <w:rFonts w:hint="default" w:ascii="Times New Roman" w:hAnsi="Times New Roman" w:eastAsia="仿宋_GB2312" w:cs="Times New Roman"/>
          <w:color w:val="auto"/>
          <w:sz w:val="36"/>
          <w:szCs w:val="36"/>
        </w:rPr>
        <w:t>编制日期：</w:t>
      </w:r>
      <w:r>
        <w:rPr>
          <w:rFonts w:hint="default" w:ascii="Times New Roman" w:hAnsi="Times New Roman" w:eastAsia="仿宋_GB2312" w:cs="Times New Roman"/>
          <w:color w:val="auto"/>
          <w:sz w:val="36"/>
          <w:szCs w:val="36"/>
          <w:u w:val="single"/>
        </w:rPr>
        <w:t xml:space="preserve">            2024年</w:t>
      </w:r>
      <w:r>
        <w:rPr>
          <w:rFonts w:hint="eastAsia" w:eastAsia="仿宋_GB2312" w:cs="Times New Roman"/>
          <w:color w:val="auto"/>
          <w:sz w:val="36"/>
          <w:szCs w:val="36"/>
          <w:u w:val="single"/>
          <w:lang w:val="en-US" w:eastAsia="zh-CN"/>
        </w:rPr>
        <w:t>12</w:t>
      </w:r>
      <w:r>
        <w:rPr>
          <w:rFonts w:hint="default" w:ascii="Times New Roman" w:hAnsi="Times New Roman" w:eastAsia="仿宋_GB2312" w:cs="Times New Roman"/>
          <w:color w:val="auto"/>
          <w:sz w:val="36"/>
          <w:szCs w:val="36"/>
          <w:u w:val="single"/>
        </w:rPr>
        <w:t xml:space="preserve">月           </w:t>
      </w:r>
    </w:p>
    <w:p>
      <w:pPr>
        <w:adjustRightInd w:val="0"/>
        <w:snapToGrid w:val="0"/>
        <w:spacing w:line="288" w:lineRule="auto"/>
        <w:ind w:firstLine="1040"/>
        <w:rPr>
          <w:rFonts w:hint="default" w:ascii="Times New Roman" w:hAnsi="Times New Roman" w:eastAsia="仿宋_GB2312" w:cs="Times New Roman"/>
          <w:color w:val="auto"/>
          <w:sz w:val="36"/>
          <w:szCs w:val="36"/>
          <w:u w:val="single"/>
        </w:rPr>
      </w:pPr>
    </w:p>
    <w:p>
      <w:pPr>
        <w:adjustRightInd w:val="0"/>
        <w:snapToGrid w:val="0"/>
        <w:spacing w:line="288" w:lineRule="auto"/>
        <w:ind w:firstLine="1040"/>
        <w:rPr>
          <w:rFonts w:hint="default" w:ascii="Times New Roman" w:hAnsi="Times New Roman" w:eastAsia="仿宋_GB2312" w:cs="Times New Roman"/>
          <w:color w:val="auto"/>
          <w:sz w:val="36"/>
          <w:szCs w:val="36"/>
        </w:rPr>
      </w:pPr>
    </w:p>
    <w:p>
      <w:pPr>
        <w:adjustRightInd w:val="0"/>
        <w:snapToGrid w:val="0"/>
        <w:spacing w:line="288" w:lineRule="auto"/>
        <w:ind w:firstLine="1040"/>
        <w:rPr>
          <w:rFonts w:hint="default" w:ascii="Times New Roman" w:hAnsi="Times New Roman" w:eastAsia="仿宋_GB2312" w:cs="Times New Roman"/>
          <w:color w:val="auto"/>
          <w:sz w:val="36"/>
          <w:szCs w:val="36"/>
        </w:rPr>
      </w:pPr>
    </w:p>
    <w:p>
      <w:pPr>
        <w:adjustRightInd w:val="0"/>
        <w:snapToGrid w:val="0"/>
        <w:spacing w:line="288" w:lineRule="auto"/>
        <w:ind w:firstLine="1040"/>
        <w:rPr>
          <w:rFonts w:hint="default" w:ascii="Times New Roman" w:hAnsi="Times New Roman" w:eastAsia="仿宋_GB2312" w:cs="Times New Roman"/>
          <w:color w:val="auto"/>
          <w:sz w:val="36"/>
          <w:szCs w:val="36"/>
        </w:rPr>
      </w:pPr>
    </w:p>
    <w:p>
      <w:pPr>
        <w:adjustRightInd w:val="0"/>
        <w:snapToGrid w:val="0"/>
        <w:spacing w:line="288" w:lineRule="auto"/>
        <w:ind w:firstLine="1040"/>
        <w:rPr>
          <w:rFonts w:hint="default" w:ascii="Times New Roman" w:hAnsi="Times New Roman" w:eastAsia="仿宋_GB2312" w:cs="Times New Roman"/>
          <w:color w:val="auto"/>
          <w:sz w:val="36"/>
          <w:szCs w:val="36"/>
        </w:rPr>
      </w:pPr>
    </w:p>
    <w:p>
      <w:pPr>
        <w:adjustRightInd w:val="0"/>
        <w:snapToGrid w:val="0"/>
        <w:spacing w:line="288" w:lineRule="auto"/>
        <w:jc w:val="center"/>
        <w:rPr>
          <w:rFonts w:hint="default" w:ascii="Times New Roman" w:hAnsi="Times New Roman" w:eastAsia="楷体_GB2312" w:cs="Times New Roman"/>
          <w:color w:val="auto"/>
          <w:sz w:val="36"/>
          <w:szCs w:val="36"/>
        </w:rPr>
      </w:pPr>
      <w:r>
        <w:rPr>
          <w:rFonts w:hint="default" w:ascii="Times New Roman" w:hAnsi="Times New Roman" w:eastAsia="楷体_GB2312" w:cs="Times New Roman"/>
          <w:color w:val="auto"/>
          <w:sz w:val="36"/>
          <w:szCs w:val="36"/>
        </w:rPr>
        <w:t>中华人民共和国生态环境部制</w:t>
      </w:r>
    </w:p>
    <w:p>
      <w:pPr>
        <w:adjustRightInd w:val="0"/>
        <w:snapToGrid w:val="0"/>
        <w:spacing w:line="288" w:lineRule="auto"/>
        <w:ind w:firstLine="1040"/>
        <w:rPr>
          <w:rFonts w:hint="default" w:ascii="Times New Roman" w:hAnsi="Times New Roman" w:eastAsia="仿宋_GB2312" w:cs="Times New Roman"/>
          <w:color w:val="auto"/>
          <w:szCs w:val="21"/>
        </w:rPr>
        <w:sectPr>
          <w:footerReference r:id="rId3" w:type="default"/>
          <w:footerReference r:id="rId4" w:type="even"/>
          <w:pgSz w:w="11906" w:h="16838"/>
          <w:pgMar w:top="1417" w:right="1417" w:bottom="1417" w:left="1701" w:header="851" w:footer="1077" w:gutter="0"/>
          <w:pgBorders>
            <w:top w:val="none" w:sz="0" w:space="0"/>
            <w:left w:val="none" w:sz="0" w:space="0"/>
            <w:bottom w:val="none" w:sz="0" w:space="0"/>
            <w:right w:val="none" w:sz="0" w:space="0"/>
          </w:pgBorders>
          <w:pgNumType w:start="1"/>
          <w:cols w:space="720" w:num="1"/>
          <w:docGrid w:linePitch="312" w:charSpace="0"/>
        </w:sectPr>
      </w:pPr>
    </w:p>
    <w:p>
      <w:pPr>
        <w:pStyle w:val="38"/>
        <w:jc w:val="center"/>
        <w:outlineLvl w:val="0"/>
        <w:rPr>
          <w:rFonts w:hint="default" w:ascii="Times New Roman" w:hAnsi="Times New Roman" w:eastAsia="黑体" w:cs="Times New Roman"/>
          <w:snapToGrid w:val="0"/>
          <w:color w:val="auto"/>
          <w:sz w:val="30"/>
          <w:szCs w:val="30"/>
        </w:rPr>
      </w:pPr>
      <w:r>
        <w:rPr>
          <w:rFonts w:hint="default" w:ascii="Times New Roman" w:hAnsi="Times New Roman" w:eastAsia="黑体" w:cs="Times New Roman"/>
          <w:snapToGrid w:val="0"/>
          <w:color w:val="auto"/>
          <w:sz w:val="30"/>
          <w:szCs w:val="30"/>
        </w:rPr>
        <w:t>一、建设项目基本情况</w:t>
      </w:r>
    </w:p>
    <w:tbl>
      <w:tblPr>
        <w:tblStyle w:val="44"/>
        <w:tblW w:w="8789" w:type="dxa"/>
        <w:tblInd w:w="16"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883"/>
        <w:gridCol w:w="3386"/>
        <w:gridCol w:w="1968"/>
        <w:gridCol w:w="255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trPr>
        <w:tc>
          <w:tcPr>
            <w:tcW w:w="883"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建设项目名称</w:t>
            </w:r>
          </w:p>
        </w:tc>
        <w:tc>
          <w:tcPr>
            <w:tcW w:w="7906" w:type="dxa"/>
            <w:gridSpan w:val="3"/>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eastAsia" w:cs="Times New Roman"/>
                <w:color w:val="auto"/>
                <w:szCs w:val="21"/>
                <w:lang w:eastAsia="zh-CN"/>
              </w:rPr>
              <w:t>普陆12HF井工程</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883"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项目代码</w:t>
            </w:r>
          </w:p>
        </w:tc>
        <w:tc>
          <w:tcPr>
            <w:tcW w:w="7906" w:type="dxa"/>
            <w:gridSpan w:val="3"/>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trPr>
        <w:tc>
          <w:tcPr>
            <w:tcW w:w="883"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建设单位联系人</w:t>
            </w:r>
          </w:p>
        </w:tc>
        <w:tc>
          <w:tcPr>
            <w:tcW w:w="3386"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贺贤伟</w:t>
            </w:r>
          </w:p>
        </w:tc>
        <w:tc>
          <w:tcPr>
            <w:tcW w:w="1968"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联系方式</w:t>
            </w:r>
          </w:p>
        </w:tc>
        <w:tc>
          <w:tcPr>
            <w:tcW w:w="255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0818-</w:t>
            </w:r>
            <w:r>
              <w:rPr>
                <w:rFonts w:hint="eastAsia" w:cs="Times New Roman"/>
                <w:color w:val="auto"/>
                <w:szCs w:val="21"/>
                <w:lang w:val="en-US" w:eastAsia="zh-CN"/>
              </w:rPr>
              <w:t>****</w:t>
            </w:r>
            <w:r>
              <w:rPr>
                <w:rFonts w:hint="default" w:ascii="Times New Roman" w:hAnsi="Times New Roman" w:cs="Times New Roman"/>
                <w:color w:val="auto"/>
                <w:szCs w:val="21"/>
              </w:rPr>
              <w:t>9</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trPr>
        <w:tc>
          <w:tcPr>
            <w:tcW w:w="883"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建设地点</w:t>
            </w:r>
          </w:p>
        </w:tc>
        <w:tc>
          <w:tcPr>
            <w:tcW w:w="7906" w:type="dxa"/>
            <w:gridSpan w:val="3"/>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u w:val="single"/>
              </w:rPr>
              <w:t xml:space="preserve">四川 </w:t>
            </w:r>
            <w:r>
              <w:rPr>
                <w:rFonts w:hint="default" w:ascii="Times New Roman" w:hAnsi="Times New Roman" w:cs="Times New Roman"/>
                <w:color w:val="auto"/>
                <w:szCs w:val="21"/>
              </w:rPr>
              <w:t>省</w:t>
            </w:r>
            <w:r>
              <w:rPr>
                <w:rFonts w:hint="default" w:ascii="Times New Roman" w:hAnsi="Times New Roman" w:cs="Times New Roman"/>
                <w:color w:val="auto"/>
                <w:szCs w:val="21"/>
                <w:u w:val="single"/>
              </w:rPr>
              <w:t xml:space="preserve"> 达州 </w:t>
            </w:r>
            <w:r>
              <w:rPr>
                <w:rFonts w:hint="default" w:ascii="Times New Roman" w:hAnsi="Times New Roman" w:cs="Times New Roman"/>
                <w:color w:val="auto"/>
                <w:szCs w:val="21"/>
              </w:rPr>
              <w:t>市</w:t>
            </w:r>
            <w:r>
              <w:rPr>
                <w:rFonts w:hint="default" w:ascii="Times New Roman" w:hAnsi="Times New Roman" w:cs="Times New Roman"/>
                <w:color w:val="auto"/>
                <w:szCs w:val="21"/>
                <w:u w:val="single"/>
              </w:rPr>
              <w:t xml:space="preserve"> 宣汉 </w:t>
            </w:r>
            <w:r>
              <w:rPr>
                <w:rFonts w:hint="default" w:ascii="Times New Roman" w:hAnsi="Times New Roman" w:cs="Times New Roman"/>
                <w:color w:val="auto"/>
                <w:szCs w:val="21"/>
              </w:rPr>
              <w:t>县</w:t>
            </w:r>
            <w:r>
              <w:rPr>
                <w:rFonts w:hint="default" w:ascii="Times New Roman" w:hAnsi="Times New Roman" w:cs="Times New Roman"/>
                <w:color w:val="auto"/>
                <w:szCs w:val="21"/>
                <w:u w:val="single"/>
              </w:rPr>
              <w:t xml:space="preserve"> </w:t>
            </w:r>
            <w:r>
              <w:rPr>
                <w:rFonts w:hint="eastAsia" w:cs="Times New Roman"/>
                <w:color w:val="auto"/>
                <w:szCs w:val="21"/>
                <w:u w:val="single"/>
                <w:lang w:eastAsia="zh-CN"/>
              </w:rPr>
              <w:t>普光镇</w:t>
            </w:r>
            <w:r>
              <w:rPr>
                <w:rFonts w:hint="default" w:ascii="Times New Roman" w:hAnsi="Times New Roman" w:cs="Times New Roman"/>
                <w:color w:val="auto"/>
                <w:szCs w:val="21"/>
                <w:u w:val="single"/>
              </w:rPr>
              <w:t xml:space="preserve">  双河社区石垭村1组 </w:t>
            </w:r>
            <w:r>
              <w:rPr>
                <w:rFonts w:hint="default" w:ascii="Times New Roman" w:hAnsi="Times New Roman" w:cs="Times New Roman"/>
                <w:color w:val="auto"/>
                <w:szCs w:val="21"/>
              </w:rPr>
              <w:t xml:space="preserve">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trPr>
        <w:tc>
          <w:tcPr>
            <w:tcW w:w="883"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地理坐标</w:t>
            </w:r>
          </w:p>
        </w:tc>
        <w:tc>
          <w:tcPr>
            <w:tcW w:w="7906" w:type="dxa"/>
            <w:gridSpan w:val="3"/>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r>
              <w:rPr>
                <w:rFonts w:hint="default" w:ascii="Times New Roman" w:hAnsi="Times New Roman" w:cs="Times New Roman"/>
                <w:color w:val="auto"/>
                <w:szCs w:val="21"/>
                <w:u w:val="single"/>
              </w:rPr>
              <w:t>107</w:t>
            </w:r>
            <w:r>
              <w:rPr>
                <w:rFonts w:hint="default" w:ascii="Times New Roman" w:hAnsi="Times New Roman" w:cs="Times New Roman"/>
                <w:color w:val="auto"/>
                <w:szCs w:val="21"/>
              </w:rPr>
              <w:t>度</w:t>
            </w:r>
            <w:r>
              <w:rPr>
                <w:rFonts w:hint="default" w:ascii="Times New Roman" w:hAnsi="Times New Roman" w:cs="Times New Roman"/>
                <w:color w:val="auto"/>
                <w:szCs w:val="21"/>
                <w:u w:val="single"/>
              </w:rPr>
              <w:t xml:space="preserve"> 36 </w:t>
            </w:r>
            <w:r>
              <w:rPr>
                <w:rFonts w:hint="default" w:ascii="Times New Roman" w:hAnsi="Times New Roman" w:cs="Times New Roman"/>
                <w:color w:val="auto"/>
                <w:szCs w:val="21"/>
              </w:rPr>
              <w:t>分</w:t>
            </w:r>
            <w:r>
              <w:rPr>
                <w:rFonts w:hint="default" w:ascii="Times New Roman" w:hAnsi="Times New Roman" w:cs="Times New Roman"/>
                <w:color w:val="auto"/>
                <w:szCs w:val="21"/>
                <w:u w:val="single"/>
              </w:rPr>
              <w:t xml:space="preserve"> </w:t>
            </w:r>
            <w:r>
              <w:rPr>
                <w:rFonts w:hint="eastAsia" w:cs="Times New Roman"/>
                <w:color w:val="auto"/>
                <w:szCs w:val="21"/>
                <w:u w:val="single"/>
                <w:lang w:val="en-US" w:eastAsia="zh-CN"/>
              </w:rPr>
              <w:t>***</w:t>
            </w:r>
            <w:r>
              <w:rPr>
                <w:rFonts w:hint="default" w:ascii="Times New Roman" w:hAnsi="Times New Roman" w:cs="Times New Roman"/>
                <w:color w:val="auto"/>
                <w:szCs w:val="21"/>
                <w:u w:val="single"/>
              </w:rPr>
              <w:t xml:space="preserve"> </w:t>
            </w:r>
            <w:r>
              <w:rPr>
                <w:rFonts w:hint="default" w:ascii="Times New Roman" w:hAnsi="Times New Roman" w:cs="Times New Roman"/>
                <w:color w:val="auto"/>
                <w:szCs w:val="21"/>
              </w:rPr>
              <w:t>秒，</w:t>
            </w:r>
            <w:r>
              <w:rPr>
                <w:rFonts w:hint="default" w:ascii="Times New Roman" w:hAnsi="Times New Roman" w:cs="Times New Roman"/>
                <w:color w:val="auto"/>
                <w:szCs w:val="21"/>
                <w:u w:val="single"/>
              </w:rPr>
              <w:t xml:space="preserve"> 31 </w:t>
            </w:r>
            <w:r>
              <w:rPr>
                <w:rFonts w:hint="default" w:ascii="Times New Roman" w:hAnsi="Times New Roman" w:cs="Times New Roman"/>
                <w:color w:val="auto"/>
                <w:szCs w:val="21"/>
              </w:rPr>
              <w:t>度</w:t>
            </w:r>
            <w:r>
              <w:rPr>
                <w:rFonts w:hint="default" w:ascii="Times New Roman" w:hAnsi="Times New Roman" w:cs="Times New Roman"/>
                <w:color w:val="auto"/>
                <w:szCs w:val="21"/>
                <w:u w:val="single"/>
              </w:rPr>
              <w:t xml:space="preserve"> 33 </w:t>
            </w:r>
            <w:r>
              <w:rPr>
                <w:rFonts w:hint="default" w:ascii="Times New Roman" w:hAnsi="Times New Roman" w:cs="Times New Roman"/>
                <w:color w:val="auto"/>
                <w:szCs w:val="21"/>
              </w:rPr>
              <w:t>分</w:t>
            </w:r>
            <w:r>
              <w:rPr>
                <w:rFonts w:hint="eastAsia" w:cs="Times New Roman"/>
                <w:color w:val="auto"/>
                <w:szCs w:val="21"/>
                <w:u w:val="single"/>
                <w:lang w:val="en-US" w:eastAsia="zh-CN"/>
              </w:rPr>
              <w:t xml:space="preserve"> *****</w:t>
            </w:r>
            <w:r>
              <w:rPr>
                <w:rFonts w:hint="default" w:ascii="Times New Roman" w:hAnsi="Times New Roman" w:cs="Times New Roman"/>
                <w:color w:val="auto"/>
                <w:szCs w:val="21"/>
                <w:lang w:val="en-US" w:eastAsia="zh-CN"/>
              </w:rPr>
              <w:t>秒</w:t>
            </w:r>
            <w:r>
              <w:rPr>
                <w:rFonts w:hint="default" w:ascii="Times New Roman" w:hAnsi="Times New Roman" w:cs="Times New Roman"/>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15" w:hRule="atLeast"/>
        </w:trPr>
        <w:tc>
          <w:tcPr>
            <w:tcW w:w="883"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建设项目</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行业类别</w:t>
            </w:r>
          </w:p>
        </w:tc>
        <w:tc>
          <w:tcPr>
            <w:tcW w:w="3386"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四十六、专业技术服务业</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99</w:t>
            </w:r>
            <w:bookmarkStart w:id="3" w:name="_Hlk67602426"/>
            <w:r>
              <w:rPr>
                <w:rFonts w:hint="default" w:ascii="Times New Roman" w:hAnsi="Times New Roman" w:cs="Times New Roman"/>
                <w:color w:val="auto"/>
                <w:szCs w:val="21"/>
              </w:rPr>
              <w:t>陆地矿产资源地质勘查</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（含油气资源勘探）</w:t>
            </w:r>
            <w:bookmarkEnd w:id="3"/>
          </w:p>
        </w:tc>
        <w:tc>
          <w:tcPr>
            <w:tcW w:w="1968"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用地（用海）面积（m</w:t>
            </w:r>
            <w:r>
              <w:rPr>
                <w:rFonts w:hint="default" w:ascii="Times New Roman" w:hAnsi="Times New Roman" w:cs="Times New Roman"/>
                <w:color w:val="auto"/>
                <w:szCs w:val="21"/>
                <w:vertAlign w:val="superscript"/>
              </w:rPr>
              <w:t>2</w:t>
            </w:r>
            <w:r>
              <w:rPr>
                <w:rFonts w:hint="default" w:ascii="Times New Roman" w:hAnsi="Times New Roman" w:cs="Times New Roman"/>
                <w:color w:val="auto"/>
                <w:szCs w:val="21"/>
              </w:rPr>
              <w:t>）/长度（km）</w:t>
            </w:r>
          </w:p>
        </w:tc>
        <w:tc>
          <w:tcPr>
            <w:tcW w:w="255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lang w:val="en-US"/>
              </w:rPr>
            </w:pPr>
            <w:r>
              <w:rPr>
                <w:rFonts w:hint="eastAsia" w:cs="Times New Roman"/>
                <w:color w:val="auto"/>
                <w:szCs w:val="21"/>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04" w:hRule="atLeast"/>
        </w:trPr>
        <w:tc>
          <w:tcPr>
            <w:tcW w:w="883"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建设性质</w:t>
            </w:r>
          </w:p>
        </w:tc>
        <w:tc>
          <w:tcPr>
            <w:tcW w:w="3386" w:type="dxa"/>
            <w:vAlign w:val="center"/>
          </w:tcPr>
          <w:p>
            <w:pPr>
              <w:keepNext w:val="0"/>
              <w:keepLines w:val="0"/>
              <w:suppressLineNumbers w:val="0"/>
              <w:adjustRightInd w:val="0"/>
              <w:snapToGrid w:val="0"/>
              <w:spacing w:before="0" w:beforeAutospacing="0" w:after="0" w:afterAutospacing="0"/>
              <w:ind w:left="210" w:leftChars="100" w:right="0"/>
              <w:jc w:val="left"/>
              <w:rPr>
                <w:rFonts w:hint="default" w:ascii="Times New Roman" w:hAnsi="Times New Roman" w:cs="Times New Roman"/>
                <w:color w:val="auto"/>
                <w:szCs w:val="21"/>
              </w:rPr>
            </w:pPr>
            <w:r>
              <w:rPr>
                <w:rFonts w:hint="default" w:ascii="Times New Roman" w:hAnsi="Times New Roman" w:cs="Times New Roman"/>
                <w:color w:val="auto"/>
                <w:szCs w:val="21"/>
              </w:rPr>
              <w:sym w:font="Wingdings" w:char="00FE"/>
            </w:r>
            <w:r>
              <w:rPr>
                <w:rFonts w:hint="default" w:ascii="Times New Roman" w:hAnsi="Times New Roman" w:cs="Times New Roman"/>
                <w:color w:val="auto"/>
                <w:szCs w:val="21"/>
              </w:rPr>
              <w:t>新建（迁建）</w:t>
            </w:r>
          </w:p>
          <w:p>
            <w:pPr>
              <w:keepNext w:val="0"/>
              <w:keepLines w:val="0"/>
              <w:suppressLineNumbers w:val="0"/>
              <w:adjustRightInd w:val="0"/>
              <w:snapToGrid w:val="0"/>
              <w:spacing w:before="0" w:beforeAutospacing="0" w:after="0" w:afterAutospacing="0"/>
              <w:ind w:left="210" w:leftChars="100" w:right="0"/>
              <w:jc w:val="left"/>
              <w:rPr>
                <w:rFonts w:hint="default" w:ascii="Times New Roman" w:hAnsi="Times New Roman" w:cs="Times New Roman"/>
                <w:color w:val="auto"/>
                <w:szCs w:val="21"/>
              </w:rPr>
            </w:pPr>
            <w:r>
              <w:rPr>
                <w:rFonts w:hint="default" w:ascii="Times New Roman" w:hAnsi="Times New Roman" w:cs="Times New Roman"/>
                <w:color w:val="auto"/>
                <w:szCs w:val="21"/>
              </w:rPr>
              <w:t>□改建</w:t>
            </w:r>
          </w:p>
          <w:p>
            <w:pPr>
              <w:keepNext w:val="0"/>
              <w:keepLines w:val="0"/>
              <w:suppressLineNumbers w:val="0"/>
              <w:adjustRightInd w:val="0"/>
              <w:snapToGrid w:val="0"/>
              <w:spacing w:before="0" w:beforeAutospacing="0" w:after="0" w:afterAutospacing="0"/>
              <w:ind w:left="210" w:leftChars="100" w:right="0"/>
              <w:jc w:val="left"/>
              <w:rPr>
                <w:rFonts w:hint="default" w:ascii="Times New Roman" w:hAnsi="Times New Roman" w:cs="Times New Roman"/>
                <w:color w:val="auto"/>
                <w:szCs w:val="21"/>
              </w:rPr>
            </w:pPr>
            <w:r>
              <w:rPr>
                <w:rFonts w:hint="default" w:ascii="Times New Roman" w:hAnsi="Times New Roman" w:cs="Times New Roman"/>
                <w:color w:val="auto"/>
                <w:szCs w:val="21"/>
              </w:rPr>
              <w:t>□扩建</w:t>
            </w:r>
          </w:p>
          <w:p>
            <w:pPr>
              <w:keepNext w:val="0"/>
              <w:keepLines w:val="0"/>
              <w:suppressLineNumbers w:val="0"/>
              <w:adjustRightInd w:val="0"/>
              <w:snapToGrid w:val="0"/>
              <w:spacing w:before="0" w:beforeAutospacing="0" w:after="0" w:afterAutospacing="0"/>
              <w:ind w:left="210" w:leftChars="100" w:right="0"/>
              <w:jc w:val="left"/>
              <w:rPr>
                <w:rFonts w:hint="default" w:ascii="Times New Roman" w:hAnsi="Times New Roman" w:cs="Times New Roman"/>
                <w:color w:val="auto"/>
                <w:szCs w:val="21"/>
              </w:rPr>
            </w:pPr>
            <w:r>
              <w:rPr>
                <w:rFonts w:hint="default" w:ascii="Times New Roman" w:hAnsi="Times New Roman" w:cs="Times New Roman"/>
                <w:color w:val="auto"/>
                <w:szCs w:val="21"/>
              </w:rPr>
              <w:t>□技术改造</w:t>
            </w:r>
          </w:p>
        </w:tc>
        <w:tc>
          <w:tcPr>
            <w:tcW w:w="1968"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建设项目</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申报情形</w:t>
            </w:r>
          </w:p>
        </w:tc>
        <w:tc>
          <w:tcPr>
            <w:tcW w:w="2552" w:type="dxa"/>
            <w:vAlign w:val="center"/>
          </w:tcPr>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color w:val="auto"/>
                <w:szCs w:val="21"/>
              </w:rPr>
            </w:pPr>
            <w:r>
              <w:rPr>
                <w:rFonts w:hint="default" w:ascii="Times New Roman" w:hAnsi="Times New Roman" w:cs="Times New Roman"/>
                <w:color w:val="auto"/>
                <w:szCs w:val="21"/>
              </w:rPr>
              <w:sym w:font="Wingdings" w:char="00FE"/>
            </w:r>
            <w:r>
              <w:rPr>
                <w:rFonts w:hint="default" w:ascii="Times New Roman" w:hAnsi="Times New Roman" w:cs="Times New Roman"/>
                <w:color w:val="auto"/>
                <w:szCs w:val="21"/>
              </w:rPr>
              <w:t>首次申报项目</w:t>
            </w:r>
          </w:p>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color w:val="auto"/>
                <w:szCs w:val="21"/>
              </w:rPr>
            </w:pPr>
            <w:r>
              <w:rPr>
                <w:rFonts w:hint="default" w:ascii="Times New Roman" w:hAnsi="Times New Roman" w:cs="Times New Roman"/>
                <w:color w:val="auto"/>
                <w:szCs w:val="21"/>
              </w:rPr>
              <w:t>□不予批准后再次申报项目</w:t>
            </w:r>
          </w:p>
          <w:p>
            <w:pPr>
              <w:keepNext w:val="0"/>
              <w:keepLines w:val="0"/>
              <w:suppressLineNumbers w:val="0"/>
              <w:adjustRightInd w:val="0"/>
              <w:snapToGrid w:val="0"/>
              <w:spacing w:before="0" w:beforeAutospacing="0" w:after="0" w:afterAutospacing="0"/>
              <w:ind w:left="0" w:right="0"/>
              <w:jc w:val="left"/>
              <w:rPr>
                <w:rFonts w:hint="default" w:ascii="Times New Roman" w:hAnsi="Times New Roman" w:cs="Times New Roman"/>
                <w:color w:val="auto"/>
                <w:szCs w:val="21"/>
              </w:rPr>
            </w:pPr>
            <w:r>
              <w:rPr>
                <w:rFonts w:hint="default" w:ascii="Times New Roman" w:hAnsi="Times New Roman" w:cs="Times New Roman"/>
                <w:color w:val="auto"/>
                <w:szCs w:val="21"/>
              </w:rPr>
              <w:t>□超五年重新审核项目</w:t>
            </w:r>
          </w:p>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□重大变动重新报批项目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62" w:hRule="atLeast"/>
        </w:trPr>
        <w:tc>
          <w:tcPr>
            <w:tcW w:w="883"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项目审批（核准/</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备案）部门（选填）</w:t>
            </w:r>
          </w:p>
        </w:tc>
        <w:tc>
          <w:tcPr>
            <w:tcW w:w="3386"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968"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项目审批（核准/</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备案）文号（选填）</w:t>
            </w:r>
          </w:p>
        </w:tc>
        <w:tc>
          <w:tcPr>
            <w:tcW w:w="255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trPr>
        <w:tc>
          <w:tcPr>
            <w:tcW w:w="883"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总投资（万元）</w:t>
            </w:r>
          </w:p>
        </w:tc>
        <w:tc>
          <w:tcPr>
            <w:tcW w:w="3386"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w:t>
            </w:r>
          </w:p>
        </w:tc>
        <w:tc>
          <w:tcPr>
            <w:tcW w:w="1968"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环保投资（万元）</w:t>
            </w:r>
          </w:p>
        </w:tc>
        <w:tc>
          <w:tcPr>
            <w:tcW w:w="2552" w:type="dxa"/>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eastAsia="宋体" w:cs="Times New Roman"/>
                <w:color w:val="auto"/>
                <w:szCs w:val="21"/>
                <w:lang w:eastAsia="zh-CN"/>
              </w:rPr>
            </w:pPr>
            <w:r>
              <w:rPr>
                <w:rFonts w:hint="eastAsia" w:cs="Times New Roman"/>
                <w:color w:val="auto"/>
                <w:szCs w:val="21"/>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883"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环保投资占比（%）</w:t>
            </w:r>
          </w:p>
        </w:tc>
        <w:tc>
          <w:tcPr>
            <w:tcW w:w="3386" w:type="dxa"/>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eastAsia="宋体" w:cs="Times New Roman"/>
                <w:color w:val="auto"/>
                <w:szCs w:val="21"/>
                <w:lang w:eastAsia="zh-CN"/>
              </w:rPr>
            </w:pPr>
            <w:r>
              <w:rPr>
                <w:rFonts w:hint="eastAsia" w:cs="Times New Roman"/>
                <w:color w:val="auto"/>
                <w:szCs w:val="21"/>
                <w:lang w:val="en-US" w:eastAsia="zh-CN"/>
              </w:rPr>
              <w:t>*</w:t>
            </w:r>
          </w:p>
        </w:tc>
        <w:tc>
          <w:tcPr>
            <w:tcW w:w="1968"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施工工期</w:t>
            </w:r>
          </w:p>
        </w:tc>
        <w:tc>
          <w:tcPr>
            <w:tcW w:w="2552"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11" w:hRule="atLeast"/>
        </w:trPr>
        <w:tc>
          <w:tcPr>
            <w:tcW w:w="883" w:type="dxa"/>
            <w:tcMar>
              <w:top w:w="16" w:type="dxa"/>
              <w:left w:w="16" w:type="dxa"/>
              <w:right w:w="16"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是否开工建设</w:t>
            </w:r>
          </w:p>
        </w:tc>
        <w:tc>
          <w:tcPr>
            <w:tcW w:w="7906" w:type="dxa"/>
            <w:gridSpan w:val="3"/>
            <w:vAlign w:val="center"/>
          </w:tcPr>
          <w:p>
            <w:pPr>
              <w:keepNext w:val="0"/>
              <w:keepLines w:val="0"/>
              <w:suppressLineNumbers w:val="0"/>
              <w:adjustRightInd w:val="0"/>
              <w:snapToGrid w:val="0"/>
              <w:spacing w:before="0" w:beforeAutospacing="0" w:after="0" w:afterAutospacing="0"/>
              <w:ind w:left="0" w:right="0" w:firstLine="105"/>
              <w:jc w:val="left"/>
              <w:rPr>
                <w:rFonts w:hint="default" w:ascii="Times New Roman" w:hAnsi="Times New Roman" w:cs="Times New Roman"/>
                <w:color w:val="auto"/>
                <w:szCs w:val="21"/>
              </w:rPr>
            </w:pPr>
            <w:r>
              <w:rPr>
                <w:rFonts w:hint="default" w:ascii="Times New Roman" w:hAnsi="Times New Roman" w:cs="Times New Roman"/>
                <w:color w:val="auto"/>
                <w:szCs w:val="21"/>
              </w:rPr>
              <w:sym w:font="Wingdings 2" w:char="F052"/>
            </w:r>
            <w:r>
              <w:rPr>
                <w:rFonts w:hint="default" w:ascii="Times New Roman" w:hAnsi="Times New Roman" w:cs="Times New Roman"/>
                <w:color w:val="auto"/>
                <w:szCs w:val="21"/>
              </w:rPr>
              <w:t>否</w:t>
            </w:r>
          </w:p>
          <w:p>
            <w:pPr>
              <w:keepNext w:val="0"/>
              <w:keepLines w:val="0"/>
              <w:suppressLineNumbers w:val="0"/>
              <w:adjustRightInd w:val="0"/>
              <w:snapToGrid w:val="0"/>
              <w:spacing w:before="0" w:beforeAutospacing="0" w:after="0" w:afterAutospacing="0"/>
              <w:ind w:left="0" w:right="0" w:firstLine="92"/>
              <w:jc w:val="left"/>
              <w:rPr>
                <w:rFonts w:hint="default" w:ascii="Times New Roman" w:hAnsi="Times New Roman" w:cs="Times New Roman"/>
                <w:color w:val="auto"/>
                <w:szCs w:val="21"/>
              </w:rPr>
            </w:pPr>
            <w:r>
              <w:rPr>
                <w:rFonts w:hint="default" w:ascii="Times New Roman" w:hAnsi="Times New Roman" w:cs="Times New Roman"/>
                <w:color w:val="auto"/>
                <w:szCs w:val="21"/>
              </w:rPr>
              <w:t>□是：</w:t>
            </w:r>
            <w:r>
              <w:rPr>
                <w:rFonts w:hint="default" w:ascii="Times New Roman" w:hAnsi="Times New Roman" w:cs="Times New Roman"/>
                <w:color w:val="auto"/>
                <w:szCs w:val="21"/>
                <w:u w:val="single"/>
              </w:rPr>
              <w:t xml:space="preserve">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11" w:hRule="atLeast"/>
        </w:trPr>
        <w:tc>
          <w:tcPr>
            <w:tcW w:w="883" w:type="dxa"/>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专项评价设置情况</w:t>
            </w:r>
          </w:p>
        </w:tc>
        <w:tc>
          <w:tcPr>
            <w:tcW w:w="7906" w:type="dxa"/>
            <w:gridSpan w:val="3"/>
            <w:tcMar>
              <w:top w:w="16" w:type="dxa"/>
              <w:left w:w="16" w:type="dxa"/>
              <w:right w:w="16" w:type="dxa"/>
            </w:tcMar>
            <w:vAlign w:val="center"/>
          </w:tcPr>
          <w:p>
            <w:pPr>
              <w:keepNext w:val="0"/>
              <w:keepLines w:val="0"/>
              <w:suppressLineNumbers w:val="0"/>
              <w:spacing w:before="0" w:beforeAutospacing="0" w:after="0" w:afterAutospacing="0" w:line="360" w:lineRule="auto"/>
              <w:ind w:left="0" w:right="0" w:firstLine="420" w:firstLineChars="20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根据《建设项目环境影响评价分类管理》（部令第16号），本项目属于“四十六专业技术服务业中</w:t>
            </w:r>
            <w:r>
              <w:rPr>
                <w:rFonts w:hint="eastAsia" w:cs="Times New Roman"/>
                <w:color w:val="auto"/>
                <w:kern w:val="0"/>
                <w:szCs w:val="21"/>
                <w:lang w:val="en-US" w:eastAsia="zh-CN"/>
              </w:rPr>
              <w:t xml:space="preserve"> </w:t>
            </w:r>
            <w:r>
              <w:rPr>
                <w:rFonts w:hint="default" w:ascii="Times New Roman" w:hAnsi="Times New Roman" w:cs="Times New Roman"/>
                <w:color w:val="auto"/>
                <w:kern w:val="0"/>
                <w:szCs w:val="21"/>
              </w:rPr>
              <w:t>99陆地矿产资源地质勘查（含油气资源勘探）；二氧化碳地质封存”，应编制环境影响报告表，根据《建设项目环境影响报告表编制技术指南（生态影响类）（试行）》中“表1专项评价设置原则表”，本项目土壤不开展专项评价，地表水、地下水、生态、大气、噪声、环境风险是否开展专项评价情况见下表。</w:t>
            </w: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b/>
                <w:bCs/>
                <w:color w:val="auto"/>
                <w:kern w:val="0"/>
                <w:szCs w:val="21"/>
              </w:rPr>
            </w:pPr>
            <w:r>
              <w:rPr>
                <w:rFonts w:hint="default" w:ascii="Times New Roman" w:hAnsi="Times New Roman" w:cs="Times New Roman"/>
                <w:b/>
                <w:bCs/>
                <w:color w:val="auto"/>
                <w:kern w:val="0"/>
                <w:szCs w:val="21"/>
              </w:rPr>
              <w:t>表1  本项目专项评价设置判定情况表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0" w:type="dxa"/>
                <w:bottom w:w="0" w:type="dxa"/>
                <w:right w:w="0" w:type="dxa"/>
              </w:tblCellMar>
            </w:tblPr>
            <w:tblGrid>
              <w:gridCol w:w="881"/>
              <w:gridCol w:w="3383"/>
              <w:gridCol w:w="358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34" w:hRule="atLeast"/>
                <w:jc w:val="center"/>
              </w:trPr>
              <w:tc>
                <w:tcPr>
                  <w:tcW w:w="881"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专项评价的类别</w:t>
                  </w:r>
                </w:p>
              </w:tc>
              <w:tc>
                <w:tcPr>
                  <w:tcW w:w="3383"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涉及项目类别</w:t>
                  </w:r>
                </w:p>
              </w:tc>
              <w:tc>
                <w:tcPr>
                  <w:tcW w:w="3580"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设置理由</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34" w:hRule="atLeast"/>
                <w:jc w:val="center"/>
              </w:trPr>
              <w:tc>
                <w:tcPr>
                  <w:tcW w:w="881"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地表水</w:t>
                  </w:r>
                </w:p>
              </w:tc>
              <w:tc>
                <w:tcPr>
                  <w:tcW w:w="3383"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水力发电：引水式发电、涉及调峰发电的项目；</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人工湖、人工湿地：全部；</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水库：全部；</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 xml:space="preserve">引水工程：全部（配套的管线工程等除外）； </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防洪除涝工程：包含水库的项目；</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河湖整治：涉及清淤且底泥存在重金属污染的项目</w:t>
                  </w:r>
                </w:p>
              </w:tc>
              <w:tc>
                <w:tcPr>
                  <w:tcW w:w="3580"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本项目不涉及上述项目类别</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34" w:hRule="atLeast"/>
                <w:jc w:val="center"/>
              </w:trPr>
              <w:tc>
                <w:tcPr>
                  <w:tcW w:w="881"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地下水</w:t>
                  </w:r>
                </w:p>
              </w:tc>
              <w:tc>
                <w:tcPr>
                  <w:tcW w:w="3383"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 xml:space="preserve">陆地石油和天然气开采：全部； </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 xml:space="preserve">地下水（含矿泉水）开采：全部； </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水利、水电、交通等：含穿越可溶岩地层隧道的项目</w:t>
                  </w:r>
                </w:p>
              </w:tc>
              <w:tc>
                <w:tcPr>
                  <w:tcW w:w="3580"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拟建项目为专业技术服务业类项目中的陆地矿产资源地质勘查（含油气资源勘探）；二氧化碳地质封存，本项目环境影响与“陆地石油和天然气开采业”中钻井工程的环境影响情况相似，为更好管控其造成的环境影响，因此本次专项评价设置参照“石油和天然气开采”进行设置，即本次环评设置地下水环境影响专项评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34" w:hRule="atLeast"/>
                <w:jc w:val="center"/>
              </w:trPr>
              <w:tc>
                <w:tcPr>
                  <w:tcW w:w="881"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生态</w:t>
                  </w:r>
                </w:p>
              </w:tc>
              <w:tc>
                <w:tcPr>
                  <w:tcW w:w="3383"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涉及环境敏感区（不包括饮用水水源保护区，以居住、医疗卫生、文化教育、科研、行政办公为主要功能的区域，以及文物保护单位）的项目</w:t>
                  </w:r>
                </w:p>
              </w:tc>
              <w:tc>
                <w:tcPr>
                  <w:tcW w:w="3580"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本项目不涉及上述项目类别</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34" w:hRule="atLeast"/>
                <w:jc w:val="center"/>
              </w:trPr>
              <w:tc>
                <w:tcPr>
                  <w:tcW w:w="881"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大气</w:t>
                  </w:r>
                </w:p>
              </w:tc>
              <w:tc>
                <w:tcPr>
                  <w:tcW w:w="3383"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 xml:space="preserve">油气、液体化工码头：全部； </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 xml:space="preserve">干散货（含煤炭、矿石）、件杂、多用途、通用码头：涉及粉尘、挥发性有 </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机物排放的项目</w:t>
                  </w:r>
                </w:p>
              </w:tc>
              <w:tc>
                <w:tcPr>
                  <w:tcW w:w="3580"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本项目不涉及上述项目类别</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34" w:hRule="atLeast"/>
                <w:jc w:val="center"/>
              </w:trPr>
              <w:tc>
                <w:tcPr>
                  <w:tcW w:w="881"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噪声</w:t>
                  </w:r>
                </w:p>
              </w:tc>
              <w:tc>
                <w:tcPr>
                  <w:tcW w:w="3383"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 xml:space="preserve">公路、铁路、机场等交通运输业涉及环境敏感区（以居住、医疗卫生、文化教育、科研、行政办公为主要功能的区域）的项目； </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城市道路（不含维护，不含支路、人行天桥、人行地道）：全部</w:t>
                  </w:r>
                </w:p>
              </w:tc>
              <w:tc>
                <w:tcPr>
                  <w:tcW w:w="3580"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本项目不涉及上述项目类别</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34" w:hRule="atLeast"/>
                <w:jc w:val="center"/>
              </w:trPr>
              <w:tc>
                <w:tcPr>
                  <w:tcW w:w="881"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环境风险</w:t>
                  </w:r>
                </w:p>
              </w:tc>
              <w:tc>
                <w:tcPr>
                  <w:tcW w:w="3383"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 xml:space="preserve">石油和天然气开采：全部； </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 xml:space="preserve">油气、液体化工码头：全部； </w:t>
                  </w:r>
                </w:p>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 w:val="18"/>
                      <w:szCs w:val="18"/>
                    </w:rPr>
                  </w:pPr>
                  <w:r>
                    <w:rPr>
                      <w:rFonts w:hint="default" w:ascii="Times New Roman" w:hAnsi="Times New Roman" w:cs="Times New Roman"/>
                      <w:color w:val="auto"/>
                      <w:sz w:val="18"/>
                      <w:szCs w:val="18"/>
                    </w:rPr>
                    <w:t>原油、成品油、天然气管线（不含城镇天然气管线、企业厂区内管线），危险化学品输送管线（不含企业厂区内管线）：全部</w:t>
                  </w:r>
                </w:p>
              </w:tc>
              <w:tc>
                <w:tcPr>
                  <w:tcW w:w="3580"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left"/>
                    <w:rPr>
                      <w:rFonts w:hint="default" w:ascii="Times New Roman" w:hAnsi="Times New Roman" w:cs="Times New Roman"/>
                      <w:color w:val="auto"/>
                      <w:sz w:val="18"/>
                      <w:szCs w:val="18"/>
                    </w:rPr>
                  </w:pPr>
                  <w:r>
                    <w:rPr>
                      <w:rFonts w:hint="default" w:ascii="Times New Roman" w:hAnsi="Times New Roman" w:cs="Times New Roman"/>
                      <w:color w:val="auto"/>
                      <w:sz w:val="18"/>
                      <w:szCs w:val="18"/>
                    </w:rPr>
                    <w:t>拟建项目为专业技术服务业类项目中的陆地矿产资源地质勘查（含油气资源勘探）；二氧化碳地质封存，本项目环境影响与“石油和天然气开采业”中钻井工程的环境影响情况相似，为更好管控其环境风险，因此本次专项评价设置参照“陆地石油和天然气开采”进行设置，即本次环评设置环境风险专项评价。</w:t>
                  </w:r>
                </w:p>
              </w:tc>
            </w:tr>
          </w:tbl>
          <w:p>
            <w:pPr>
              <w:keepNext w:val="0"/>
              <w:keepLines w:val="0"/>
              <w:suppressLineNumbers w:val="0"/>
              <w:spacing w:before="0" w:beforeAutospacing="0" w:after="0" w:afterAutospacing="0"/>
              <w:ind w:left="0" w:right="0"/>
              <w:rPr>
                <w:rFonts w:hint="default" w:ascii="Times New Roman" w:hAnsi="Times New Roman" w:cs="Times New Roman"/>
                <w:color w:val="auto"/>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11" w:hRule="atLeast"/>
        </w:trPr>
        <w:tc>
          <w:tcPr>
            <w:tcW w:w="883" w:type="dxa"/>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szCs w:val="21"/>
              </w:rPr>
              <w:t>规划情况</w:t>
            </w:r>
          </w:p>
        </w:tc>
        <w:tc>
          <w:tcPr>
            <w:tcW w:w="7906" w:type="dxa"/>
            <w:gridSpan w:val="3"/>
            <w:tcMar>
              <w:top w:w="16" w:type="dxa"/>
              <w:left w:w="16" w:type="dxa"/>
              <w:right w:w="16" w:type="dxa"/>
            </w:tcMar>
            <w:vAlign w:val="center"/>
          </w:tcPr>
          <w:p>
            <w:pPr>
              <w:keepNext w:val="0"/>
              <w:keepLines w:val="0"/>
              <w:suppressLineNumbers w:val="0"/>
              <w:spacing w:before="0" w:beforeAutospacing="0" w:after="0" w:afterAutospacing="0" w:line="360" w:lineRule="auto"/>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val="en-US" w:eastAsia="zh-CN"/>
              </w:rPr>
              <w:t>1.规划名称：</w:t>
            </w:r>
            <w:r>
              <w:rPr>
                <w:rFonts w:hint="default" w:ascii="Times New Roman" w:hAnsi="Times New Roman" w:cs="Times New Roman"/>
                <w:color w:val="auto"/>
                <w:kern w:val="0"/>
                <w:szCs w:val="21"/>
              </w:rPr>
              <w:t>《四川省矿产资源总体规划（2021-2025年）》</w:t>
            </w:r>
          </w:p>
          <w:p>
            <w:pPr>
              <w:keepNext w:val="0"/>
              <w:keepLines w:val="0"/>
              <w:suppressLineNumbers w:val="0"/>
              <w:spacing w:before="0" w:beforeAutospacing="0" w:after="0" w:afterAutospacing="0" w:line="360" w:lineRule="auto"/>
              <w:ind w:left="0" w:right="0"/>
              <w:rPr>
                <w:rFonts w:hint="default" w:ascii="Times New Roman" w:hAnsi="Times New Roman" w:cs="Times New Roman"/>
                <w:color w:val="auto"/>
                <w:kern w:val="0"/>
                <w:szCs w:val="21"/>
                <w:lang w:val="en-US" w:eastAsia="zh-CN"/>
              </w:rPr>
            </w:pPr>
            <w:r>
              <w:rPr>
                <w:rFonts w:hint="default" w:ascii="Times New Roman" w:hAnsi="Times New Roman" w:cs="Times New Roman"/>
                <w:color w:val="auto"/>
                <w:kern w:val="0"/>
                <w:szCs w:val="21"/>
                <w:lang w:val="en-US" w:eastAsia="zh-CN"/>
              </w:rPr>
              <w:t>2.审批文件：自然资源部办公厅关于四川省矿产资源总体规划（2021-2025 年）的复函</w:t>
            </w:r>
          </w:p>
          <w:p>
            <w:pPr>
              <w:keepNext w:val="0"/>
              <w:keepLines w:val="0"/>
              <w:suppressLineNumbers w:val="0"/>
              <w:spacing w:before="0" w:beforeAutospacing="0" w:after="0" w:afterAutospacing="0" w:line="360" w:lineRule="auto"/>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val="en-US" w:eastAsia="zh-CN"/>
              </w:rPr>
              <w:t>3.审批文号：自然资办函〔2022〕1506号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11" w:hRule="atLeast"/>
        </w:trPr>
        <w:tc>
          <w:tcPr>
            <w:tcW w:w="883" w:type="dxa"/>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szCs w:val="21"/>
              </w:rPr>
              <w:t>规划环境影响评价情况</w:t>
            </w:r>
          </w:p>
        </w:tc>
        <w:tc>
          <w:tcPr>
            <w:tcW w:w="7906" w:type="dxa"/>
            <w:gridSpan w:val="3"/>
            <w:tcMar>
              <w:top w:w="16" w:type="dxa"/>
              <w:left w:w="16" w:type="dxa"/>
              <w:right w:w="16" w:type="dxa"/>
            </w:tcMar>
            <w:vAlign w:val="center"/>
          </w:tcPr>
          <w:p>
            <w:pPr>
              <w:pStyle w:val="26"/>
              <w:keepNext w:val="0"/>
              <w:keepLines w:val="0"/>
              <w:suppressLineNumbers w:val="0"/>
              <w:spacing w:before="0" w:beforeAutospacing="0" w:after="0" w:afterAutospacing="0"/>
              <w:ind w:left="0" w:right="0"/>
              <w:rPr>
                <w:rFonts w:hint="default" w:ascii="Times New Roman" w:hAnsi="Times New Roman" w:cs="Times New Roman"/>
                <w:color w:val="auto"/>
              </w:rPr>
            </w:pPr>
            <w:r>
              <w:rPr>
                <w:rFonts w:hint="default" w:ascii="Times New Roman" w:hAnsi="Times New Roman" w:cs="Times New Roman"/>
                <w:color w:val="auto"/>
              </w:rPr>
              <w:t>规划名称：《四川省矿产资源总体规划（2021-2025年）环境影响报告书》</w:t>
            </w:r>
          </w:p>
          <w:p>
            <w:pPr>
              <w:pStyle w:val="26"/>
              <w:keepNext w:val="0"/>
              <w:keepLines w:val="0"/>
              <w:suppressLineNumbers w:val="0"/>
              <w:spacing w:before="0" w:beforeAutospacing="0" w:after="0" w:afterAutospacing="0"/>
              <w:ind w:left="0" w:right="0"/>
              <w:rPr>
                <w:rFonts w:hint="default" w:ascii="Times New Roman" w:hAnsi="Times New Roman" w:cs="Times New Roman"/>
                <w:color w:val="auto"/>
              </w:rPr>
            </w:pPr>
            <w:r>
              <w:rPr>
                <w:rFonts w:hint="default" w:ascii="Times New Roman" w:hAnsi="Times New Roman" w:cs="Times New Roman"/>
                <w:color w:val="auto"/>
              </w:rPr>
              <w:t>审批机关：中华人民共和国生态环境部</w:t>
            </w:r>
          </w:p>
          <w:p>
            <w:pPr>
              <w:pStyle w:val="26"/>
              <w:keepNext w:val="0"/>
              <w:keepLines w:val="0"/>
              <w:suppressLineNumbers w:val="0"/>
              <w:spacing w:before="0" w:beforeAutospacing="0" w:after="0" w:afterAutospacing="0"/>
              <w:ind w:left="0" w:right="0"/>
              <w:rPr>
                <w:rFonts w:hint="default" w:ascii="Times New Roman" w:hAnsi="Times New Roman" w:cs="Times New Roman"/>
                <w:color w:val="auto"/>
              </w:rPr>
            </w:pPr>
            <w:r>
              <w:rPr>
                <w:rFonts w:hint="default" w:ascii="Times New Roman" w:hAnsi="Times New Roman" w:cs="Times New Roman"/>
                <w:color w:val="auto"/>
              </w:rPr>
              <w:t>审批文号：环审﹝2022﹞105号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557" w:hRule="atLeast"/>
        </w:trPr>
        <w:tc>
          <w:tcPr>
            <w:tcW w:w="883" w:type="dxa"/>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规划及</w:t>
            </w:r>
            <w:r>
              <w:rPr>
                <w:rFonts w:hint="default" w:ascii="Times New Roman" w:hAnsi="Times New Roman" w:cs="Times New Roman"/>
                <w:color w:val="auto"/>
                <w:szCs w:val="21"/>
              </w:rPr>
              <w:t>规划环境影响评价</w:t>
            </w:r>
            <w:r>
              <w:rPr>
                <w:rFonts w:hint="default" w:ascii="Times New Roman" w:hAnsi="Times New Roman" w:cs="Times New Roman"/>
                <w:color w:val="auto"/>
                <w:kern w:val="0"/>
                <w:szCs w:val="21"/>
              </w:rPr>
              <w:t>符合性分析</w:t>
            </w:r>
          </w:p>
        </w:tc>
        <w:tc>
          <w:tcPr>
            <w:tcW w:w="7906" w:type="dxa"/>
            <w:gridSpan w:val="3"/>
            <w:tcMar>
              <w:top w:w="16" w:type="dxa"/>
              <w:left w:w="16" w:type="dxa"/>
              <w:right w:w="16" w:type="dxa"/>
            </w:tcMar>
            <w:vAlign w:val="center"/>
          </w:tcPr>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rPr>
            </w:pPr>
            <w:r>
              <w:rPr>
                <w:rFonts w:hint="default" w:ascii="Times New Roman" w:hAnsi="Times New Roman" w:cs="Times New Roman"/>
                <w:b/>
                <w:color w:val="auto"/>
                <w:lang w:bidi="ar"/>
              </w:rPr>
              <w:t>项目与规划符合性分析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lang w:eastAsia="zh-CN" w:bidi="ar"/>
              </w:rPr>
            </w:pPr>
            <w:r>
              <w:rPr>
                <w:rFonts w:hint="default" w:ascii="Times New Roman" w:hAnsi="Times New Roman" w:cs="Times New Roman"/>
                <w:bCs/>
                <w:color w:val="auto"/>
                <w:sz w:val="24"/>
                <w:lang w:eastAsia="zh-CN" w:bidi="ar"/>
              </w:rPr>
              <w:t>（</w:t>
            </w:r>
            <w:r>
              <w:rPr>
                <w:rFonts w:hint="default" w:ascii="Times New Roman" w:hAnsi="Times New Roman" w:cs="Times New Roman"/>
                <w:bCs/>
                <w:color w:val="auto"/>
                <w:sz w:val="24"/>
                <w:lang w:val="en-US" w:eastAsia="zh-CN" w:bidi="ar"/>
              </w:rPr>
              <w:t>1</w:t>
            </w:r>
            <w:r>
              <w:rPr>
                <w:rFonts w:hint="default" w:ascii="Times New Roman" w:hAnsi="Times New Roman" w:cs="Times New Roman"/>
                <w:bCs/>
                <w:color w:val="auto"/>
                <w:sz w:val="24"/>
                <w:lang w:eastAsia="zh-CN" w:bidi="ar"/>
              </w:rPr>
              <w:t>）与《四川省矿产资源总体规划（</w:t>
            </w:r>
            <w:r>
              <w:rPr>
                <w:rFonts w:hint="default" w:ascii="Times New Roman" w:hAnsi="Times New Roman" w:cs="Times New Roman"/>
                <w:bCs/>
                <w:color w:val="auto"/>
                <w:sz w:val="24"/>
                <w:lang w:val="en-US" w:eastAsia="zh-CN" w:bidi="ar"/>
              </w:rPr>
              <w:t>2021</w:t>
            </w:r>
            <w:r>
              <w:rPr>
                <w:rFonts w:hint="default" w:ascii="Times New Roman" w:hAnsi="Times New Roman" w:cs="Times New Roman"/>
                <w:bCs/>
                <w:color w:val="auto"/>
                <w:sz w:val="24"/>
                <w:lang w:eastAsia="zh-CN" w:bidi="ar"/>
              </w:rPr>
              <w:t>—</w:t>
            </w:r>
            <w:r>
              <w:rPr>
                <w:rFonts w:hint="default" w:ascii="Times New Roman" w:hAnsi="Times New Roman" w:cs="Times New Roman"/>
                <w:bCs/>
                <w:color w:val="auto"/>
                <w:sz w:val="24"/>
                <w:lang w:val="en-US" w:eastAsia="zh-CN" w:bidi="ar"/>
              </w:rPr>
              <w:t>2025年</w:t>
            </w:r>
            <w:r>
              <w:rPr>
                <w:rFonts w:hint="default" w:ascii="Times New Roman" w:hAnsi="Times New Roman" w:cs="Times New Roman"/>
                <w:bCs/>
                <w:color w:val="auto"/>
                <w:sz w:val="24"/>
                <w:lang w:eastAsia="zh-CN" w:bidi="ar"/>
              </w:rPr>
              <w:t>）》</w:t>
            </w:r>
            <w:r>
              <w:rPr>
                <w:rFonts w:hint="default" w:ascii="Times New Roman" w:hAnsi="Times New Roman" w:cs="Times New Roman"/>
                <w:bCs/>
                <w:color w:val="auto"/>
                <w:sz w:val="24"/>
                <w:lang w:bidi="ar"/>
              </w:rPr>
              <w:t>符合性分析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lang w:bidi="ar"/>
              </w:rPr>
            </w:pPr>
            <w:r>
              <w:rPr>
                <w:rFonts w:hint="default" w:ascii="Times New Roman" w:hAnsi="Times New Roman" w:cs="Times New Roman"/>
                <w:bCs/>
                <w:color w:val="auto"/>
                <w:sz w:val="24"/>
                <w:lang w:bidi="ar"/>
              </w:rPr>
              <w:t>根据《四川省矿产资源总体规划（2021</w:t>
            </w:r>
            <w:r>
              <w:rPr>
                <w:rFonts w:hint="default" w:ascii="Times New Roman" w:hAnsi="Times New Roman" w:cs="Times New Roman"/>
                <w:bCs/>
                <w:color w:val="auto"/>
                <w:sz w:val="24"/>
                <w:lang w:eastAsia="zh-CN" w:bidi="ar"/>
              </w:rPr>
              <w:t>—</w:t>
            </w:r>
            <w:r>
              <w:rPr>
                <w:rFonts w:hint="default" w:ascii="Times New Roman" w:hAnsi="Times New Roman" w:cs="Times New Roman"/>
                <w:bCs/>
                <w:color w:val="auto"/>
                <w:sz w:val="24"/>
                <w:lang w:bidi="ar"/>
              </w:rPr>
              <w:t>2025年）》</w:t>
            </w:r>
            <w:r>
              <w:rPr>
                <w:rFonts w:hint="eastAsia" w:cs="Times New Roman"/>
                <w:bCs/>
                <w:color w:val="auto"/>
                <w:sz w:val="24"/>
                <w:lang w:val="en-US" w:eastAsia="zh-CN" w:bidi="ar"/>
              </w:rPr>
              <w:t>提出</w:t>
            </w:r>
            <w:r>
              <w:rPr>
                <w:rFonts w:hint="default" w:ascii="Times New Roman" w:hAnsi="Times New Roman" w:cs="Times New Roman"/>
                <w:bCs/>
                <w:color w:val="auto"/>
                <w:sz w:val="24"/>
                <w:lang w:bidi="ar"/>
              </w:rPr>
              <w:t>：</w:t>
            </w:r>
            <w:r>
              <w:rPr>
                <w:rFonts w:hint="default" w:ascii="Times New Roman" w:hAnsi="Times New Roman" w:cs="Times New Roman"/>
                <w:bCs/>
                <w:color w:val="auto"/>
                <w:sz w:val="24"/>
                <w:lang w:eastAsia="zh-CN" w:bidi="ar"/>
              </w:rPr>
              <w:t>“</w:t>
            </w:r>
            <w:r>
              <w:rPr>
                <w:rFonts w:hint="default" w:ascii="Times New Roman" w:hAnsi="Times New Roman" w:cs="Times New Roman"/>
                <w:bCs/>
                <w:color w:val="auto"/>
                <w:sz w:val="24"/>
                <w:lang w:bidi="ar"/>
              </w:rPr>
              <w:t>大力支持天然气、页岩气开采，2025年底天然气</w:t>
            </w:r>
            <w:r>
              <w:rPr>
                <w:rFonts w:hint="default" w:ascii="Times New Roman" w:hAnsi="Times New Roman" w:cs="Times New Roman"/>
                <w:bCs/>
                <w:color w:val="auto"/>
                <w:sz w:val="24"/>
                <w:lang w:eastAsia="zh-CN" w:bidi="ar"/>
              </w:rPr>
              <w:t>（</w:t>
            </w:r>
            <w:r>
              <w:rPr>
                <w:rFonts w:hint="default" w:ascii="Times New Roman" w:hAnsi="Times New Roman" w:cs="Times New Roman"/>
                <w:bCs/>
                <w:color w:val="auto"/>
                <w:sz w:val="24"/>
                <w:lang w:bidi="ar"/>
              </w:rPr>
              <w:t>页岩气</w:t>
            </w:r>
            <w:r>
              <w:rPr>
                <w:rFonts w:hint="default" w:ascii="Times New Roman" w:hAnsi="Times New Roman" w:cs="Times New Roman"/>
                <w:bCs/>
                <w:color w:val="auto"/>
                <w:sz w:val="24"/>
                <w:lang w:eastAsia="zh-CN" w:bidi="ar"/>
              </w:rPr>
              <w:t>）</w:t>
            </w:r>
            <w:r>
              <w:rPr>
                <w:rFonts w:hint="default" w:ascii="Times New Roman" w:hAnsi="Times New Roman" w:cs="Times New Roman"/>
                <w:bCs/>
                <w:color w:val="auto"/>
                <w:sz w:val="24"/>
                <w:lang w:bidi="ar"/>
              </w:rPr>
              <w:t>年产量达到</w:t>
            </w:r>
            <w:r>
              <w:rPr>
                <w:rFonts w:hint="default" w:ascii="Times New Roman" w:hAnsi="Times New Roman" w:cs="Times New Roman"/>
                <w:bCs/>
                <w:color w:val="auto"/>
                <w:sz w:val="24"/>
                <w:lang w:val="en-US" w:eastAsia="zh-CN" w:bidi="ar"/>
              </w:rPr>
              <w:t>63</w:t>
            </w:r>
            <w:r>
              <w:rPr>
                <w:rFonts w:hint="default" w:ascii="Times New Roman" w:hAnsi="Times New Roman" w:cs="Times New Roman"/>
                <w:bCs/>
                <w:color w:val="auto"/>
                <w:sz w:val="24"/>
                <w:lang w:bidi="ar"/>
              </w:rPr>
              <w:t>0亿立方米</w:t>
            </w:r>
            <w:r>
              <w:rPr>
                <w:rFonts w:hint="default" w:ascii="Times New Roman" w:hAnsi="Times New Roman" w:cs="Times New Roman"/>
                <w:bCs/>
                <w:color w:val="auto"/>
                <w:sz w:val="24"/>
                <w:lang w:val="en-US" w:eastAsia="zh-CN" w:bidi="ar"/>
              </w:rPr>
              <w:t>/年</w:t>
            </w:r>
            <w:r>
              <w:rPr>
                <w:rFonts w:hint="default" w:ascii="Times New Roman" w:hAnsi="Times New Roman" w:cs="Times New Roman"/>
                <w:bCs/>
                <w:color w:val="auto"/>
                <w:sz w:val="24"/>
                <w:lang w:bidi="ar"/>
              </w:rPr>
              <w:t>；2035年建成</w:t>
            </w:r>
            <w:r>
              <w:rPr>
                <w:rFonts w:hint="default" w:ascii="Times New Roman" w:hAnsi="Times New Roman" w:cs="Times New Roman"/>
                <w:bCs/>
                <w:color w:val="auto"/>
                <w:sz w:val="24"/>
                <w:lang w:val="en-US" w:eastAsia="zh-CN" w:bidi="ar"/>
              </w:rPr>
              <w:t>国家</w:t>
            </w:r>
            <w:r>
              <w:rPr>
                <w:rFonts w:hint="default" w:ascii="Times New Roman" w:hAnsi="Times New Roman" w:cs="Times New Roman"/>
                <w:bCs/>
                <w:color w:val="auto"/>
                <w:sz w:val="24"/>
                <w:lang w:bidi="ar"/>
              </w:rPr>
              <w:t>天然气</w:t>
            </w:r>
            <w:r>
              <w:rPr>
                <w:rFonts w:hint="default" w:ascii="Times New Roman" w:hAnsi="Times New Roman" w:cs="Times New Roman"/>
                <w:bCs/>
                <w:color w:val="auto"/>
                <w:sz w:val="24"/>
                <w:lang w:eastAsia="zh-CN" w:bidi="ar"/>
              </w:rPr>
              <w:t>（</w:t>
            </w:r>
            <w:r>
              <w:rPr>
                <w:rFonts w:hint="default" w:ascii="Times New Roman" w:hAnsi="Times New Roman" w:cs="Times New Roman"/>
                <w:bCs/>
                <w:color w:val="auto"/>
                <w:sz w:val="24"/>
                <w:lang w:bidi="ar"/>
              </w:rPr>
              <w:t>页岩气</w:t>
            </w:r>
            <w:r>
              <w:rPr>
                <w:rFonts w:hint="default" w:ascii="Times New Roman" w:hAnsi="Times New Roman" w:cs="Times New Roman"/>
                <w:bCs/>
                <w:color w:val="auto"/>
                <w:sz w:val="24"/>
                <w:lang w:eastAsia="zh-CN" w:bidi="ar"/>
              </w:rPr>
              <w:t>）</w:t>
            </w:r>
            <w:r>
              <w:rPr>
                <w:rFonts w:hint="default" w:ascii="Times New Roman" w:hAnsi="Times New Roman" w:cs="Times New Roman"/>
                <w:bCs/>
                <w:color w:val="auto"/>
                <w:sz w:val="24"/>
                <w:lang w:bidi="ar"/>
              </w:rPr>
              <w:t>千亿立方米</w:t>
            </w:r>
            <w:r>
              <w:rPr>
                <w:rFonts w:hint="default" w:ascii="Times New Roman" w:hAnsi="Times New Roman" w:cs="Times New Roman"/>
                <w:bCs/>
                <w:color w:val="auto"/>
                <w:sz w:val="24"/>
                <w:lang w:val="en-US" w:eastAsia="zh-CN" w:bidi="ar"/>
              </w:rPr>
              <w:t>级</w:t>
            </w:r>
            <w:r>
              <w:rPr>
                <w:rFonts w:hint="default" w:ascii="Times New Roman" w:hAnsi="Times New Roman" w:cs="Times New Roman"/>
                <w:bCs/>
                <w:color w:val="auto"/>
                <w:sz w:val="24"/>
                <w:lang w:bidi="ar"/>
              </w:rPr>
              <w:t>产能基地”</w:t>
            </w:r>
            <w:r>
              <w:rPr>
                <w:rFonts w:hint="default" w:ascii="Times New Roman" w:hAnsi="Times New Roman" w:cs="Times New Roman"/>
                <w:bCs/>
                <w:color w:val="auto"/>
                <w:sz w:val="24"/>
                <w:lang w:eastAsia="zh-CN" w:bidi="ar"/>
              </w:rPr>
              <w:t>；“</w:t>
            </w:r>
            <w:r>
              <w:rPr>
                <w:rFonts w:hint="default" w:ascii="Times New Roman" w:hAnsi="Times New Roman" w:cs="Times New Roman"/>
                <w:bCs/>
                <w:color w:val="auto"/>
                <w:sz w:val="24"/>
                <w:lang w:val="en-US" w:eastAsia="zh-CN" w:bidi="ar"/>
              </w:rPr>
              <w:t>川东北能源建材勘查开发区。包括南充、</w:t>
            </w:r>
            <w:r>
              <w:rPr>
                <w:rFonts w:hint="default" w:ascii="Times New Roman" w:hAnsi="Times New Roman" w:cs="Times New Roman"/>
                <w:b/>
                <w:bCs w:val="0"/>
                <w:color w:val="auto"/>
                <w:sz w:val="24"/>
                <w:lang w:val="en-US" w:eastAsia="zh-CN" w:bidi="ar"/>
              </w:rPr>
              <w:t>达州</w:t>
            </w:r>
            <w:r>
              <w:rPr>
                <w:rFonts w:hint="default" w:ascii="Times New Roman" w:hAnsi="Times New Roman" w:cs="Times New Roman"/>
                <w:bCs/>
                <w:color w:val="auto"/>
                <w:sz w:val="24"/>
                <w:lang w:val="en-US" w:eastAsia="zh-CN" w:bidi="ar"/>
              </w:rPr>
              <w:t>、广安、巴中、广元5市，大力发展清洁能源化工、特色矿产品精深加工，推动川东北经济区振兴发展”；“重点勘查矿种：</w:t>
            </w:r>
            <w:r>
              <w:rPr>
                <w:rFonts w:hint="default" w:ascii="Times New Roman" w:hAnsi="Times New Roman" w:cs="Times New Roman"/>
                <w:b/>
                <w:bCs w:val="0"/>
                <w:color w:val="auto"/>
                <w:sz w:val="24"/>
                <w:lang w:val="en-US" w:eastAsia="zh-CN" w:bidi="ar"/>
              </w:rPr>
              <w:t>川东北重点勘查天然气</w:t>
            </w:r>
            <w:r>
              <w:rPr>
                <w:rFonts w:hint="default" w:ascii="Times New Roman" w:hAnsi="Times New Roman" w:cs="Times New Roman"/>
                <w:bCs/>
                <w:color w:val="auto"/>
                <w:sz w:val="24"/>
                <w:lang w:val="en-US" w:eastAsia="zh-CN" w:bidi="ar"/>
              </w:rPr>
              <w:t>、页岩油、天然沥青、煤层气、钒、铼、地热、钾盐、石墨”。</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lang w:bidi="ar"/>
              </w:rPr>
            </w:pPr>
            <w:r>
              <w:rPr>
                <w:rFonts w:hint="default" w:ascii="Times New Roman" w:hAnsi="Times New Roman" w:cs="Times New Roman"/>
                <w:bCs/>
                <w:color w:val="auto"/>
                <w:sz w:val="24"/>
                <w:lang w:bidi="ar"/>
              </w:rPr>
              <w:t>本项目</w:t>
            </w:r>
            <w:r>
              <w:rPr>
                <w:rFonts w:hint="default" w:ascii="Times New Roman" w:hAnsi="Times New Roman" w:cs="Times New Roman"/>
                <w:bCs/>
                <w:color w:val="auto"/>
                <w:sz w:val="24"/>
                <w:lang w:val="en-US" w:eastAsia="zh-CN" w:bidi="ar"/>
              </w:rPr>
              <w:t>为达州市境内的</w:t>
            </w:r>
            <w:r>
              <w:rPr>
                <w:rFonts w:hint="default" w:ascii="Times New Roman" w:hAnsi="Times New Roman" w:cs="Times New Roman"/>
                <w:b/>
                <w:bCs w:val="0"/>
                <w:color w:val="auto"/>
                <w:sz w:val="24"/>
                <w:lang w:eastAsia="zh-CN" w:bidi="ar"/>
              </w:rPr>
              <w:t>陆地矿产资源地质勘查（含油气资源勘探）</w:t>
            </w:r>
            <w:r>
              <w:rPr>
                <w:rFonts w:hint="default" w:ascii="Times New Roman" w:hAnsi="Times New Roman" w:cs="Times New Roman"/>
                <w:bCs/>
                <w:color w:val="auto"/>
                <w:sz w:val="24"/>
                <w:lang w:val="en-US" w:eastAsia="zh-CN" w:bidi="ar"/>
              </w:rPr>
              <w:t>，</w:t>
            </w:r>
            <w:r>
              <w:rPr>
                <w:rFonts w:hint="eastAsia" w:cs="Times New Roman"/>
                <w:bCs/>
                <w:color w:val="auto"/>
                <w:sz w:val="24"/>
                <w:lang w:val="en-US" w:eastAsia="zh-CN" w:bidi="ar"/>
              </w:rPr>
              <w:t>项目</w:t>
            </w:r>
            <w:r>
              <w:rPr>
                <w:rFonts w:hint="default" w:ascii="Times New Roman" w:hAnsi="Times New Roman" w:cs="Times New Roman"/>
                <w:bCs/>
                <w:color w:val="auto"/>
                <w:sz w:val="24"/>
                <w:lang w:val="en-US" w:eastAsia="zh-CN" w:bidi="ar"/>
              </w:rPr>
              <w:t>位于</w:t>
            </w:r>
            <w:r>
              <w:rPr>
                <w:rFonts w:hint="eastAsia" w:cs="Times New Roman"/>
                <w:bCs/>
                <w:color w:val="auto"/>
                <w:sz w:val="24"/>
                <w:lang w:val="en-US" w:eastAsia="zh-CN" w:bidi="ar"/>
              </w:rPr>
              <w:t>达州市宣汉地区的天然气勘查</w:t>
            </w:r>
            <w:r>
              <w:rPr>
                <w:rFonts w:hint="default" w:ascii="Times New Roman" w:hAnsi="Times New Roman" w:cs="Times New Roman"/>
                <w:bCs/>
                <w:color w:val="auto"/>
                <w:sz w:val="24"/>
                <w:lang w:eastAsia="zh-CN" w:bidi="ar"/>
              </w:rPr>
              <w:t>，</w:t>
            </w:r>
            <w:r>
              <w:rPr>
                <w:rFonts w:hint="default" w:ascii="Times New Roman" w:hAnsi="Times New Roman" w:cs="Times New Roman"/>
                <w:bCs/>
                <w:color w:val="auto"/>
                <w:sz w:val="24"/>
                <w:lang w:val="en-US" w:eastAsia="zh-CN" w:bidi="ar"/>
              </w:rPr>
              <w:t>属于规划中明确的重点勘查矿种。</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lang w:eastAsia="zh-CN" w:bidi="ar"/>
              </w:rPr>
            </w:pPr>
            <w:r>
              <w:rPr>
                <w:rFonts w:hint="default" w:ascii="Times New Roman" w:hAnsi="Times New Roman" w:cs="Times New Roman"/>
                <w:bCs/>
                <w:color w:val="auto"/>
                <w:sz w:val="24"/>
                <w:lang w:bidi="ar"/>
              </w:rPr>
              <w:t>因此，项目</w:t>
            </w:r>
            <w:r>
              <w:rPr>
                <w:rFonts w:hint="eastAsia" w:cs="Times New Roman"/>
                <w:bCs/>
                <w:color w:val="auto"/>
                <w:sz w:val="24"/>
                <w:lang w:val="en-US" w:eastAsia="zh-CN" w:bidi="ar"/>
              </w:rPr>
              <w:t>的</w:t>
            </w:r>
            <w:r>
              <w:rPr>
                <w:rFonts w:hint="default" w:ascii="Times New Roman" w:hAnsi="Times New Roman" w:cs="Times New Roman"/>
                <w:bCs/>
                <w:color w:val="auto"/>
                <w:sz w:val="24"/>
                <w:lang w:bidi="ar"/>
              </w:rPr>
              <w:t>建设</w:t>
            </w:r>
            <w:r>
              <w:rPr>
                <w:rFonts w:hint="eastAsia" w:cs="Times New Roman"/>
                <w:bCs/>
                <w:color w:val="auto"/>
                <w:sz w:val="24"/>
                <w:lang w:val="en-US" w:eastAsia="zh-CN" w:bidi="ar"/>
              </w:rPr>
              <w:t>符合</w:t>
            </w:r>
            <w:r>
              <w:rPr>
                <w:rFonts w:hint="default" w:ascii="Times New Roman" w:hAnsi="Times New Roman" w:cs="Times New Roman"/>
                <w:bCs/>
                <w:color w:val="auto"/>
                <w:sz w:val="24"/>
                <w:lang w:bidi="ar"/>
              </w:rPr>
              <w:t>《四川省矿产资源总体规划（2021</w:t>
            </w:r>
            <w:r>
              <w:rPr>
                <w:rFonts w:hint="default" w:ascii="Times New Roman" w:hAnsi="Times New Roman" w:cs="Times New Roman"/>
                <w:bCs/>
                <w:color w:val="auto"/>
                <w:sz w:val="24"/>
                <w:lang w:eastAsia="zh-CN" w:bidi="ar"/>
              </w:rPr>
              <w:t>—</w:t>
            </w:r>
            <w:r>
              <w:rPr>
                <w:rFonts w:hint="default" w:ascii="Times New Roman" w:hAnsi="Times New Roman" w:cs="Times New Roman"/>
                <w:bCs/>
                <w:color w:val="auto"/>
                <w:sz w:val="24"/>
                <w:lang w:bidi="ar"/>
              </w:rPr>
              <w:t>2025年）》</w:t>
            </w:r>
            <w:r>
              <w:rPr>
                <w:rFonts w:hint="eastAsia" w:cs="Times New Roman"/>
                <w:bCs/>
                <w:color w:val="auto"/>
                <w:sz w:val="24"/>
                <w:lang w:val="en-US" w:eastAsia="zh-CN" w:bidi="ar"/>
              </w:rPr>
              <w:t>的相关要求</w:t>
            </w:r>
            <w:r>
              <w:rPr>
                <w:rFonts w:hint="default" w:ascii="Times New Roman" w:hAnsi="Times New Roman" w:cs="Times New Roman"/>
                <w:bCs/>
                <w:color w:val="auto"/>
                <w:sz w:val="24"/>
                <w:lang w:val="en-US" w:eastAsia="zh-CN" w:bidi="ar"/>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lang w:val="en-US" w:eastAsia="zh-CN" w:bidi="ar"/>
              </w:rPr>
            </w:pPr>
            <w:r>
              <w:rPr>
                <w:rFonts w:hint="default" w:ascii="Times New Roman" w:hAnsi="Times New Roman" w:cs="Times New Roman"/>
                <w:bCs/>
                <w:color w:val="auto"/>
                <w:sz w:val="24"/>
                <w:lang w:eastAsia="zh-CN" w:bidi="ar"/>
              </w:rPr>
              <w:t>（</w:t>
            </w:r>
            <w:r>
              <w:rPr>
                <w:rFonts w:hint="default" w:ascii="Times New Roman" w:hAnsi="Times New Roman" w:cs="Times New Roman"/>
                <w:bCs/>
                <w:color w:val="auto"/>
                <w:sz w:val="24"/>
                <w:lang w:val="en-US" w:eastAsia="zh-CN" w:bidi="ar"/>
              </w:rPr>
              <w:t>2</w:t>
            </w:r>
            <w:r>
              <w:rPr>
                <w:rFonts w:hint="default" w:ascii="Times New Roman" w:hAnsi="Times New Roman" w:cs="Times New Roman"/>
                <w:bCs/>
                <w:color w:val="auto"/>
                <w:sz w:val="24"/>
                <w:lang w:eastAsia="zh-CN" w:bidi="ar"/>
              </w:rPr>
              <w:t>）</w:t>
            </w:r>
            <w:r>
              <w:rPr>
                <w:rFonts w:hint="default" w:ascii="Times New Roman" w:hAnsi="Times New Roman" w:cs="Times New Roman"/>
                <w:bCs/>
                <w:color w:val="auto"/>
                <w:sz w:val="24"/>
                <w:lang w:val="en-US" w:eastAsia="zh-CN" w:bidi="ar"/>
              </w:rPr>
              <w:t>与《四川省矿产资源总体规划（2021-2025年）》规划环评符合性分析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bCs/>
                <w:color w:val="auto"/>
                <w:sz w:val="24"/>
                <w:lang w:bidi="ar"/>
              </w:rPr>
              <w:t>本项目</w:t>
            </w:r>
            <w:r>
              <w:rPr>
                <w:rFonts w:hint="default" w:ascii="Times New Roman" w:hAnsi="Times New Roman" w:cs="Times New Roman"/>
                <w:color w:val="auto"/>
                <w:kern w:val="0"/>
                <w:sz w:val="24"/>
                <w:lang w:bidi="ar"/>
              </w:rPr>
              <w:t>与《四川省矿产资源总体规划（2021-2025年）环境影响报告书》及审查意见的符合性分析见表1-1。</w:t>
            </w: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b/>
                <w:color w:val="auto"/>
                <w:sz w:val="24"/>
              </w:rPr>
            </w:pPr>
            <w:r>
              <w:rPr>
                <w:rFonts w:hint="default" w:ascii="Times New Roman" w:hAnsi="Times New Roman" w:cs="Times New Roman"/>
                <w:b/>
                <w:color w:val="auto"/>
                <w:sz w:val="24"/>
                <w:lang w:bidi="ar"/>
              </w:rPr>
              <w:t>表1-1 与《四川省矿产资源总体规划（2021-2025年）环境影响报告书》及审查意见符合性分析表</w:t>
            </w:r>
          </w:p>
          <w:tbl>
            <w:tblPr>
              <w:tblStyle w:val="45"/>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979"/>
              <w:gridCol w:w="2464"/>
              <w:gridCol w:w="40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79" w:type="dxa"/>
                  <w:tcBorders>
                    <w:top w:val="single" w:color="auto" w:sz="12" w:space="0"/>
                    <w:left w:val="single" w:color="auto" w:sz="12"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文件情况</w:t>
                  </w:r>
                </w:p>
              </w:tc>
              <w:tc>
                <w:tcPr>
                  <w:tcW w:w="2464" w:type="dxa"/>
                  <w:tcBorders>
                    <w:top w:val="single" w:color="auto" w:sz="12" w:space="0"/>
                    <w:left w:val="single" w:color="auto" w:sz="4"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本项目情况</w:t>
                  </w:r>
                </w:p>
              </w:tc>
              <w:tc>
                <w:tcPr>
                  <w:tcW w:w="401" w:type="dxa"/>
                  <w:tcBorders>
                    <w:top w:val="single" w:color="auto" w:sz="12" w:space="0"/>
                    <w:left w:val="single" w:color="auto" w:sz="4" w:space="0"/>
                    <w:bottom w:val="single" w:color="auto" w:sz="4" w:space="0"/>
                    <w:right w:val="single" w:color="auto" w:sz="12"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79" w:type="dxa"/>
                  <w:tcBorders>
                    <w:top w:val="single" w:color="auto" w:sz="4" w:space="0"/>
                    <w:left w:val="single" w:color="auto" w:sz="12"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b/>
                      <w:bCs/>
                      <w:color w:val="auto"/>
                      <w:szCs w:val="21"/>
                    </w:rPr>
                  </w:pPr>
                  <w:r>
                    <w:rPr>
                      <w:rFonts w:hint="default" w:ascii="Times New Roman" w:hAnsi="Times New Roman" w:cs="Times New Roman"/>
                      <w:b/>
                      <w:bCs/>
                      <w:color w:val="auto"/>
                      <w:szCs w:val="21"/>
                      <w:lang w:bidi="ar"/>
                    </w:rPr>
                    <w:t>严格“三线一单”管控：</w:t>
                  </w:r>
                </w:p>
                <w:p>
                  <w:pPr>
                    <w:keepNext w:val="0"/>
                    <w:keepLines w:val="0"/>
                    <w:suppressLineNumbers w:val="0"/>
                    <w:autoSpaceDE w:val="0"/>
                    <w:autoSpaceDN w:val="0"/>
                    <w:adjustRightInd w:val="0"/>
                    <w:snapToGrid w:val="0"/>
                    <w:spacing w:before="0" w:beforeAutospacing="0" w:after="0" w:afterAutospacing="0"/>
                    <w:ind w:left="0" w:right="0" w:firstLine="420" w:firstLineChars="200"/>
                    <w:jc w:val="center"/>
                    <w:rPr>
                      <w:rFonts w:hint="default" w:ascii="Times New Roman" w:hAnsi="Times New Roman" w:cs="Times New Roman"/>
                      <w:color w:val="auto"/>
                      <w:szCs w:val="21"/>
                    </w:rPr>
                  </w:pPr>
                  <w:r>
                    <w:rPr>
                      <w:rFonts w:hint="default" w:ascii="Times New Roman" w:hAnsi="Times New Roman" w:cs="Times New Roman"/>
                      <w:color w:val="auto"/>
                      <w:szCs w:val="21"/>
                      <w:lang w:bidi="ar"/>
                    </w:rPr>
                    <w:t>规划中的开采区应依法遵守环境敏感区规定，加强规划空间管制，不在生态保护红线内新出让采矿权；出于国家矿产资源战略考虑，可在生态保护红线内开展公益性资源勘查；生态保护红线内已有矿产资源开发应开展生态环境论证，损害生态功能的采矿项目应依法逐步退出。矿产开发企业应当对产生的废水进行处理，达到国家或者四川省的污染物排放标准后方可排放，严禁将未经处理的废水直接排入外环境。矿山开采区应进行必要的防渗处理，防控地下水污染。对农用地实行严格保护，确保其面积不减少、土壤环境质量不下降，禁止任何单位和个人在基本农田保护区内挖砂、采石、采矿、取土、堆放固体废弃物或者进行其他破坏基本农田的活动。采矿权区块实施必须严格执行规划要求，不得超越矿权范围从事采矿活动，不得突破区块矿产资源利用上线。实行用水总量控制和定额管理，严格执行水资源开发利用控制红线，严格取水制度，加强污废水无害化处理和资源化再利用，建设节水型社会。严格控制采矿建设用地，优先进行原有矿山生态环境恢复治理，根据恢复土地数量进行土地供给。推进节能降耗，严格能耗准入门槛。坚持节约优先，严控资源利用上线，降低资源消耗强度，建设资源节约型社会。规划应加强空间管控，严格按照《长江经济带战略环境评价四川省“三线一单”编制成果》及四川省各市州长江经济带战略环境评价“三线一单”编制文本中有关矿产资源勘查开发的准入要求，严格矿产资源开采项目准入，推进矿产资源开发利用布局与结构优化调整，落实《关于加快建设绿色矿山的实施意见》（国土资规〔2017〕4号）等相关规定和要求，推动矿业绿色发展，实现资源开发利用与环境保护相协调的绿色发展格局。</w:t>
                  </w:r>
                </w:p>
              </w:tc>
              <w:tc>
                <w:tcPr>
                  <w:tcW w:w="2464"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本项目</w:t>
                  </w:r>
                  <w:r>
                    <w:rPr>
                      <w:rFonts w:hint="eastAsia" w:cs="Times New Roman"/>
                      <w:color w:val="auto"/>
                      <w:kern w:val="0"/>
                      <w:szCs w:val="21"/>
                      <w:lang w:val="en-US" w:eastAsia="zh-CN" w:bidi="ar"/>
                    </w:rPr>
                    <w:t>选址</w:t>
                  </w:r>
                  <w:r>
                    <w:rPr>
                      <w:rFonts w:hint="default" w:ascii="Times New Roman" w:hAnsi="Times New Roman" w:cs="Times New Roman"/>
                      <w:color w:val="auto"/>
                      <w:kern w:val="0"/>
                      <w:szCs w:val="21"/>
                      <w:lang w:bidi="ar"/>
                    </w:rPr>
                    <w:t>不涉及四川省生态保护红线，</w:t>
                  </w:r>
                  <w:r>
                    <w:rPr>
                      <w:rFonts w:hint="eastAsia" w:cs="Times New Roman"/>
                      <w:color w:val="auto"/>
                      <w:kern w:val="0"/>
                      <w:szCs w:val="21"/>
                      <w:lang w:val="en-US" w:eastAsia="zh-CN" w:bidi="ar"/>
                    </w:rPr>
                    <w:t>不涉及自然保护区、饮用水源保护区、风景名胜区、湿地公园等敏感区域，</w:t>
                  </w:r>
                  <w:r>
                    <w:rPr>
                      <w:rFonts w:hint="default" w:ascii="Times New Roman" w:hAnsi="Times New Roman" w:cs="Times New Roman"/>
                      <w:color w:val="auto"/>
                      <w:kern w:val="0"/>
                      <w:szCs w:val="21"/>
                      <w:lang w:bidi="ar"/>
                    </w:rPr>
                    <w:t>施工过程中产生的废水及固废均交由有资质和处置能力的单位处置，</w:t>
                  </w:r>
                  <w:r>
                    <w:rPr>
                      <w:rFonts w:hint="eastAsia" w:cs="Times New Roman"/>
                      <w:color w:val="auto"/>
                      <w:kern w:val="0"/>
                      <w:szCs w:val="21"/>
                      <w:lang w:val="en-US" w:eastAsia="zh-CN" w:bidi="ar"/>
                    </w:rPr>
                    <w:t>现场</w:t>
                  </w:r>
                  <w:r>
                    <w:rPr>
                      <w:rFonts w:hint="default" w:ascii="Times New Roman" w:hAnsi="Times New Roman" w:cs="Times New Roman"/>
                      <w:color w:val="auto"/>
                      <w:kern w:val="0"/>
                      <w:szCs w:val="21"/>
                      <w:lang w:bidi="ar"/>
                    </w:rPr>
                    <w:t>不外排</w:t>
                  </w:r>
                  <w:r>
                    <w:rPr>
                      <w:rFonts w:hint="eastAsia" w:cs="Times New Roman"/>
                      <w:color w:val="auto"/>
                      <w:kern w:val="0"/>
                      <w:szCs w:val="21"/>
                      <w:lang w:eastAsia="zh-CN" w:bidi="ar"/>
                    </w:rPr>
                    <w:t>。</w:t>
                  </w:r>
                  <w:r>
                    <w:rPr>
                      <w:rFonts w:hint="eastAsia" w:cs="Times New Roman"/>
                      <w:color w:val="auto"/>
                      <w:kern w:val="0"/>
                      <w:szCs w:val="21"/>
                      <w:lang w:val="en-US" w:eastAsia="zh-CN" w:bidi="ar"/>
                    </w:rPr>
                    <w:t>项目不占用永久基本农田。</w:t>
                  </w:r>
                </w:p>
              </w:tc>
              <w:tc>
                <w:tcPr>
                  <w:tcW w:w="401" w:type="dxa"/>
                  <w:tcBorders>
                    <w:top w:val="single" w:color="auto" w:sz="4" w:space="0"/>
                    <w:left w:val="single" w:color="auto" w:sz="4" w:space="0"/>
                    <w:bottom w:val="single" w:color="auto" w:sz="4" w:space="0"/>
                    <w:right w:val="single" w:color="auto" w:sz="12"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79" w:type="dxa"/>
                  <w:tcBorders>
                    <w:top w:val="single" w:color="auto" w:sz="4" w:space="0"/>
                    <w:left w:val="single" w:color="auto" w:sz="12"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b/>
                      <w:bCs/>
                      <w:color w:val="auto"/>
                      <w:szCs w:val="21"/>
                    </w:rPr>
                  </w:pPr>
                  <w:r>
                    <w:rPr>
                      <w:rFonts w:hint="default" w:ascii="Times New Roman" w:hAnsi="Times New Roman" w:cs="Times New Roman"/>
                      <w:b/>
                      <w:bCs/>
                      <w:color w:val="auto"/>
                      <w:szCs w:val="21"/>
                      <w:lang w:bidi="ar"/>
                    </w:rPr>
                    <w:t>严格开采准入条件，优化开发利用结构。</w:t>
                  </w:r>
                </w:p>
                <w:p>
                  <w:pPr>
                    <w:keepNext w:val="0"/>
                    <w:keepLines w:val="0"/>
                    <w:suppressLineNumbers w:val="0"/>
                    <w:autoSpaceDE w:val="0"/>
                    <w:autoSpaceDN w:val="0"/>
                    <w:adjustRightInd w:val="0"/>
                    <w:snapToGrid w:val="0"/>
                    <w:spacing w:before="0" w:beforeAutospacing="0" w:after="0" w:afterAutospacing="0"/>
                    <w:ind w:left="0" w:right="0" w:firstLine="420" w:firstLineChars="200"/>
                    <w:rPr>
                      <w:rFonts w:hint="default" w:ascii="Times New Roman" w:hAnsi="Times New Roman" w:cs="Times New Roman"/>
                      <w:color w:val="auto"/>
                      <w:szCs w:val="21"/>
                    </w:rPr>
                  </w:pPr>
                  <w:r>
                    <w:rPr>
                      <w:rFonts w:hint="default" w:ascii="Times New Roman" w:hAnsi="Times New Roman" w:cs="Times New Roman"/>
                      <w:color w:val="auto"/>
                      <w:szCs w:val="21"/>
                      <w:lang w:bidi="ar"/>
                    </w:rPr>
                    <w:t>限制开采能耗大、污染重的矿产，最大限度减少对环境的破坏。一是加大</w:t>
                  </w:r>
                  <w:r>
                    <w:rPr>
                      <w:rFonts w:hint="default" w:ascii="Times New Roman" w:hAnsi="Times New Roman" w:cs="Times New Roman"/>
                      <w:b/>
                      <w:bCs/>
                      <w:color w:val="auto"/>
                      <w:szCs w:val="21"/>
                      <w:lang w:bidi="ar"/>
                    </w:rPr>
                    <w:t>页岩气</w:t>
                  </w:r>
                  <w:r>
                    <w:rPr>
                      <w:rFonts w:hint="default" w:ascii="Times New Roman" w:hAnsi="Times New Roman" w:cs="Times New Roman"/>
                      <w:color w:val="auto"/>
                      <w:szCs w:val="21"/>
                      <w:lang w:bidi="ar"/>
                    </w:rPr>
                    <w:t>、页岩油、煤层气、地热能等非常规能源矿产以及城镇化和重大基础设施建设所需新型建材矿产勘查开采，保障国家资源安全和区域经济高质量发展需求；二是严格禁止产能过剩、赋存条件差、环境污染重的硫铁矿、芒硝、盐矿、泥炭、石棉等矿产进行勘查或扩大产能，不具备安全生产条件、灾害隐患严重、污染物不能达标排放的矿山应依法关闭；三是严格落实稀土矿开采总量控制制度，同时对水泥用灰岩、磷矿开发规模进行控制。严格执行最低开采规模、三率水平门槛要求，提高资源规模化、集约化开发利用水平，着力构建一批高效、可持续发展的特色产业经济链和勘查开发基地。</w:t>
                  </w:r>
                </w:p>
              </w:tc>
              <w:tc>
                <w:tcPr>
                  <w:tcW w:w="2464"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本项目为陆地矿产资源地质勘查（含油气资源勘探），</w:t>
                  </w:r>
                  <w:r>
                    <w:rPr>
                      <w:rFonts w:hint="eastAsia" w:cs="Times New Roman"/>
                      <w:b/>
                      <w:bCs/>
                      <w:color w:val="auto"/>
                      <w:kern w:val="0"/>
                      <w:szCs w:val="21"/>
                      <w:lang w:val="en-US" w:eastAsia="zh-CN" w:bidi="ar"/>
                    </w:rPr>
                    <w:t>符合加大页岩气等非常规能源矿产勘查的政策，</w:t>
                  </w:r>
                  <w:r>
                    <w:rPr>
                      <w:rFonts w:hint="default" w:ascii="Times New Roman" w:hAnsi="Times New Roman" w:cs="Times New Roman"/>
                      <w:color w:val="auto"/>
                      <w:kern w:val="0"/>
                      <w:szCs w:val="21"/>
                      <w:lang w:bidi="ar"/>
                    </w:rPr>
                    <w:t>实施过程中产生的废水及固废均交由有资质和处置能力的单位处置</w:t>
                  </w:r>
                  <w:r>
                    <w:rPr>
                      <w:rFonts w:hint="eastAsia" w:cs="Times New Roman"/>
                      <w:color w:val="auto"/>
                      <w:kern w:val="0"/>
                      <w:szCs w:val="21"/>
                      <w:lang w:eastAsia="zh-CN" w:bidi="ar"/>
                    </w:rPr>
                    <w:t>，</w:t>
                  </w:r>
                  <w:r>
                    <w:rPr>
                      <w:rFonts w:hint="eastAsia" w:cs="Times New Roman"/>
                      <w:color w:val="auto"/>
                      <w:kern w:val="0"/>
                      <w:szCs w:val="21"/>
                      <w:lang w:val="en-US" w:eastAsia="zh-CN" w:bidi="ar"/>
                    </w:rPr>
                    <w:t>现场不外排。产生的</w:t>
                  </w:r>
                  <w:r>
                    <w:rPr>
                      <w:rFonts w:hint="default" w:ascii="Times New Roman" w:hAnsi="Times New Roman" w:cs="Times New Roman"/>
                      <w:color w:val="auto"/>
                      <w:kern w:val="0"/>
                      <w:szCs w:val="21"/>
                      <w:lang w:bidi="ar"/>
                    </w:rPr>
                    <w:t>污染物均得到有效处置，对环境影响较小。</w:t>
                  </w:r>
                </w:p>
              </w:tc>
              <w:tc>
                <w:tcPr>
                  <w:tcW w:w="401" w:type="dxa"/>
                  <w:tcBorders>
                    <w:top w:val="single" w:color="auto" w:sz="4" w:space="0"/>
                    <w:left w:val="single" w:color="auto" w:sz="4" w:space="0"/>
                    <w:bottom w:val="single" w:color="auto" w:sz="4" w:space="0"/>
                    <w:right w:val="single" w:color="auto" w:sz="12"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79" w:type="dxa"/>
                  <w:tcBorders>
                    <w:top w:val="single" w:color="auto" w:sz="4" w:space="0"/>
                    <w:left w:val="single" w:color="auto" w:sz="12"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b/>
                      <w:bCs/>
                      <w:color w:val="auto"/>
                      <w:szCs w:val="21"/>
                    </w:rPr>
                  </w:pPr>
                  <w:r>
                    <w:rPr>
                      <w:rFonts w:hint="default" w:ascii="Times New Roman" w:hAnsi="Times New Roman" w:cs="Times New Roman"/>
                      <w:b/>
                      <w:bCs/>
                      <w:color w:val="auto"/>
                      <w:szCs w:val="21"/>
                      <w:lang w:bidi="ar"/>
                    </w:rPr>
                    <w:t>建立健全监管与风险防控体系。</w:t>
                  </w:r>
                </w:p>
                <w:p>
                  <w:pPr>
                    <w:keepNext w:val="0"/>
                    <w:keepLines w:val="0"/>
                    <w:suppressLineNumbers w:val="0"/>
                    <w:autoSpaceDE w:val="0"/>
                    <w:autoSpaceDN w:val="0"/>
                    <w:adjustRightInd w:val="0"/>
                    <w:snapToGrid w:val="0"/>
                    <w:spacing w:before="0" w:beforeAutospacing="0" w:after="0" w:afterAutospacing="0"/>
                    <w:ind w:left="0" w:right="0" w:firstLine="420" w:firstLineChars="200"/>
                    <w:jc w:val="center"/>
                    <w:rPr>
                      <w:rFonts w:hint="default" w:ascii="Times New Roman" w:hAnsi="Times New Roman" w:cs="Times New Roman"/>
                      <w:color w:val="auto"/>
                      <w:szCs w:val="21"/>
                    </w:rPr>
                  </w:pPr>
                  <w:r>
                    <w:rPr>
                      <w:rFonts w:hint="default" w:ascii="Times New Roman" w:hAnsi="Times New Roman" w:cs="Times New Roman"/>
                      <w:color w:val="auto"/>
                      <w:szCs w:val="21"/>
                      <w:lang w:bidi="ar"/>
                    </w:rPr>
                    <w:t>坚持生态补偿和资源有偿使用制度，坚持“谁保护，谁受益”。健全自然资源资产产权制度和用途管制制度，发挥体制优势。全面实施生态环境管理监督机制，督促矿山企业依法履行治理责任。严格执行新、改、扩建矿山环境影响评估审批制度与闭坑矿山地质环境恢复治理审批制度，严格执行矿山建设环境保护的“三同时”制度。完善环境突发事件应急源制度。各类矿山均应根据自身环境风险特征，制定针对如河流水质污染、有毒气体泄漏（如天然气、页岩气开采业）、尾矿库溃坝等突发性生态安全事件的应急措施、应急对策的决策、善后处理和影响评价，对重大生态安全事故作出应急处理、现场调查和技术指导。</w:t>
                  </w:r>
                </w:p>
              </w:tc>
              <w:tc>
                <w:tcPr>
                  <w:tcW w:w="2464"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eastAsia" w:cs="Times New Roman"/>
                      <w:color w:val="auto"/>
                      <w:kern w:val="0"/>
                      <w:szCs w:val="21"/>
                      <w:lang w:val="en-US" w:eastAsia="zh-CN" w:bidi="ar"/>
                    </w:rPr>
                    <w:t>施工完成后，</w:t>
                  </w:r>
                  <w:r>
                    <w:rPr>
                      <w:rFonts w:hint="default" w:ascii="Times New Roman" w:hAnsi="Times New Roman" w:cs="Times New Roman"/>
                      <w:color w:val="auto"/>
                      <w:kern w:val="0"/>
                      <w:szCs w:val="21"/>
                      <w:lang w:bidi="ar"/>
                    </w:rPr>
                    <w:t>建设单位将对临时占地采取生态补偿措施，依法履行临时占地治理责任，完善环境突发事件应急源制度并根据风险影响评价结果制定相应的环境风险应急预案。</w:t>
                  </w:r>
                </w:p>
              </w:tc>
              <w:tc>
                <w:tcPr>
                  <w:tcW w:w="401" w:type="dxa"/>
                  <w:tcBorders>
                    <w:top w:val="single" w:color="auto" w:sz="4" w:space="0"/>
                    <w:left w:val="single" w:color="auto" w:sz="4" w:space="0"/>
                    <w:bottom w:val="single" w:color="auto" w:sz="4" w:space="0"/>
                    <w:right w:val="single" w:color="auto" w:sz="12"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79" w:type="dxa"/>
                  <w:tcBorders>
                    <w:top w:val="single" w:color="auto" w:sz="4" w:space="0"/>
                    <w:left w:val="single" w:color="auto" w:sz="12"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firstLine="422" w:firstLineChars="200"/>
                    <w:jc w:val="center"/>
                    <w:rPr>
                      <w:rFonts w:hint="default" w:ascii="Times New Roman" w:hAnsi="Times New Roman" w:cs="Times New Roman"/>
                      <w:color w:val="auto"/>
                      <w:szCs w:val="21"/>
                      <w:lang w:bidi="ar"/>
                    </w:rPr>
                  </w:pPr>
                  <w:r>
                    <w:rPr>
                      <w:rFonts w:hint="default" w:ascii="Times New Roman" w:hAnsi="Times New Roman" w:cs="Times New Roman"/>
                      <w:b/>
                      <w:bCs/>
                      <w:color w:val="auto"/>
                      <w:szCs w:val="21"/>
                      <w:lang w:bidi="ar"/>
                    </w:rPr>
                    <w:t>严格保护生态空间：</w:t>
                  </w:r>
                  <w:r>
                    <w:rPr>
                      <w:rFonts w:hint="default" w:ascii="Times New Roman" w:hAnsi="Times New Roman" w:cs="Times New Roman"/>
                      <w:color w:val="auto"/>
                      <w:szCs w:val="21"/>
                      <w:lang w:bidi="ar"/>
                    </w:rPr>
                    <w:t>优化《规划》布局。将生态保护红线作为保障和维护区域生态安全的底线，进一步优化矿业权设置和空间布局，依法依规对生态空间实施严格保护。针对与生态保护红线存在空间重叠的勘查规划区块KQ51000000040、开采规划区块CQ51000000004、CQ51000000025等，进一步优化布局，确保满足生态保护红线管控要求。针对与自然保护区、饮用水水源保护区、森林公园、湿地公园、风景名胜区等存在空间局部重叠的KQ51000000005等5个勘查规划区块、CQ51000000004等3个开采规划区块、KZ51000000002等9个规划重点勘查区、CZ51000000001等4，个重点开采区、GK51000000001等7个国家规划矿区、NY51000000001等8个能源资源基地、ZB51000000002等3个战略性矿产储备区，进一步优化布局，确保满足相关生态环境敏感区管控要求。落实《报告书》提出的位于一般生态空间的22个已设采矿权保留区块、34个勘查规划区块的管控要求，进一步优化布局，依法依规妥善处置，严格控制采矿、探矿活动范围和强度。</w:t>
                  </w:r>
                </w:p>
              </w:tc>
              <w:tc>
                <w:tcPr>
                  <w:tcW w:w="2464"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kern w:val="0"/>
                      <w:szCs w:val="21"/>
                      <w:lang w:val="en-US" w:eastAsia="zh-CN" w:bidi="ar"/>
                    </w:rPr>
                  </w:pPr>
                  <w:r>
                    <w:rPr>
                      <w:rFonts w:hint="default" w:ascii="Times New Roman" w:hAnsi="Times New Roman" w:cs="Times New Roman"/>
                      <w:color w:val="auto"/>
                      <w:kern w:val="0"/>
                      <w:szCs w:val="21"/>
                      <w:lang w:bidi="ar"/>
                    </w:rPr>
                    <w:t>本项目属于一般管控空间，项目不涉及达州市生态保护红线、自然保护区、森林公园、湿地公园、风景名胜区等敏感区域，项目施工过程中产生的污染采取措施后均得到有效处置，废水、固废现场不外排。</w:t>
                  </w:r>
                  <w:r>
                    <w:rPr>
                      <w:rFonts w:hint="eastAsia" w:cs="Times New Roman"/>
                      <w:color w:val="auto"/>
                      <w:kern w:val="0"/>
                      <w:szCs w:val="21"/>
                      <w:lang w:val="en-US" w:eastAsia="zh-CN" w:bidi="ar"/>
                    </w:rPr>
                    <w:t>本项目不涉及饮用水源保护区。</w:t>
                  </w:r>
                </w:p>
              </w:tc>
              <w:tc>
                <w:tcPr>
                  <w:tcW w:w="401" w:type="dxa"/>
                  <w:tcBorders>
                    <w:top w:val="single" w:color="auto" w:sz="4" w:space="0"/>
                    <w:left w:val="single" w:color="auto" w:sz="4" w:space="0"/>
                    <w:bottom w:val="single" w:color="auto" w:sz="4" w:space="0"/>
                    <w:right w:val="single" w:color="auto" w:sz="12"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79" w:type="dxa"/>
                  <w:tcBorders>
                    <w:top w:val="single" w:color="auto" w:sz="4" w:space="0"/>
                    <w:left w:val="single" w:color="auto" w:sz="12"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b/>
                      <w:bCs/>
                      <w:color w:val="auto"/>
                      <w:szCs w:val="21"/>
                      <w:lang w:bidi="ar"/>
                    </w:rPr>
                    <w:t>加强矿山生态修复和环境治理：</w:t>
                  </w:r>
                  <w:r>
                    <w:rPr>
                      <w:rFonts w:hint="default" w:ascii="Times New Roman" w:hAnsi="Times New Roman" w:cs="Times New Roman"/>
                      <w:color w:val="auto"/>
                      <w:szCs w:val="21"/>
                      <w:lang w:bidi="ar"/>
                    </w:rPr>
                    <w:t>结合区域生态环境质量改善目标和主要生态环境问题，分区域、世分矿种确定矿山生态修复和环境治理总体要求，将规划任务分解细化到具体矿区、矿山，确保“十四五”规划期矿山生态修复治理面积不小于2000公顷。重视关闭矿山及历史遗留矿山的生态环境问题，明确污染治理及生态修复的任务、要求和时限。对可能造成重金属污染等环境问题的攀西地区磷矿、铅锌矿、钒钛磁铁矿、稀土等矿区，进一步优化开发方式，推进结构调整，加大治理投入。强化阿坝州锂矿等高海拔生态脆弱区矿产开采的生态环境影响分析论证，采取有针对性的生态保护与修复措施。针对喀斯特地貌发育的川南地区矿产开发活动，应强化地下水污染防治措施。</w:t>
                  </w:r>
                </w:p>
              </w:tc>
              <w:tc>
                <w:tcPr>
                  <w:tcW w:w="2464"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本项目废水经重叠液罐收集后拟由罐车拉运至</w:t>
                  </w:r>
                  <w:r>
                    <w:rPr>
                      <w:rFonts w:hint="eastAsia" w:cs="Times New Roman"/>
                      <w:color w:val="auto"/>
                      <w:kern w:val="0"/>
                      <w:szCs w:val="21"/>
                      <w:lang w:eastAsia="zh-CN" w:bidi="ar"/>
                    </w:rPr>
                    <w:t>赵家坝污水处理站</w:t>
                  </w:r>
                  <w:r>
                    <w:rPr>
                      <w:rFonts w:hint="default" w:ascii="Times New Roman" w:hAnsi="Times New Roman" w:cs="Times New Roman"/>
                      <w:color w:val="auto"/>
                      <w:kern w:val="0"/>
                      <w:szCs w:val="21"/>
                      <w:lang w:bidi="ar"/>
                    </w:rPr>
                    <w:t>处理达标后</w:t>
                  </w:r>
                  <w:r>
                    <w:rPr>
                      <w:rFonts w:hint="eastAsia" w:cs="Times New Roman"/>
                      <w:color w:val="auto"/>
                      <w:kern w:val="0"/>
                      <w:szCs w:val="21"/>
                      <w:lang w:eastAsia="zh-CN" w:bidi="ar"/>
                    </w:rPr>
                    <w:t>由罐车拉运至普光3井等</w:t>
                  </w:r>
                  <w:r>
                    <w:rPr>
                      <w:rFonts w:hint="default" w:ascii="Times New Roman" w:hAnsi="Times New Roman" w:cs="Times New Roman"/>
                      <w:color w:val="auto"/>
                      <w:kern w:val="0"/>
                      <w:szCs w:val="21"/>
                      <w:lang w:bidi="ar"/>
                    </w:rPr>
                    <w:t>回注站回注，项目</w:t>
                  </w:r>
                  <w:r>
                    <w:rPr>
                      <w:rFonts w:hint="eastAsia" w:cs="Times New Roman"/>
                      <w:color w:val="auto"/>
                      <w:kern w:val="0"/>
                      <w:szCs w:val="21"/>
                      <w:lang w:val="en-US" w:eastAsia="zh-CN" w:bidi="ar"/>
                    </w:rPr>
                    <w:t>备用</w:t>
                  </w:r>
                  <w:r>
                    <w:rPr>
                      <w:rFonts w:hint="default" w:ascii="Times New Roman" w:hAnsi="Times New Roman" w:cs="Times New Roman"/>
                      <w:color w:val="auto"/>
                      <w:kern w:val="0"/>
                      <w:szCs w:val="21"/>
                      <w:lang w:bidi="ar"/>
                    </w:rPr>
                    <w:t>柴油发电机使用优质柴油，废气产生量较小</w:t>
                  </w:r>
                  <w:r>
                    <w:rPr>
                      <w:rFonts w:hint="eastAsia" w:cs="Times New Roman"/>
                      <w:color w:val="auto"/>
                      <w:kern w:val="0"/>
                      <w:szCs w:val="21"/>
                      <w:lang w:eastAsia="zh-CN" w:bidi="ar"/>
                    </w:rPr>
                    <w:t>。</w:t>
                  </w:r>
                  <w:r>
                    <w:rPr>
                      <w:rFonts w:hint="eastAsia" w:cs="Times New Roman"/>
                      <w:color w:val="auto"/>
                      <w:kern w:val="0"/>
                      <w:szCs w:val="21"/>
                      <w:lang w:val="en-US" w:eastAsia="zh-CN" w:bidi="ar"/>
                    </w:rPr>
                    <w:t>本项目一开段</w:t>
                  </w:r>
                  <w:r>
                    <w:rPr>
                      <w:rFonts w:hint="eastAsia" w:cs="Times New Roman"/>
                      <w:color w:val="auto"/>
                      <w:kern w:val="0"/>
                      <w:szCs w:val="21"/>
                      <w:lang w:eastAsia="zh-CN" w:bidi="ar"/>
                    </w:rPr>
                    <w:t>采用清水钻井，</w:t>
                  </w:r>
                  <w:r>
                    <w:rPr>
                      <w:rFonts w:hint="eastAsia" w:cs="Times New Roman"/>
                      <w:color w:val="auto"/>
                      <w:kern w:val="0"/>
                      <w:szCs w:val="21"/>
                      <w:lang w:val="en-US" w:eastAsia="zh-CN" w:bidi="ar"/>
                    </w:rPr>
                    <w:t>二开段采用空气钻</w:t>
                  </w:r>
                  <w:r>
                    <w:rPr>
                      <w:rFonts w:hint="eastAsia" w:cs="Times New Roman"/>
                      <w:color w:val="auto"/>
                      <w:kern w:val="0"/>
                      <w:szCs w:val="21"/>
                      <w:lang w:eastAsia="zh-CN" w:bidi="ar"/>
                    </w:rPr>
                    <w:t>可有效保护区域地下水环境。</w:t>
                  </w:r>
                  <w:r>
                    <w:rPr>
                      <w:rFonts w:hint="eastAsia" w:cs="Times New Roman"/>
                      <w:color w:val="auto"/>
                      <w:kern w:val="0"/>
                      <w:szCs w:val="21"/>
                      <w:lang w:val="en-US" w:eastAsia="zh-CN" w:bidi="ar"/>
                    </w:rPr>
                    <w:t>项目产生的</w:t>
                  </w:r>
                  <w:r>
                    <w:rPr>
                      <w:rFonts w:hint="default" w:ascii="Times New Roman" w:hAnsi="Times New Roman" w:cs="Times New Roman"/>
                      <w:color w:val="auto"/>
                      <w:kern w:val="0"/>
                      <w:szCs w:val="21"/>
                      <w:lang w:bidi="ar"/>
                    </w:rPr>
                    <w:t>岩屑按要求就近交给依法取得生态环境部门关于利用和处置相关工业固体废物项目环评批复、具有处理处置相应固体废物能力并配套建设有废气、废水、固废等污染物治理设施的单位进行资源化利用</w:t>
                  </w:r>
                  <w:r>
                    <w:rPr>
                      <w:rFonts w:hint="eastAsia" w:cs="Times New Roman"/>
                      <w:color w:val="auto"/>
                      <w:kern w:val="0"/>
                      <w:szCs w:val="21"/>
                      <w:lang w:eastAsia="zh-CN" w:bidi="ar"/>
                    </w:rPr>
                    <w:t>。</w:t>
                  </w:r>
                  <w:r>
                    <w:rPr>
                      <w:rFonts w:hint="default" w:ascii="Times New Roman" w:hAnsi="Times New Roman" w:cs="Times New Roman"/>
                      <w:color w:val="auto"/>
                      <w:kern w:val="0"/>
                      <w:szCs w:val="21"/>
                      <w:lang w:bidi="ar"/>
                    </w:rPr>
                    <w:t>本项目施工时间较短，噪声随施工结束而结束，对外环境影响较小。综上所述，本项目各污染因素均得到有效处置，符合污染物控制要求。</w:t>
                  </w:r>
                </w:p>
              </w:tc>
              <w:tc>
                <w:tcPr>
                  <w:tcW w:w="401" w:type="dxa"/>
                  <w:tcBorders>
                    <w:top w:val="single" w:color="auto" w:sz="4" w:space="0"/>
                    <w:left w:val="single" w:color="auto" w:sz="4" w:space="0"/>
                    <w:bottom w:val="single" w:color="auto" w:sz="4" w:space="0"/>
                    <w:right w:val="single" w:color="auto" w:sz="12"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bl>
          <w:p>
            <w:pPr>
              <w:keepNext w:val="0"/>
              <w:keepLines w:val="0"/>
              <w:suppressLineNumbers w:val="0"/>
              <w:autoSpaceDE w:val="0"/>
              <w:autoSpaceDN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lang w:bidi="ar"/>
              </w:rPr>
            </w:pPr>
            <w:r>
              <w:rPr>
                <w:rFonts w:hint="default" w:ascii="Times New Roman" w:hAnsi="Times New Roman" w:cs="Times New Roman"/>
                <w:color w:val="auto"/>
                <w:kern w:val="0"/>
                <w:sz w:val="24"/>
                <w:lang w:bidi="ar"/>
              </w:rPr>
              <w:t>综上所述，项目建设</w:t>
            </w:r>
            <w:r>
              <w:rPr>
                <w:rFonts w:hint="eastAsia" w:cs="Times New Roman"/>
                <w:color w:val="auto"/>
                <w:kern w:val="0"/>
                <w:sz w:val="24"/>
                <w:lang w:val="en-US" w:eastAsia="zh-CN" w:bidi="ar"/>
              </w:rPr>
              <w:t>符合</w:t>
            </w:r>
            <w:r>
              <w:rPr>
                <w:rFonts w:hint="default" w:ascii="Times New Roman" w:hAnsi="Times New Roman" w:cs="Times New Roman"/>
                <w:color w:val="auto"/>
                <w:kern w:val="0"/>
                <w:sz w:val="24"/>
                <w:lang w:bidi="ar"/>
              </w:rPr>
              <w:t>《四川省矿产资源总体规划（2021-2025年）环境影响报告书》及审查意见</w:t>
            </w:r>
            <w:r>
              <w:rPr>
                <w:rFonts w:hint="eastAsia" w:cs="Times New Roman"/>
                <w:color w:val="auto"/>
                <w:kern w:val="0"/>
                <w:sz w:val="24"/>
                <w:lang w:val="en-US" w:eastAsia="zh-CN" w:bidi="ar"/>
              </w:rPr>
              <w:t>相关要求</w:t>
            </w:r>
            <w:r>
              <w:rPr>
                <w:rFonts w:hint="default" w:ascii="Times New Roman" w:hAnsi="Times New Roman" w:cs="Times New Roman"/>
                <w:color w:val="auto"/>
                <w:kern w:val="0"/>
                <w:sz w:val="24"/>
                <w:lang w:bidi="ar"/>
              </w:rPr>
              <w:t>。</w:t>
            </w:r>
          </w:p>
          <w:p>
            <w:pPr>
              <w:keepNext w:val="0"/>
              <w:keepLines w:val="0"/>
              <w:suppressLineNumbers w:val="0"/>
              <w:autoSpaceDE w:val="0"/>
              <w:autoSpaceDN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lang w:bidi="ar"/>
              </w:rPr>
            </w:pPr>
            <w:r>
              <w:rPr>
                <w:rFonts w:hint="default" w:ascii="Times New Roman" w:hAnsi="Times New Roman" w:cs="Times New Roman"/>
                <w:color w:val="auto"/>
                <w:kern w:val="0"/>
                <w:sz w:val="24"/>
                <w:lang w:bidi="ar"/>
              </w:rPr>
              <w:t>（</w:t>
            </w:r>
            <w:r>
              <w:rPr>
                <w:rFonts w:hint="default" w:ascii="Times New Roman" w:hAnsi="Times New Roman" w:cs="Times New Roman"/>
                <w:color w:val="auto"/>
                <w:kern w:val="0"/>
                <w:sz w:val="24"/>
                <w:lang w:val="en-US" w:eastAsia="zh-CN" w:bidi="ar"/>
              </w:rPr>
              <w:t>3</w:t>
            </w:r>
            <w:r>
              <w:rPr>
                <w:rFonts w:hint="default" w:ascii="Times New Roman" w:hAnsi="Times New Roman" w:cs="Times New Roman"/>
                <w:color w:val="auto"/>
                <w:kern w:val="0"/>
                <w:sz w:val="24"/>
                <w:lang w:bidi="ar"/>
              </w:rPr>
              <w:t>）与《达州市矿产资源总体规划（2021-2025年）》符合性分析</w:t>
            </w:r>
          </w:p>
          <w:p>
            <w:pPr>
              <w:keepNext w:val="0"/>
              <w:keepLines w:val="0"/>
              <w:suppressLineNumbers w:val="0"/>
              <w:autoSpaceDE w:val="0"/>
              <w:autoSpaceDN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lang w:bidi="ar"/>
              </w:rPr>
            </w:pPr>
            <w:r>
              <w:rPr>
                <w:rFonts w:hint="default" w:ascii="Times New Roman" w:hAnsi="Times New Roman" w:cs="Times New Roman"/>
                <w:color w:val="auto"/>
                <w:kern w:val="0"/>
                <w:sz w:val="24"/>
                <w:lang w:bidi="ar"/>
              </w:rPr>
              <w:t>本项目与《达州市矿产资源总体规划（2021-2025年）》符合性分析如下</w:t>
            </w: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b/>
                <w:color w:val="auto"/>
                <w:sz w:val="22"/>
                <w:szCs w:val="22"/>
                <w:lang w:bidi="ar"/>
              </w:rPr>
            </w:pPr>
            <w:r>
              <w:rPr>
                <w:rFonts w:hint="default" w:ascii="Times New Roman" w:hAnsi="Times New Roman" w:cs="Times New Roman"/>
                <w:b/>
                <w:color w:val="auto"/>
                <w:sz w:val="22"/>
                <w:szCs w:val="22"/>
                <w:lang w:bidi="ar"/>
              </w:rPr>
              <w:t>表1-2 与《达州市矿产资源总体规划（2021-2025年）》符合性分析一览表</w:t>
            </w:r>
          </w:p>
          <w:tbl>
            <w:tblPr>
              <w:tblStyle w:val="45"/>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093"/>
              <w:gridCol w:w="3140"/>
              <w:gridCol w:w="61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882" w:type="dxa"/>
                  <w:tcBorders>
                    <w:top w:val="single" w:color="auto" w:sz="12" w:space="0"/>
                    <w:left w:val="single" w:color="auto" w:sz="12"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文件情况</w:t>
                  </w:r>
                </w:p>
              </w:tc>
              <w:tc>
                <w:tcPr>
                  <w:tcW w:w="2978" w:type="dxa"/>
                  <w:tcBorders>
                    <w:top w:val="single" w:color="auto" w:sz="12" w:space="0"/>
                    <w:left w:val="single" w:color="auto" w:sz="4"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本项目情况</w:t>
                  </w:r>
                </w:p>
              </w:tc>
              <w:tc>
                <w:tcPr>
                  <w:tcW w:w="579" w:type="dxa"/>
                  <w:tcBorders>
                    <w:top w:val="single" w:color="auto" w:sz="12" w:space="0"/>
                    <w:left w:val="single" w:color="auto" w:sz="4" w:space="0"/>
                    <w:bottom w:val="single" w:color="auto" w:sz="4" w:space="0"/>
                    <w:right w:val="single" w:color="auto" w:sz="12"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882" w:type="dxa"/>
                  <w:tcBorders>
                    <w:top w:val="single" w:color="auto" w:sz="4" w:space="0"/>
                    <w:left w:val="single" w:color="auto" w:sz="12"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bCs/>
                      <w:color w:val="auto"/>
                      <w:szCs w:val="21"/>
                    </w:rPr>
                    <w:t>规划目标：</w:t>
                  </w:r>
                  <w:r>
                    <w:rPr>
                      <w:rFonts w:hint="default" w:ascii="Times New Roman" w:hAnsi="Times New Roman" w:cs="Times New Roman"/>
                      <w:color w:val="auto"/>
                      <w:szCs w:val="21"/>
                    </w:rPr>
                    <w:t>围绕达州市国民经济和社会发展“十四五”规划总体目标，结合矿产资源勘查开发与保护现状、供需形势和环境承载力，合理确定矿产资源勘查开发目标任务。到2025年，实现</w:t>
                  </w:r>
                  <w:r>
                    <w:rPr>
                      <w:rFonts w:hint="default" w:ascii="Times New Roman" w:hAnsi="Times New Roman" w:cs="Times New Roman"/>
                      <w:b/>
                      <w:bCs/>
                      <w:color w:val="auto"/>
                      <w:szCs w:val="21"/>
                    </w:rPr>
                    <w:t>天然气</w:t>
                  </w:r>
                  <w:r>
                    <w:rPr>
                      <w:rFonts w:hint="default" w:ascii="Times New Roman" w:hAnsi="Times New Roman" w:cs="Times New Roman"/>
                      <w:color w:val="auto"/>
                      <w:szCs w:val="21"/>
                    </w:rPr>
                    <w:t>、煤、石灰岩、地热等矿产资源储量稳步增长，提高钾盐的勘查水平，提升砂石土矿产资源保障供应能力，优化勘查开发利用与保护空间布局，提升资源节约集约和高效利用水平，推行绿色矿业发展模式，规划矿产资源勘查开发与环境保护协调发展新格局</w:t>
                  </w:r>
                </w:p>
              </w:tc>
              <w:tc>
                <w:tcPr>
                  <w:tcW w:w="2978"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kern w:val="0"/>
                      <w:szCs w:val="21"/>
                      <w:lang w:val="en-US" w:eastAsia="zh-CN"/>
                    </w:rPr>
                  </w:pPr>
                  <w:r>
                    <w:rPr>
                      <w:rFonts w:hint="default" w:ascii="Times New Roman" w:hAnsi="Times New Roman" w:cs="Times New Roman"/>
                      <w:color w:val="auto"/>
                      <w:kern w:val="0"/>
                      <w:szCs w:val="21"/>
                    </w:rPr>
                    <w:t>本项目是为探西向斜千佛崖组1砂致密砂储层及含气性；</w:t>
                  </w:r>
                  <w:r>
                    <w:rPr>
                      <w:rFonts w:hint="eastAsia" w:cs="Times New Roman"/>
                      <w:color w:val="auto"/>
                      <w:kern w:val="0"/>
                      <w:szCs w:val="21"/>
                      <w:lang w:val="en-US" w:eastAsia="zh-CN"/>
                    </w:rPr>
                    <w:t>兼</w:t>
                  </w:r>
                  <w:r>
                    <w:rPr>
                      <w:rFonts w:hint="default" w:ascii="Times New Roman" w:hAnsi="Times New Roman" w:cs="Times New Roman"/>
                      <w:color w:val="auto"/>
                      <w:kern w:val="0"/>
                      <w:szCs w:val="21"/>
                    </w:rPr>
                    <w:t>探须家河组致密砂岩储层及含气性</w:t>
                  </w:r>
                  <w:r>
                    <w:rPr>
                      <w:rFonts w:hint="eastAsia" w:cs="Times New Roman"/>
                      <w:color w:val="auto"/>
                      <w:kern w:val="0"/>
                      <w:szCs w:val="21"/>
                      <w:lang w:eastAsia="zh-CN"/>
                    </w:rPr>
                    <w:t>。</w:t>
                  </w:r>
                  <w:r>
                    <w:rPr>
                      <w:rFonts w:hint="eastAsia" w:cs="Times New Roman"/>
                      <w:color w:val="auto"/>
                      <w:kern w:val="0"/>
                      <w:szCs w:val="21"/>
                      <w:lang w:val="en-US" w:eastAsia="zh-CN"/>
                    </w:rPr>
                    <w:t>项目选址不涉及生态保护红线、自然保护区、饮用水源保护区等生态敏感区，项目实施符合确定矿产资源勘查开发目标任务</w:t>
                  </w:r>
                </w:p>
              </w:tc>
              <w:tc>
                <w:tcPr>
                  <w:tcW w:w="579" w:type="dxa"/>
                  <w:tcBorders>
                    <w:top w:val="single" w:color="auto" w:sz="4" w:space="0"/>
                    <w:left w:val="single" w:color="auto" w:sz="4" w:space="0"/>
                    <w:bottom w:val="single" w:color="auto" w:sz="4" w:space="0"/>
                    <w:right w:val="single" w:color="auto" w:sz="12"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882" w:type="dxa"/>
                  <w:tcBorders>
                    <w:top w:val="single" w:color="auto" w:sz="4" w:space="0"/>
                    <w:left w:val="single" w:color="auto" w:sz="12"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bCs/>
                      <w:color w:val="auto"/>
                      <w:szCs w:val="21"/>
                    </w:rPr>
                    <w:t>矿产勘查开发与保护布局：</w:t>
                  </w:r>
                  <w:r>
                    <w:rPr>
                      <w:rFonts w:hint="default" w:ascii="Times New Roman" w:hAnsi="Times New Roman" w:cs="Times New Roman"/>
                      <w:color w:val="auto"/>
                      <w:szCs w:val="21"/>
                    </w:rPr>
                    <w:t>重点开采矿种：</w:t>
                  </w:r>
                  <w:r>
                    <w:rPr>
                      <w:rFonts w:hint="default" w:ascii="Times New Roman" w:hAnsi="Times New Roman" w:cs="Times New Roman"/>
                      <w:b/>
                      <w:bCs/>
                      <w:color w:val="auto"/>
                      <w:szCs w:val="21"/>
                    </w:rPr>
                    <w:t>天然气</w:t>
                  </w:r>
                  <w:r>
                    <w:rPr>
                      <w:rFonts w:hint="default" w:ascii="Times New Roman" w:hAnsi="Times New Roman" w:cs="Times New Roman"/>
                      <w:color w:val="auto"/>
                      <w:szCs w:val="21"/>
                    </w:rPr>
                    <w:t>、炼焦用煤、地热、石灰岩、砂岩及钾盐。在符合准入条件的前提下，优先出让采矿权，适度扩大开发规模，提高资源供应能力。</w:t>
                  </w:r>
                </w:p>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bCs/>
                      <w:color w:val="auto"/>
                      <w:szCs w:val="21"/>
                    </w:rPr>
                    <w:t>中部能源化工勘查开发区。</w:t>
                  </w:r>
                  <w:r>
                    <w:rPr>
                      <w:rFonts w:hint="default" w:ascii="Times New Roman" w:hAnsi="Times New Roman" w:cs="Times New Roman"/>
                      <w:color w:val="auto"/>
                      <w:szCs w:val="21"/>
                    </w:rPr>
                    <w:t>包括</w:t>
                  </w:r>
                  <w:r>
                    <w:rPr>
                      <w:rFonts w:hint="default" w:ascii="Times New Roman" w:hAnsi="Times New Roman" w:cs="Times New Roman"/>
                      <w:b/>
                      <w:bCs/>
                      <w:color w:val="auto"/>
                      <w:szCs w:val="21"/>
                    </w:rPr>
                    <w:t>宣汉县</w:t>
                  </w:r>
                  <w:r>
                    <w:rPr>
                      <w:rFonts w:hint="default" w:ascii="Times New Roman" w:hAnsi="Times New Roman" w:cs="Times New Roman"/>
                      <w:color w:val="auto"/>
                      <w:szCs w:val="21"/>
                    </w:rPr>
                    <w:t>、开江县。加强天然气、页岩气勘探开发，提升天然气资源综合利用水平。鼓励钾盐勘查开发，加大科研投入，重点攻克锂钾综合利用关键核心技术，力争取得重大突破。鼓励社会资金参与钾盐勘查开发，探索“政府出课题、企业出资金”的新型合作模式，共同推进钾盐产业发展。</w:t>
                  </w:r>
                </w:p>
              </w:tc>
              <w:tc>
                <w:tcPr>
                  <w:tcW w:w="2978" w:type="dxa"/>
                  <w:tcBorders>
                    <w:top w:val="single" w:color="auto" w:sz="4" w:space="0"/>
                    <w:left w:val="single" w:color="auto" w:sz="4" w:space="0"/>
                    <w:bottom w:val="single" w:color="auto" w:sz="4"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本项目属于陆地矿产资源地质勘查（油气资源勘探），</w:t>
                  </w:r>
                  <w:r>
                    <w:rPr>
                      <w:rFonts w:hint="eastAsia" w:cs="Times New Roman"/>
                      <w:color w:val="auto"/>
                      <w:kern w:val="0"/>
                      <w:szCs w:val="21"/>
                      <w:lang w:val="en-US" w:eastAsia="zh-CN"/>
                    </w:rPr>
                    <w:t>项目</w:t>
                  </w:r>
                  <w:r>
                    <w:rPr>
                      <w:rFonts w:hint="default" w:ascii="Times New Roman" w:hAnsi="Times New Roman" w:cs="Times New Roman"/>
                      <w:color w:val="auto"/>
                      <w:kern w:val="0"/>
                      <w:szCs w:val="21"/>
                    </w:rPr>
                    <w:t>位于宣汉县</w:t>
                  </w:r>
                  <w:r>
                    <w:rPr>
                      <w:rFonts w:hint="eastAsia" w:cs="Times New Roman"/>
                      <w:color w:val="auto"/>
                      <w:kern w:val="0"/>
                      <w:szCs w:val="21"/>
                      <w:lang w:eastAsia="zh-CN"/>
                    </w:rPr>
                    <w:t>普光镇</w:t>
                  </w:r>
                  <w:r>
                    <w:rPr>
                      <w:rFonts w:hint="default" w:ascii="Times New Roman" w:hAnsi="Times New Roman" w:cs="Times New Roman"/>
                      <w:color w:val="auto"/>
                      <w:kern w:val="0"/>
                      <w:szCs w:val="21"/>
                    </w:rPr>
                    <w:t>，属于重点勘查</w:t>
                  </w:r>
                  <w:r>
                    <w:rPr>
                      <w:rFonts w:hint="eastAsia" w:cs="Times New Roman"/>
                      <w:color w:val="auto"/>
                      <w:kern w:val="0"/>
                      <w:szCs w:val="21"/>
                      <w:lang w:val="en-US" w:eastAsia="zh-CN"/>
                    </w:rPr>
                    <w:t>矿种</w:t>
                  </w:r>
                  <w:r>
                    <w:rPr>
                      <w:rFonts w:hint="default" w:ascii="Times New Roman" w:hAnsi="Times New Roman" w:cs="Times New Roman"/>
                      <w:color w:val="auto"/>
                      <w:kern w:val="0"/>
                      <w:szCs w:val="21"/>
                    </w:rPr>
                    <w:t>中</w:t>
                  </w:r>
                  <w:r>
                    <w:rPr>
                      <w:rFonts w:hint="eastAsia" w:cs="Times New Roman"/>
                      <w:color w:val="auto"/>
                      <w:kern w:val="0"/>
                      <w:szCs w:val="21"/>
                      <w:lang w:val="en-US" w:eastAsia="zh-CN"/>
                    </w:rPr>
                    <w:t>的</w:t>
                  </w:r>
                  <w:r>
                    <w:rPr>
                      <w:rFonts w:hint="default" w:ascii="Times New Roman" w:hAnsi="Times New Roman" w:cs="Times New Roman"/>
                      <w:color w:val="auto"/>
                      <w:kern w:val="0"/>
                      <w:szCs w:val="21"/>
                    </w:rPr>
                    <w:t>天然气，且本项目不涉及达州市</w:t>
                  </w:r>
                  <w:r>
                    <w:rPr>
                      <w:rFonts w:hint="eastAsia" w:cs="Times New Roman"/>
                      <w:color w:val="auto"/>
                      <w:kern w:val="0"/>
                      <w:szCs w:val="21"/>
                      <w:lang w:eastAsia="zh-CN"/>
                    </w:rPr>
                    <w:t>生态保护红线</w:t>
                  </w:r>
                  <w:r>
                    <w:rPr>
                      <w:rFonts w:hint="default" w:ascii="Times New Roman" w:hAnsi="Times New Roman" w:cs="Times New Roman"/>
                      <w:color w:val="auto"/>
                      <w:kern w:val="0"/>
                      <w:szCs w:val="21"/>
                    </w:rPr>
                    <w:t>，项目位置属于一般管控单元，符合准入条件。</w:t>
                  </w:r>
                </w:p>
              </w:tc>
              <w:tc>
                <w:tcPr>
                  <w:tcW w:w="579" w:type="dxa"/>
                  <w:tcBorders>
                    <w:top w:val="single" w:color="auto" w:sz="4" w:space="0"/>
                    <w:left w:val="single" w:color="auto" w:sz="4" w:space="0"/>
                    <w:bottom w:val="single" w:color="auto" w:sz="4" w:space="0"/>
                    <w:right w:val="single" w:color="auto" w:sz="12"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882" w:type="dxa"/>
                  <w:tcBorders>
                    <w:top w:val="single" w:color="auto" w:sz="4" w:space="0"/>
                    <w:left w:val="single" w:color="auto" w:sz="12" w:space="0"/>
                    <w:bottom w:val="single" w:color="auto" w:sz="12"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bCs/>
                      <w:color w:val="auto"/>
                      <w:szCs w:val="21"/>
                    </w:rPr>
                    <w:t>绿色矿山建设和矿区生态保护</w:t>
                  </w:r>
                  <w:r>
                    <w:rPr>
                      <w:rFonts w:hint="default" w:ascii="Times New Roman" w:hAnsi="Times New Roman" w:cs="Times New Roman"/>
                      <w:color w:val="auto"/>
                      <w:szCs w:val="21"/>
                    </w:rPr>
                    <w:t>：鼓励矿山企业加大科技投入和技术攻关，对于发展绿色矿山建设进行相关新技术、新工艺、新设备研究并取得重大成果的企业，从成果推广、专项资金等方面加以支持，必要时作为典型案例加以推广。研究制定矿产资源节约与综合利用鼓励、限制、淘汰技术目录，通过技术改造，采用先进技术、工艺和装备，逐步淘汰落后产能，提高资源开发利用、节能减排和环境保护的水平，满足绿色矿山建设的要求。</w:t>
                  </w:r>
                </w:p>
              </w:tc>
              <w:tc>
                <w:tcPr>
                  <w:tcW w:w="2978" w:type="dxa"/>
                  <w:tcBorders>
                    <w:top w:val="single" w:color="auto" w:sz="4" w:space="0"/>
                    <w:left w:val="single" w:color="auto" w:sz="4" w:space="0"/>
                    <w:bottom w:val="single" w:color="auto" w:sz="12" w:space="0"/>
                    <w:right w:val="single" w:color="auto" w:sz="4"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本项目废水经重叠液罐收集后拟由罐车拉运至</w:t>
                  </w:r>
                  <w:r>
                    <w:rPr>
                      <w:rFonts w:hint="eastAsia" w:cs="Times New Roman"/>
                      <w:color w:val="auto"/>
                      <w:kern w:val="0"/>
                      <w:szCs w:val="21"/>
                      <w:lang w:eastAsia="zh-CN"/>
                    </w:rPr>
                    <w:t>赵家坝污水处理站</w:t>
                  </w:r>
                  <w:r>
                    <w:rPr>
                      <w:rFonts w:hint="default" w:ascii="Times New Roman" w:hAnsi="Times New Roman" w:cs="Times New Roman"/>
                      <w:color w:val="auto"/>
                      <w:kern w:val="0"/>
                      <w:szCs w:val="21"/>
                    </w:rPr>
                    <w:t>处理达标后</w:t>
                  </w:r>
                  <w:r>
                    <w:rPr>
                      <w:rFonts w:hint="eastAsia" w:cs="Times New Roman"/>
                      <w:color w:val="auto"/>
                      <w:kern w:val="0"/>
                      <w:szCs w:val="21"/>
                      <w:lang w:eastAsia="zh-CN"/>
                    </w:rPr>
                    <w:t>由罐车拉运至普光3井等</w:t>
                  </w:r>
                  <w:r>
                    <w:rPr>
                      <w:rFonts w:hint="default" w:ascii="Times New Roman" w:hAnsi="Times New Roman" w:cs="Times New Roman"/>
                      <w:color w:val="auto"/>
                      <w:kern w:val="0"/>
                      <w:szCs w:val="21"/>
                    </w:rPr>
                    <w:t>回注站回注，</w:t>
                  </w:r>
                  <w:r>
                    <w:rPr>
                      <w:rFonts w:hint="eastAsia" w:cs="Times New Roman"/>
                      <w:color w:val="auto"/>
                      <w:kern w:val="0"/>
                      <w:szCs w:val="21"/>
                      <w:lang w:val="en-US" w:eastAsia="zh-CN"/>
                    </w:rPr>
                    <w:t>现场不外排。</w:t>
                  </w:r>
                  <w:r>
                    <w:rPr>
                      <w:rFonts w:hint="default" w:ascii="Times New Roman" w:hAnsi="Times New Roman" w:cs="Times New Roman"/>
                      <w:color w:val="auto"/>
                      <w:kern w:val="0"/>
                      <w:szCs w:val="21"/>
                    </w:rPr>
                    <w:t>项目</w:t>
                  </w:r>
                  <w:r>
                    <w:rPr>
                      <w:rFonts w:hint="eastAsia" w:cs="Times New Roman"/>
                      <w:color w:val="auto"/>
                      <w:kern w:val="0"/>
                      <w:szCs w:val="21"/>
                      <w:lang w:val="en-US" w:eastAsia="zh-CN"/>
                    </w:rPr>
                    <w:t>备用</w:t>
                  </w:r>
                  <w:r>
                    <w:rPr>
                      <w:rFonts w:hint="default" w:ascii="Times New Roman" w:hAnsi="Times New Roman" w:cs="Times New Roman"/>
                      <w:color w:val="auto"/>
                      <w:kern w:val="0"/>
                      <w:szCs w:val="21"/>
                    </w:rPr>
                    <w:t>柴油发电机使用优质柴油，废气产生量较小，</w:t>
                  </w:r>
                  <w:r>
                    <w:rPr>
                      <w:rFonts w:hint="eastAsia" w:cs="Times New Roman"/>
                      <w:color w:val="auto"/>
                      <w:kern w:val="0"/>
                      <w:szCs w:val="21"/>
                      <w:lang w:val="en-US" w:eastAsia="zh-CN"/>
                    </w:rPr>
                    <w:t>钻井</w:t>
                  </w:r>
                  <w:r>
                    <w:rPr>
                      <w:rFonts w:hint="default" w:ascii="Times New Roman" w:hAnsi="Times New Roman" w:cs="Times New Roman"/>
                      <w:color w:val="auto"/>
                      <w:kern w:val="0"/>
                      <w:szCs w:val="21"/>
                    </w:rPr>
                    <w:t>岩屑按要求就近交给依法取得生态环境部门关于利用和处置相关工业固体废物项目环评批复、具有处理处置相应固体废物能力并配套建设有废气、废水、固废等污染物治理设施的单位进行资源化利用；本项目施工时间较短，噪声随施工结束而结束，对外环境影响较小。综上所述，本项目各污染因素均得到有效处置，符合污染物控制要求。</w:t>
                  </w:r>
                </w:p>
              </w:tc>
              <w:tc>
                <w:tcPr>
                  <w:tcW w:w="579" w:type="dxa"/>
                  <w:tcBorders>
                    <w:top w:val="single" w:color="auto" w:sz="4" w:space="0"/>
                    <w:left w:val="single" w:color="auto" w:sz="4" w:space="0"/>
                    <w:bottom w:val="single" w:color="auto" w:sz="12" w:space="0"/>
                    <w:right w:val="single" w:color="auto" w:sz="12" w:space="0"/>
                  </w:tcBorders>
                  <w:shd w:val="clear" w:color="auto" w:fill="FFFFFF"/>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bidi="ar"/>
                    </w:rPr>
                    <w:t>符合</w:t>
                  </w:r>
                </w:p>
              </w:tc>
            </w:tr>
          </w:tbl>
          <w:p>
            <w:pPr>
              <w:keepNext w:val="0"/>
              <w:keepLines w:val="0"/>
              <w:suppressLineNumbers w:val="0"/>
              <w:autoSpaceDE w:val="0"/>
              <w:autoSpaceDN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lang w:bidi="ar"/>
              </w:rPr>
            </w:pPr>
            <w:r>
              <w:rPr>
                <w:rFonts w:hint="default" w:ascii="Times New Roman" w:hAnsi="Times New Roman" w:cs="Times New Roman"/>
                <w:color w:val="auto"/>
                <w:kern w:val="0"/>
                <w:sz w:val="24"/>
                <w:lang w:bidi="ar"/>
              </w:rPr>
              <w:t>综上所述，项目</w:t>
            </w:r>
            <w:r>
              <w:rPr>
                <w:rFonts w:hint="eastAsia" w:cs="Times New Roman"/>
                <w:color w:val="auto"/>
                <w:kern w:val="0"/>
                <w:sz w:val="24"/>
                <w:lang w:val="en-US" w:eastAsia="zh-CN" w:bidi="ar"/>
              </w:rPr>
              <w:t>的建设</w:t>
            </w:r>
            <w:r>
              <w:rPr>
                <w:rFonts w:hint="default" w:ascii="Times New Roman" w:hAnsi="Times New Roman" w:cs="Times New Roman"/>
                <w:color w:val="auto"/>
                <w:kern w:val="0"/>
                <w:sz w:val="24"/>
                <w:lang w:bidi="ar"/>
              </w:rPr>
              <w:t>符合《四川省达州市矿产资源总体规划（2021-2025年）》相关</w:t>
            </w:r>
            <w:r>
              <w:rPr>
                <w:rFonts w:hint="eastAsia" w:cs="Times New Roman"/>
                <w:color w:val="auto"/>
                <w:kern w:val="0"/>
                <w:sz w:val="24"/>
                <w:lang w:val="en-US" w:eastAsia="zh-CN" w:bidi="ar"/>
              </w:rPr>
              <w:t>要求</w:t>
            </w:r>
            <w:r>
              <w:rPr>
                <w:rFonts w:hint="default" w:ascii="Times New Roman" w:hAnsi="Times New Roman" w:cs="Times New Roman"/>
                <w:color w:val="auto"/>
                <w:kern w:val="0"/>
                <w:sz w:val="24"/>
                <w:lang w:bidi="ar"/>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077" w:hRule="atLeast"/>
        </w:trPr>
        <w:tc>
          <w:tcPr>
            <w:tcW w:w="883" w:type="dxa"/>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bookmarkStart w:id="4" w:name="_Hlk56690880"/>
            <w:r>
              <w:rPr>
                <w:rFonts w:hint="default" w:ascii="Times New Roman" w:hAnsi="Times New Roman" w:cs="Times New Roman"/>
                <w:color w:val="auto"/>
                <w:kern w:val="0"/>
                <w:szCs w:val="21"/>
              </w:rPr>
              <w:t>其他符合性分析</w:t>
            </w:r>
            <w:bookmarkEnd w:id="4"/>
          </w:p>
        </w:tc>
        <w:tc>
          <w:tcPr>
            <w:tcW w:w="7906" w:type="dxa"/>
            <w:gridSpan w:val="3"/>
            <w:tcMar>
              <w:top w:w="16" w:type="dxa"/>
              <w:left w:w="16" w:type="dxa"/>
              <w:right w:w="16" w:type="dxa"/>
            </w:tcMar>
            <w:vAlign w:val="center"/>
          </w:tcPr>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lang w:bidi="ar"/>
              </w:rPr>
            </w:pPr>
            <w:r>
              <w:rPr>
                <w:rFonts w:hint="default" w:ascii="Times New Roman" w:hAnsi="Times New Roman" w:cs="Times New Roman"/>
                <w:b/>
                <w:color w:val="auto"/>
                <w:lang w:bidi="ar"/>
              </w:rPr>
              <w:t>与 “</w:t>
            </w:r>
            <w:r>
              <w:rPr>
                <w:rFonts w:hint="eastAsia" w:ascii="Times New Roman" w:hAnsi="Times New Roman" w:cs="Times New Roman"/>
                <w:b/>
                <w:color w:val="auto"/>
                <w:lang w:val="en-US" w:eastAsia="zh-CN" w:bidi="ar"/>
              </w:rPr>
              <w:t>生态环境分区管控</w:t>
            </w:r>
            <w:r>
              <w:rPr>
                <w:rFonts w:hint="default" w:ascii="Times New Roman" w:hAnsi="Times New Roman" w:cs="Times New Roman"/>
                <w:b/>
                <w:color w:val="auto"/>
                <w:lang w:bidi="ar"/>
              </w:rPr>
              <w:t>”符合性</w:t>
            </w:r>
            <w:r>
              <w:rPr>
                <w:rFonts w:hint="eastAsia" w:ascii="Times New Roman" w:hAnsi="Times New Roman" w:cs="Times New Roman"/>
                <w:b/>
                <w:color w:val="auto"/>
                <w:lang w:val="en-US" w:eastAsia="zh-CN" w:bidi="ar"/>
              </w:rPr>
              <w:t>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lang w:val="en-US" w:eastAsia="zh-CN"/>
              </w:rPr>
            </w:pPr>
            <w:r>
              <w:rPr>
                <w:rFonts w:hint="eastAsia" w:cs="Times New Roman"/>
                <w:bCs/>
                <w:color w:val="auto"/>
                <w:sz w:val="24"/>
                <w:lang w:val="en-US" w:eastAsia="zh-CN"/>
              </w:rPr>
              <w:t>（1）与</w:t>
            </w:r>
            <w:r>
              <w:rPr>
                <w:rFonts w:hint="eastAsia" w:cs="Times New Roman"/>
                <w:b/>
                <w:bCs w:val="0"/>
                <w:color w:val="auto"/>
                <w:sz w:val="24"/>
                <w:lang w:val="en-US" w:eastAsia="zh-CN"/>
              </w:rPr>
              <w:t>《达州市人民政府关于落实生态保护红线、环境质量底线、资源利用上线制定生态环境准入清单实施生态环境分区管控的通知》（达市府发〔2021〕17号）</w:t>
            </w:r>
            <w:r>
              <w:rPr>
                <w:rFonts w:hint="eastAsia" w:cs="Times New Roman"/>
                <w:bCs/>
                <w:color w:val="auto"/>
                <w:sz w:val="24"/>
                <w:lang w:val="en-US" w:eastAsia="zh-CN"/>
              </w:rPr>
              <w:t>符合性分析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lang w:val="en-US" w:eastAsia="zh-CN"/>
              </w:rPr>
              <w:t>根据《达州市人民政府关于落实生态保护红线、环境质量底线、资源利用上线制定生态环境准入清单实施生态环境分区管控的通知》达市府发〔2021〕17号。本项目位于</w:t>
            </w:r>
            <w:r>
              <w:rPr>
                <w:rFonts w:hint="default" w:ascii="Times New Roman" w:hAnsi="Times New Roman" w:cs="Times New Roman"/>
                <w:bCs/>
                <w:color w:val="auto"/>
                <w:sz w:val="24"/>
              </w:rPr>
              <w:t>四川省达州市</w:t>
            </w:r>
            <w:r>
              <w:rPr>
                <w:rFonts w:hint="eastAsia" w:cs="Times New Roman"/>
                <w:bCs/>
                <w:color w:val="auto"/>
                <w:sz w:val="24"/>
                <w:lang w:val="en-US" w:eastAsia="zh-CN"/>
              </w:rPr>
              <w:t>宣汉县普光镇双河社区</w:t>
            </w:r>
            <w:r>
              <w:rPr>
                <w:rFonts w:hint="default" w:ascii="Times New Roman" w:hAnsi="Times New Roman" w:cs="Times New Roman"/>
                <w:bCs/>
                <w:color w:val="auto"/>
                <w:sz w:val="24"/>
                <w:lang w:eastAsia="zh-CN"/>
              </w:rPr>
              <w:t>，项目与</w:t>
            </w:r>
            <w:bookmarkStart w:id="37" w:name="_GoBack"/>
            <w:r>
              <w:rPr>
                <w:rFonts w:hint="default" w:ascii="Times New Roman" w:hAnsi="Times New Roman" w:cs="Times New Roman"/>
                <w:bCs/>
                <w:color w:val="auto"/>
                <w:sz w:val="24"/>
                <w:lang w:val="en-US" w:eastAsia="zh-CN"/>
              </w:rPr>
              <w:t>达州</w:t>
            </w:r>
            <w:r>
              <w:rPr>
                <w:rFonts w:hint="default" w:ascii="Times New Roman" w:hAnsi="Times New Roman" w:cs="Times New Roman"/>
                <w:bCs/>
                <w:color w:val="auto"/>
                <w:sz w:val="24"/>
                <w:lang w:eastAsia="zh-CN"/>
              </w:rPr>
              <w:t>市生态环境管</w:t>
            </w:r>
            <w:bookmarkEnd w:id="37"/>
            <w:r>
              <w:rPr>
                <w:rFonts w:hint="default" w:ascii="Times New Roman" w:hAnsi="Times New Roman" w:cs="Times New Roman"/>
                <w:bCs/>
                <w:color w:val="auto"/>
                <w:sz w:val="24"/>
                <w:lang w:eastAsia="zh-CN"/>
              </w:rPr>
              <w:t>控方案相符性分析表见下表</w:t>
            </w:r>
            <w:r>
              <w:rPr>
                <w:rFonts w:hint="eastAsia" w:cs="Times New Roman"/>
                <w:bCs/>
                <w:color w:val="auto"/>
                <w:sz w:val="24"/>
                <w:lang w:eastAsia="zh-CN"/>
              </w:rPr>
              <w:t>。</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center"/>
              <w:textAlignment w:val="auto"/>
              <w:rPr>
                <w:rFonts w:hint="default" w:ascii="Times New Roman" w:hAnsi="Times New Roman" w:cs="Times New Roman"/>
                <w:bCs/>
                <w:color w:val="auto"/>
                <w:sz w:val="24"/>
                <w:lang w:val="en-US" w:eastAsia="zh-CN"/>
              </w:rPr>
            </w:pPr>
            <w:r>
              <w:rPr>
                <w:rFonts w:hint="default" w:ascii="Times New Roman" w:hAnsi="Times New Roman" w:cs="Times New Roman"/>
                <w:b/>
                <w:bCs w:val="0"/>
                <w:color w:val="auto"/>
                <w:sz w:val="24"/>
                <w:lang w:val="en-US" w:eastAsia="zh-CN"/>
              </w:rPr>
              <w:t xml:space="preserve">表1-6 </w:t>
            </w:r>
            <w:r>
              <w:rPr>
                <w:rFonts w:hint="default" w:ascii="Times New Roman" w:hAnsi="Times New Roman" w:cs="Times New Roman"/>
                <w:b/>
                <w:bCs w:val="0"/>
                <w:color w:val="auto"/>
                <w:sz w:val="24"/>
              </w:rPr>
              <w:t>项目与</w:t>
            </w:r>
            <w:r>
              <w:rPr>
                <w:rFonts w:hint="default" w:ascii="Times New Roman" w:hAnsi="Times New Roman" w:cs="Times New Roman"/>
                <w:b/>
                <w:bCs w:val="0"/>
                <w:color w:val="auto"/>
                <w:sz w:val="24"/>
                <w:lang w:val="en-US" w:eastAsia="zh-CN"/>
              </w:rPr>
              <w:t>达州</w:t>
            </w:r>
            <w:r>
              <w:rPr>
                <w:rFonts w:hint="default" w:ascii="Times New Roman" w:hAnsi="Times New Roman" w:cs="Times New Roman"/>
                <w:b/>
                <w:bCs w:val="0"/>
                <w:color w:val="auto"/>
                <w:sz w:val="24"/>
              </w:rPr>
              <w:t>市生态环境管控方案相符性分析表</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4"/>
              <w:gridCol w:w="4164"/>
              <w:gridCol w:w="23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114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环境管控单元类型</w:t>
                  </w:r>
                </w:p>
              </w:tc>
              <w:tc>
                <w:tcPr>
                  <w:tcW w:w="416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总体生态环境管控要求</w:t>
                  </w:r>
                </w:p>
              </w:tc>
              <w:tc>
                <w:tcPr>
                  <w:tcW w:w="2390"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本项目情况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114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优先保护单元</w:t>
                  </w:r>
                  <w:r>
                    <w:rPr>
                      <w:rFonts w:hint="eastAsia" w:cs="Times New Roman"/>
                      <w:color w:val="auto"/>
                      <w:szCs w:val="21"/>
                      <w:lang w:val="en-US" w:eastAsia="zh-CN"/>
                    </w:rPr>
                    <w:t xml:space="preserve"> </w:t>
                  </w:r>
                </w:p>
              </w:tc>
              <w:tc>
                <w:tcPr>
                  <w:tcW w:w="416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优先保护单元中，应以生态环境保护优先为原则，严格执行相关法律、法规要求，严守生态环境质量底线，确保生态环境功能不降低。</w:t>
                  </w:r>
                </w:p>
              </w:tc>
              <w:tc>
                <w:tcPr>
                  <w:tcW w:w="2390"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本项目不涉及优先保护单元。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8" w:hRule="atLeast"/>
                <w:jc w:val="center"/>
              </w:trPr>
              <w:tc>
                <w:tcPr>
                  <w:tcW w:w="114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重点管控单元</w:t>
                  </w:r>
                  <w:r>
                    <w:rPr>
                      <w:rFonts w:hint="eastAsia" w:cs="Times New Roman"/>
                      <w:color w:val="auto"/>
                      <w:szCs w:val="21"/>
                      <w:lang w:val="en-US" w:eastAsia="zh-CN"/>
                    </w:rPr>
                    <w:t xml:space="preserve"> </w:t>
                  </w:r>
                </w:p>
              </w:tc>
              <w:tc>
                <w:tcPr>
                  <w:tcW w:w="416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重点管控单元中，应针对性地加强污染物排放控制和环境风险防控，解决生态环境质量不达标、生态环境风险突出等问题，制定差别化的生态环境准入要求；对环境质量不达标区域，提出污染物削减比例要求；对环境质量达标区域，提出允许排放量建议指标。</w:t>
                  </w:r>
                </w:p>
              </w:tc>
              <w:tc>
                <w:tcPr>
                  <w:tcW w:w="2390"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lang w:val="en-US" w:eastAsia="zh-CN"/>
                    </w:rPr>
                    <w:t>本项目不涉及</w:t>
                  </w:r>
                  <w:r>
                    <w:rPr>
                      <w:rFonts w:hint="eastAsia" w:ascii="Times New Roman" w:hAnsi="Times New Roman" w:eastAsia="宋体" w:cs="Times New Roman"/>
                      <w:color w:val="auto"/>
                      <w:szCs w:val="21"/>
                      <w:lang w:val="en-US" w:eastAsia="zh-CN"/>
                    </w:rPr>
                    <w:t>重点管控</w:t>
                  </w:r>
                  <w:r>
                    <w:rPr>
                      <w:rFonts w:hint="default" w:ascii="Times New Roman" w:hAnsi="Times New Roman" w:eastAsia="宋体" w:cs="Times New Roman"/>
                      <w:color w:val="auto"/>
                      <w:szCs w:val="21"/>
                      <w:lang w:val="en-US" w:eastAsia="zh-CN"/>
                    </w:rPr>
                    <w:t>单元</w:t>
                  </w:r>
                  <w:r>
                    <w:rPr>
                      <w:rFonts w:hint="eastAsia" w:ascii="Times New Roman" w:hAnsi="Times New Roman" w:eastAsia="宋体" w:cs="Times New Roman"/>
                      <w:color w:val="auto"/>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114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一般管控单元</w:t>
                  </w:r>
                  <w:r>
                    <w:rPr>
                      <w:rFonts w:hint="eastAsia" w:cs="Times New Roman"/>
                      <w:color w:val="auto"/>
                      <w:szCs w:val="21"/>
                      <w:lang w:val="en-US" w:eastAsia="zh-CN"/>
                    </w:rPr>
                    <w:t xml:space="preserve"> </w:t>
                  </w:r>
                </w:p>
              </w:tc>
              <w:tc>
                <w:tcPr>
                  <w:tcW w:w="416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一般管控单元中，执行区域生态环境保护的基本要求，重点加强农业、生活等领域污染治理。</w:t>
                  </w:r>
                </w:p>
              </w:tc>
              <w:tc>
                <w:tcPr>
                  <w:tcW w:w="2390"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本项目施工过程产生的污染物均交由有资质单位处置，现场不外排，污染得到有效处置。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6" w:hRule="atLeast"/>
                <w:jc w:val="center"/>
              </w:trPr>
              <w:tc>
                <w:tcPr>
                  <w:tcW w:w="114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达州市</w:t>
                  </w:r>
                </w:p>
              </w:tc>
              <w:tc>
                <w:tcPr>
                  <w:tcW w:w="416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1.长江干支流岸线1千米范围内，不得新建、扩建化工园区和化工项目。</w:t>
                  </w:r>
                </w:p>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2.严控产业转移环境准入。</w:t>
                  </w:r>
                </w:p>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3.引进项目应符合园区规划环评和区域产业准入清单要求。</w:t>
                  </w:r>
                </w:p>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4.造纸等产业污染治理和环境管理应达到国内先进水平。优化制浆造纸产业布局，提升行业清洁生产水平，推动制浆造纸工业向节能、环保、绿色方向发展。</w:t>
                  </w:r>
                </w:p>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5.深化成都</w:t>
                  </w:r>
                  <w:r>
                    <w:rPr>
                      <w:rFonts w:hint="eastAsia" w:cs="Times New Roman"/>
                      <w:color w:val="auto"/>
                      <w:szCs w:val="21"/>
                      <w:lang w:val="en-US" w:eastAsia="zh-CN"/>
                    </w:rPr>
                    <w:t xml:space="preserve"> </w:t>
                  </w:r>
                  <w:r>
                    <w:rPr>
                      <w:rFonts w:hint="default" w:ascii="Times New Roman" w:hAnsi="Times New Roman" w:eastAsia="宋体" w:cs="Times New Roman"/>
                      <w:color w:val="auto"/>
                      <w:szCs w:val="21"/>
                      <w:lang w:val="en-US" w:eastAsia="zh-CN"/>
                    </w:rPr>
                    <w:t>平原、川南、川东北地区大气污染联防联控工作机制，加强川渝地区联防联控。强化重污染天气区域应急联动机制，深化区域重污染天气联合应对。</w:t>
                  </w:r>
                </w:p>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6.钢铁行业项目新建应参考达州市“三线一单”生态环境分区管控中钢铁行业资源环境绩效准入门槛；达钢等高污染企业限期退城入园；普光气田开发污染防治和环境管理等方面要达国内先进水平。</w:t>
                  </w:r>
                </w:p>
              </w:tc>
              <w:tc>
                <w:tcPr>
                  <w:tcW w:w="2390"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1、本项目不属于化工项目；</w:t>
                  </w:r>
                </w:p>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2、本项目不涉及产业转移；</w:t>
                  </w:r>
                </w:p>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3、本项目属于陆地矿产资源地质勘查（油气资源勘探）</w:t>
                  </w:r>
                  <w:r>
                    <w:rPr>
                      <w:rFonts w:hint="eastAsia" w:ascii="Times New Roman" w:hAnsi="Times New Roman" w:eastAsia="宋体" w:cs="Times New Roman"/>
                      <w:color w:val="auto"/>
                      <w:szCs w:val="21"/>
                      <w:lang w:val="en-US" w:eastAsia="zh-CN"/>
                    </w:rPr>
                    <w:t>，符合国家产业政策</w:t>
                  </w:r>
                  <w:r>
                    <w:rPr>
                      <w:rFonts w:hint="default" w:ascii="Times New Roman" w:hAnsi="Times New Roman" w:eastAsia="宋体" w:cs="Times New Roman"/>
                      <w:color w:val="auto"/>
                      <w:szCs w:val="21"/>
                      <w:lang w:val="en-US" w:eastAsia="zh-CN"/>
                    </w:rPr>
                    <w:t>；</w:t>
                  </w:r>
                </w:p>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4、本项目不涉及造纸；</w:t>
                  </w:r>
                </w:p>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5、本项目</w:t>
                  </w:r>
                  <w:r>
                    <w:rPr>
                      <w:rFonts w:hint="eastAsia" w:ascii="Times New Roman" w:hAnsi="Times New Roman" w:eastAsia="宋体" w:cs="Times New Roman"/>
                      <w:color w:val="auto"/>
                      <w:szCs w:val="21"/>
                      <w:lang w:val="en-US" w:eastAsia="zh-CN"/>
                    </w:rPr>
                    <w:t>施工过程产生的污染物均交由有资质单位处置，现场不外排</w:t>
                  </w:r>
                  <w:r>
                    <w:rPr>
                      <w:rFonts w:hint="default" w:ascii="Times New Roman" w:hAnsi="Times New Roman" w:eastAsia="宋体" w:cs="Times New Roman"/>
                      <w:color w:val="auto"/>
                      <w:szCs w:val="21"/>
                      <w:lang w:val="en-US" w:eastAsia="zh-CN"/>
                    </w:rPr>
                    <w:t>；</w:t>
                  </w:r>
                </w:p>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6、本项目不属于钢铁行业。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5" w:hRule="atLeast"/>
                <w:jc w:val="center"/>
              </w:trPr>
              <w:tc>
                <w:tcPr>
                  <w:tcW w:w="114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宣汉县</w:t>
                  </w:r>
                </w:p>
              </w:tc>
              <w:tc>
                <w:tcPr>
                  <w:tcW w:w="4164"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1.优化天然气化工、硫化工、锂钾综合开发、冶金建材、新材料等产业布局，切实做好危险化学品生产、使用、贮运、废弃全过程的安全防范措施，妥善处理好锂钾综合开发产业副产物及“三废”的综合利用途径或处置去向。</w:t>
                  </w:r>
                </w:p>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2.打好升级版污染防治攻坚战。持续优化调整产业布局，以细颗粒物（PM</w:t>
                  </w:r>
                  <w:r>
                    <w:rPr>
                      <w:rFonts w:hint="default" w:ascii="Times New Roman" w:hAnsi="Times New Roman" w:eastAsia="宋体" w:cs="Times New Roman"/>
                      <w:color w:val="auto"/>
                      <w:szCs w:val="21"/>
                      <w:vertAlign w:val="subscript"/>
                    </w:rPr>
                    <w:t>2.5</w:t>
                  </w:r>
                  <w:r>
                    <w:rPr>
                      <w:rFonts w:hint="default" w:ascii="Times New Roman" w:hAnsi="Times New Roman" w:eastAsia="宋体" w:cs="Times New Roman"/>
                      <w:color w:val="auto"/>
                      <w:szCs w:val="21"/>
                    </w:rPr>
                    <w:t>）和臭氧（O</w:t>
                  </w:r>
                  <w:r>
                    <w:rPr>
                      <w:rFonts w:hint="default" w:ascii="Times New Roman" w:hAnsi="Times New Roman" w:eastAsia="宋体" w:cs="Times New Roman"/>
                      <w:color w:val="auto"/>
                      <w:szCs w:val="21"/>
                      <w:vertAlign w:val="subscript"/>
                    </w:rPr>
                    <w:t>3</w:t>
                  </w:r>
                  <w:r>
                    <w:rPr>
                      <w:rFonts w:hint="default" w:ascii="Times New Roman" w:hAnsi="Times New Roman" w:eastAsia="宋体" w:cs="Times New Roman"/>
                      <w:color w:val="auto"/>
                      <w:szCs w:val="21"/>
                    </w:rPr>
                    <w:t>）污染协同控制为重点，全面开展挥发性有机物（VOCs）治理，实施移动源整治，持续推进空气质量精细化管理。引进项目应符合园区规划环评和区域产业准入清单要求。</w:t>
                  </w:r>
                </w:p>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3.加强小流域水环境保护，推动农村环保基础设施建设，全面推进农村环境综合整治、生活污水处理项目。</w:t>
                  </w:r>
                </w:p>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4.大力开展沿河畜禽养殖污染整治，大力推广生态种植，减少农药化肥使用量；普光气田开发污染防治和环境管理等方面要达国内先进水平。</w:t>
                  </w:r>
                </w:p>
              </w:tc>
              <w:tc>
                <w:tcPr>
                  <w:tcW w:w="2390" w:type="dxa"/>
                  <w:noWrap w:val="0"/>
                  <w:vAlign w:val="center"/>
                </w:tcPr>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1、不涉及</w:t>
                  </w:r>
                  <w:r>
                    <w:rPr>
                      <w:rFonts w:hint="eastAsia" w:cs="Times New Roman"/>
                      <w:color w:val="auto"/>
                      <w:szCs w:val="21"/>
                      <w:lang w:val="en-US" w:eastAsia="zh-CN"/>
                    </w:rPr>
                    <w:t>天然气化工、硫化工等产业，项目实施过程中产生的废水、固废均交由有资质单位处置，不外排</w:t>
                  </w:r>
                  <w:r>
                    <w:rPr>
                      <w:rFonts w:hint="default" w:ascii="Times New Roman" w:hAnsi="Times New Roman" w:eastAsia="宋体" w:cs="Times New Roman"/>
                      <w:color w:val="auto"/>
                      <w:szCs w:val="21"/>
                      <w:lang w:val="en-US" w:eastAsia="zh-CN"/>
                    </w:rPr>
                    <w:t>；</w:t>
                  </w:r>
                </w:p>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2、不涉及挥发性有机物（VOCs）治理；</w:t>
                  </w:r>
                </w:p>
                <w:p>
                  <w:pPr>
                    <w:keepNext w:val="0"/>
                    <w:keepLines w:val="0"/>
                    <w:suppressLineNumbers w:val="0"/>
                    <w:autoSpaceDE w:val="0"/>
                    <w:autoSpaceDN w:val="0"/>
                    <w:adjustRightInd w:val="0"/>
                    <w:snapToGrid w:val="0"/>
                    <w:spacing w:before="0" w:beforeAutospacing="0" w:after="0" w:afterAutospacing="0"/>
                    <w:ind w:left="0" w:right="0"/>
                    <w:jc w:val="both"/>
                    <w:rPr>
                      <w:rFonts w:hint="default" w:ascii="Times New Roman" w:hAnsi="Times New Roman" w:eastAsia="宋体" w:cs="Times New Roman"/>
                      <w:color w:val="auto"/>
                      <w:szCs w:val="21"/>
                      <w:lang w:val="en-US"/>
                    </w:rPr>
                  </w:pPr>
                  <w:r>
                    <w:rPr>
                      <w:rFonts w:hint="default" w:ascii="Times New Roman" w:hAnsi="Times New Roman" w:eastAsia="宋体" w:cs="Times New Roman"/>
                      <w:color w:val="auto"/>
                      <w:szCs w:val="21"/>
                      <w:lang w:val="en-US" w:eastAsia="zh-CN"/>
                    </w:rPr>
                    <w:t>3、本项目</w:t>
                  </w:r>
                  <w:r>
                    <w:rPr>
                      <w:rFonts w:hint="eastAsia" w:ascii="Times New Roman" w:hAnsi="Times New Roman" w:eastAsia="宋体" w:cs="Times New Roman"/>
                      <w:color w:val="auto"/>
                      <w:szCs w:val="21"/>
                      <w:lang w:val="en-US" w:eastAsia="zh-CN"/>
                    </w:rPr>
                    <w:t>施工人员产生的生活污水收集后交由当地污水处理厂处理</w:t>
                  </w:r>
                  <w:r>
                    <w:rPr>
                      <w:rFonts w:hint="default" w:ascii="Times New Roman" w:hAnsi="Times New Roman" w:eastAsia="宋体" w:cs="Times New Roman"/>
                      <w:color w:val="auto"/>
                      <w:szCs w:val="21"/>
                      <w:lang w:val="en-US" w:eastAsia="zh-CN"/>
                    </w:rPr>
                    <w:t>；4、不涉及</w:t>
                  </w:r>
                  <w:r>
                    <w:rPr>
                      <w:rFonts w:hint="eastAsia" w:cs="Times New Roman"/>
                      <w:color w:val="auto"/>
                      <w:szCs w:val="21"/>
                      <w:lang w:val="en-US" w:eastAsia="zh-CN"/>
                    </w:rPr>
                    <w:t>畜禽养殖</w:t>
                  </w:r>
                  <w:r>
                    <w:rPr>
                      <w:rFonts w:hint="default" w:ascii="Times New Roman" w:hAnsi="Times New Roman" w:eastAsia="宋体" w:cs="Times New Roman"/>
                      <w:color w:val="auto"/>
                      <w:szCs w:val="21"/>
                      <w:lang w:val="en-US" w:eastAsia="zh-CN"/>
                    </w:rPr>
                    <w:t>。</w:t>
                  </w:r>
                </w:p>
              </w:tc>
            </w:tr>
          </w:tbl>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cs="Times New Roman"/>
                <w:bCs/>
                <w:color w:val="auto"/>
                <w:sz w:val="24"/>
              </w:rPr>
            </w:pPr>
            <w:r>
              <w:rPr>
                <w:rFonts w:hint="default"/>
                <w:color w:val="auto"/>
                <w:sz w:val="24"/>
              </w:rPr>
              <mc:AlternateContent>
                <mc:Choice Requires="wps">
                  <w:drawing>
                    <wp:anchor distT="0" distB="0" distL="114300" distR="114300" simplePos="0" relativeHeight="251661312" behindDoc="0" locked="0" layoutInCell="1" allowOverlap="1">
                      <wp:simplePos x="0" y="0"/>
                      <wp:positionH relativeFrom="column">
                        <wp:posOffset>2625090</wp:posOffset>
                      </wp:positionH>
                      <wp:positionV relativeFrom="paragraph">
                        <wp:posOffset>1036955</wp:posOffset>
                      </wp:positionV>
                      <wp:extent cx="1000125" cy="421005"/>
                      <wp:effectExtent l="534035" t="6350" r="8890" b="106045"/>
                      <wp:wrapNone/>
                      <wp:docPr id="36" name="矩形标注 36"/>
                      <wp:cNvGraphicFramePr/>
                      <a:graphic xmlns:a="http://schemas.openxmlformats.org/drawingml/2006/main">
                        <a:graphicData uri="http://schemas.microsoft.com/office/word/2010/wordprocessingShape">
                          <wps:wsp>
                            <wps:cNvSpPr/>
                            <wps:spPr>
                              <a:xfrm>
                                <a:off x="3807460" y="5652770"/>
                                <a:ext cx="1000125" cy="421005"/>
                              </a:xfrm>
                              <a:prstGeom prst="wedgeRectCallout">
                                <a:avLst>
                                  <a:gd name="adj1" fmla="val -98634"/>
                                  <a:gd name="adj2" fmla="val 66289"/>
                                </a:avLst>
                              </a:prstGeom>
                            </wps:spPr>
                            <wps:style>
                              <a:lnRef idx="2">
                                <a:schemeClr val="accent1">
                                  <a:lumMod val="75000"/>
                                </a:schemeClr>
                              </a:lnRef>
                              <a:fillRef idx="1">
                                <a:schemeClr val="accent1"/>
                              </a:fillRef>
                              <a:effectRef idx="0">
                                <a:srgbClr val="FFFFFF"/>
                              </a:effectRef>
                              <a:fontRef idx="minor">
                                <a:schemeClr val="lt1"/>
                              </a:fontRef>
                            </wps:style>
                            <wps:txbx>
                              <w:txbxContent>
                                <w:p>
                                  <w:pPr>
                                    <w:jc w:val="center"/>
                                    <w:rPr>
                                      <w:rFonts w:hint="default" w:eastAsia="宋体"/>
                                      <w:lang w:val="en-US" w:eastAsia="zh-CN"/>
                                    </w:rPr>
                                  </w:pPr>
                                  <w:r>
                                    <w:rPr>
                                      <w:rFonts w:hint="eastAsia"/>
                                      <w:lang w:val="en-US" w:eastAsia="zh-CN"/>
                                    </w:rPr>
                                    <w:t>项目位置</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1" type="#_x0000_t61" style="position:absolute;left:0pt;margin-left:206.7pt;margin-top:81.65pt;height:33.15pt;width:78.75pt;z-index:251661312;v-text-anchor:middle;mso-width-relative:page;mso-height-relative:page;" fillcolor="#5B9BD5 [3204]" filled="t" stroked="t" coordsize="21600,21600" o:gfxdata="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" adj="-10505,25118">
                      <v:fill on="t" focussize="0,0"/>
                      <v:stroke weight="1pt" color="#2E75B6 [2404]" miterlimit="8" joinstyle="miter"/>
                      <v:imagedata o:title=""/>
                      <o:lock v:ext="edit" aspectratio="f"/>
                      <v:textbox>
                        <w:txbxContent>
                          <w:p>
                            <w:pPr>
                              <w:jc w:val="center"/>
                              <w:rPr>
                                <w:rFonts w:hint="default" w:eastAsia="宋体"/>
                                <w:lang w:val="en-US" w:eastAsia="zh-CN"/>
                              </w:rPr>
                            </w:pPr>
                            <w:r>
                              <w:rPr>
                                <w:rFonts w:hint="eastAsia"/>
                                <w:lang w:val="en-US" w:eastAsia="zh-CN"/>
                              </w:rPr>
                              <w:t>项目位置</w:t>
                            </w:r>
                          </w:p>
                        </w:txbxContent>
                      </v:textbox>
                    </v:shape>
                  </w:pict>
                </mc:Fallback>
              </mc:AlternateContent>
            </w:r>
            <w:r>
              <w:rPr>
                <w:rFonts w:hint="default" w:ascii="Times New Roman" w:hAnsi="Times New Roman" w:cs="Times New Roman"/>
                <w:bCs/>
                <w:color w:val="auto"/>
                <w:sz w:val="24"/>
              </w:rPr>
              <w:drawing>
                <wp:inline distT="0" distB="0" distL="114300" distR="114300">
                  <wp:extent cx="4914265" cy="3477895"/>
                  <wp:effectExtent l="0" t="0" r="635" b="8255"/>
                  <wp:docPr id="35" name="图片 1" descr="微信截图_202407251026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1" descr="微信截图_20240725102605"/>
                          <pic:cNvPicPr>
                            <a:picLocks noChangeAspect="1"/>
                          </pic:cNvPicPr>
                        </pic:nvPicPr>
                        <pic:blipFill>
                          <a:blip r:embed="rId7"/>
                          <a:stretch>
                            <a:fillRect/>
                          </a:stretch>
                        </pic:blipFill>
                        <pic:spPr>
                          <a:xfrm>
                            <a:off x="0" y="0"/>
                            <a:ext cx="4914265" cy="3477895"/>
                          </a:xfrm>
                          <a:prstGeom prst="rect">
                            <a:avLst/>
                          </a:prstGeom>
                          <a:noFill/>
                          <a:ln>
                            <a:noFill/>
                          </a:ln>
                        </pic:spPr>
                      </pic:pic>
                    </a:graphicData>
                  </a:graphic>
                </wp:inline>
              </w:drawing>
            </w:r>
          </w:p>
          <w:p>
            <w:pPr>
              <w:keepNext w:val="0"/>
              <w:keepLines w:val="0"/>
              <w:suppressLineNumbers w:val="0"/>
              <w:spacing w:before="0" w:beforeAutospacing="0" w:after="0" w:afterAutospacing="0" w:line="360" w:lineRule="auto"/>
              <w:ind w:left="0" w:right="0" w:firstLine="480" w:firstLineChars="200"/>
              <w:jc w:val="center"/>
              <w:rPr>
                <w:rFonts w:hint="default" w:ascii="Times New Roman" w:hAnsi="Times New Roman" w:cs="Times New Roman"/>
                <w:bCs/>
                <w:color w:val="auto"/>
                <w:sz w:val="24"/>
              </w:rPr>
            </w:pPr>
            <w:r>
              <w:rPr>
                <w:rFonts w:hint="default" w:ascii="Times New Roman" w:hAnsi="Times New Roman" w:cs="Times New Roman"/>
                <w:bCs/>
                <w:color w:val="auto"/>
                <w:sz w:val="24"/>
              </w:rPr>
              <w:t>图1-</w:t>
            </w:r>
            <w:r>
              <w:rPr>
                <w:rFonts w:hint="default" w:ascii="Times New Roman" w:hAnsi="Times New Roman" w:cs="Times New Roman"/>
                <w:bCs/>
                <w:color w:val="auto"/>
                <w:sz w:val="24"/>
                <w:lang w:val="en-US" w:eastAsia="zh-CN"/>
              </w:rPr>
              <w:t>1</w:t>
            </w:r>
            <w:r>
              <w:rPr>
                <w:rFonts w:hint="default" w:ascii="Times New Roman" w:hAnsi="Times New Roman" w:cs="Times New Roman"/>
                <w:bCs/>
                <w:color w:val="auto"/>
                <w:sz w:val="24"/>
              </w:rPr>
              <w:t xml:space="preserve"> 达州市环境管控单元分布图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lang w:val="en-US" w:eastAsia="zh-CN"/>
              </w:rPr>
              <w:t>根据达州市环境管控单元分布图，本项目位于环境管控单元要素</w:t>
            </w:r>
            <w:r>
              <w:rPr>
                <w:rFonts w:hint="eastAsia" w:cs="Times New Roman"/>
                <w:bCs/>
                <w:color w:val="auto"/>
                <w:sz w:val="24"/>
                <w:lang w:val="en-US" w:eastAsia="zh-CN"/>
              </w:rPr>
              <w:t>一般</w:t>
            </w:r>
            <w:r>
              <w:rPr>
                <w:rFonts w:hint="default" w:ascii="Times New Roman" w:hAnsi="Times New Roman" w:cs="Times New Roman"/>
                <w:bCs/>
                <w:color w:val="auto"/>
                <w:sz w:val="24"/>
                <w:lang w:val="en-US" w:eastAsia="zh-CN"/>
              </w:rPr>
              <w:t>管控单元</w:t>
            </w:r>
            <w:r>
              <w:rPr>
                <w:rFonts w:hint="default" w:ascii="Times New Roman" w:hAnsi="Times New Roman" w:cs="Times New Roman"/>
                <w:bCs/>
                <w:color w:val="auto"/>
                <w:sz w:val="24"/>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lang w:val="en-US" w:eastAsia="zh-CN"/>
              </w:rPr>
            </w:pPr>
            <w:r>
              <w:rPr>
                <w:rFonts w:hint="eastAsia" w:cs="Times New Roman"/>
                <w:bCs/>
                <w:color w:val="auto"/>
                <w:sz w:val="24"/>
                <w:lang w:eastAsia="zh-CN"/>
              </w:rPr>
              <w:t>（</w:t>
            </w:r>
            <w:r>
              <w:rPr>
                <w:rFonts w:hint="eastAsia" w:cs="Times New Roman"/>
                <w:bCs/>
                <w:color w:val="auto"/>
                <w:sz w:val="24"/>
                <w:lang w:val="en-US" w:eastAsia="zh-CN"/>
              </w:rPr>
              <w:t>2</w:t>
            </w:r>
            <w:r>
              <w:rPr>
                <w:rFonts w:hint="eastAsia" w:cs="Times New Roman"/>
                <w:bCs/>
                <w:color w:val="auto"/>
                <w:sz w:val="24"/>
                <w:lang w:eastAsia="zh-CN"/>
              </w:rPr>
              <w:t>）</w:t>
            </w:r>
            <w:r>
              <w:rPr>
                <w:rFonts w:hint="default" w:ascii="Times New Roman" w:hAnsi="Times New Roman" w:cs="Times New Roman"/>
                <w:bCs/>
                <w:color w:val="auto"/>
                <w:sz w:val="24"/>
                <w:lang w:val="en-US" w:eastAsia="zh-CN"/>
              </w:rPr>
              <w:t>与达州市“三线一单”符合性分析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通过四川省政务服务网“三线一单”符合性分析系统进行比对分析，本项目涉及环境管控单元3个，涉及的管控单元详见如下：</w:t>
            </w:r>
          </w:p>
          <w:p>
            <w:pPr>
              <w:keepNext w:val="0"/>
              <w:keepLines w:val="0"/>
              <w:suppressLineNumbers w:val="0"/>
              <w:spacing w:before="0" w:beforeAutospacing="0" w:after="0" w:afterAutospacing="0" w:line="360" w:lineRule="auto"/>
              <w:ind w:left="0" w:right="0" w:firstLine="480" w:firstLineChars="200"/>
              <w:rPr>
                <w:rFonts w:hint="eastAsia" w:ascii="Times New Roman" w:hAnsi="Times New Roman" w:eastAsia="宋体" w:cs="Times New Roman"/>
                <w:bCs/>
                <w:color w:val="auto"/>
                <w:sz w:val="24"/>
                <w:lang w:eastAsia="zh-CN"/>
              </w:rPr>
            </w:pPr>
            <w:r>
              <w:rPr>
                <w:rFonts w:hint="default" w:ascii="Times New Roman" w:hAnsi="Times New Roman" w:cs="Times New Roman"/>
                <w:bCs/>
                <w:color w:val="auto"/>
                <w:sz w:val="24"/>
                <w:lang w:eastAsia="zh-CN"/>
              </w:rPr>
              <w:drawing>
                <wp:inline distT="0" distB="0" distL="114300" distR="114300">
                  <wp:extent cx="4988560" cy="3635375"/>
                  <wp:effectExtent l="0" t="0" r="2540" b="3175"/>
                  <wp:docPr id="37" name="图片 37" descr="普陆12三线一单检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descr="普陆12三线一单检测"/>
                          <pic:cNvPicPr>
                            <a:picLocks noChangeAspect="1"/>
                          </pic:cNvPicPr>
                        </pic:nvPicPr>
                        <pic:blipFill>
                          <a:blip r:embed="rId8"/>
                          <a:stretch>
                            <a:fillRect/>
                          </a:stretch>
                        </pic:blipFill>
                        <pic:spPr>
                          <a:xfrm>
                            <a:off x="0" y="0"/>
                            <a:ext cx="4988560" cy="3635375"/>
                          </a:xfrm>
                          <a:prstGeom prst="rect">
                            <a:avLst/>
                          </a:prstGeom>
                        </pic:spPr>
                      </pic:pic>
                    </a:graphicData>
                  </a:graphic>
                </wp:inline>
              </w:drawing>
            </w: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bCs/>
                <w:color w:val="auto"/>
                <w:sz w:val="24"/>
              </w:rPr>
            </w:pPr>
            <w:r>
              <w:rPr>
                <w:rFonts w:hint="default" w:ascii="Times New Roman" w:hAnsi="Times New Roman" w:cs="Times New Roman"/>
                <w:bCs/>
                <w:color w:val="auto"/>
                <w:sz w:val="24"/>
              </w:rPr>
              <w:t>图 1-1 “三线一单”符合性分析系统截图</w:t>
            </w:r>
          </w:p>
          <w:p>
            <w:pPr>
              <w:keepNext w:val="0"/>
              <w:keepLines w:val="0"/>
              <w:suppressLineNumbers w:val="0"/>
              <w:spacing w:before="0" w:beforeAutospacing="0" w:after="0" w:afterAutospacing="0" w:line="360" w:lineRule="auto"/>
              <w:ind w:left="0" w:right="0" w:firstLine="480" w:firstLineChars="200"/>
              <w:jc w:val="center"/>
              <w:rPr>
                <w:rFonts w:hint="default" w:ascii="Times New Roman" w:hAnsi="Times New Roman" w:cs="Times New Roman"/>
                <w:bCs/>
                <w:color w:val="auto"/>
                <w:sz w:val="24"/>
              </w:rPr>
            </w:pPr>
            <w:r>
              <w:rPr>
                <w:rFonts w:hint="default" w:ascii="Times New Roman" w:hAnsi="Times New Roman" w:cs="Times New Roman"/>
                <w:bCs/>
                <w:color w:val="auto"/>
                <w:sz w:val="24"/>
              </w:rPr>
              <w:t>表1</w:t>
            </w:r>
            <w:r>
              <w:rPr>
                <w:rFonts w:hint="default" w:ascii="Times New Roman" w:hAnsi="Times New Roman" w:cs="Times New Roman"/>
                <w:bCs/>
                <w:color w:val="auto"/>
                <w:sz w:val="24"/>
                <w:lang w:val="en-US" w:eastAsia="zh-CN"/>
              </w:rPr>
              <w:t>-7</w:t>
            </w:r>
            <w:r>
              <w:rPr>
                <w:rFonts w:hint="default" w:ascii="Times New Roman" w:hAnsi="Times New Roman" w:cs="Times New Roman"/>
                <w:bCs/>
                <w:color w:val="auto"/>
                <w:sz w:val="24"/>
              </w:rPr>
              <w:t xml:space="preserve"> 本项目涉及环境管控单元表</w:t>
            </w:r>
          </w:p>
          <w:tbl>
            <w:tblPr>
              <w:tblStyle w:val="4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7"/>
              <w:gridCol w:w="1737"/>
              <w:gridCol w:w="919"/>
              <w:gridCol w:w="905"/>
              <w:gridCol w:w="1188"/>
              <w:gridCol w:w="19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9" w:hRule="atLeast"/>
                <w:tblHeader/>
              </w:trPr>
              <w:tc>
                <w:tcPr>
                  <w:tcW w:w="749" w:type="pct"/>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环境管控单元编码</w:t>
                  </w:r>
                </w:p>
              </w:tc>
              <w:tc>
                <w:tcPr>
                  <w:tcW w:w="1104" w:type="pct"/>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环境管控单元名称</w:t>
                  </w:r>
                </w:p>
              </w:tc>
              <w:tc>
                <w:tcPr>
                  <w:tcW w:w="584" w:type="pct"/>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所属市（州）</w:t>
                  </w:r>
                </w:p>
              </w:tc>
              <w:tc>
                <w:tcPr>
                  <w:tcW w:w="575" w:type="pct"/>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所属区县</w:t>
                  </w:r>
                </w:p>
              </w:tc>
              <w:tc>
                <w:tcPr>
                  <w:tcW w:w="755" w:type="pct"/>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准入清单类型</w:t>
                  </w:r>
                </w:p>
              </w:tc>
              <w:tc>
                <w:tcPr>
                  <w:tcW w:w="1232" w:type="pct"/>
                  <w:noWrap w:val="0"/>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管控类型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9" w:hRule="atLeast"/>
                <w:tblHeader/>
              </w:trPr>
              <w:tc>
                <w:tcPr>
                  <w:tcW w:w="1177" w:type="dxa"/>
                  <w:noWrap w:val="0"/>
                  <w:vAlign w:val="center"/>
                </w:tcPr>
                <w:p>
                  <w:pPr>
                    <w:pStyle w:val="408"/>
                    <w:keepNext w:val="0"/>
                    <w:keepLines w:val="0"/>
                    <w:widowControl/>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1"/>
                      <w:szCs w:val="21"/>
                      <w:lang w:val="en-US" w:eastAsia="zh-CN"/>
                    </w:rPr>
                  </w:pPr>
                  <w:r>
                    <w:rPr>
                      <w:rStyle w:val="46"/>
                      <w:rFonts w:hint="default" w:ascii="Times New Roman" w:hAnsi="Times New Roman" w:eastAsia="宋体" w:cs="Times New Roman"/>
                      <w:color w:val="auto"/>
                      <w:kern w:val="2"/>
                      <w:sz w:val="21"/>
                      <w:szCs w:val="21"/>
                      <w:lang w:val="en-US" w:eastAsia="zh-CN" w:bidi="ar-SA"/>
                    </w:rPr>
                    <w:t>YS5117222320001</w:t>
                  </w:r>
                </w:p>
              </w:tc>
              <w:tc>
                <w:tcPr>
                  <w:tcW w:w="1737" w:type="dxa"/>
                  <w:noWrap w:val="0"/>
                  <w:vAlign w:val="center"/>
                </w:tcPr>
                <w:p>
                  <w:pPr>
                    <w:pStyle w:val="408"/>
                    <w:keepNext w:val="0"/>
                    <w:keepLines w:val="0"/>
                    <w:widowControl/>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1"/>
                      <w:szCs w:val="21"/>
                      <w:lang w:val="en-US" w:eastAsia="zh-CN"/>
                    </w:rPr>
                  </w:pPr>
                  <w:r>
                    <w:rPr>
                      <w:rStyle w:val="46"/>
                      <w:rFonts w:hint="default" w:ascii="Times New Roman" w:hAnsi="Times New Roman" w:eastAsia="宋体" w:cs="Times New Roman"/>
                      <w:color w:val="auto"/>
                      <w:kern w:val="2"/>
                      <w:sz w:val="21"/>
                      <w:szCs w:val="21"/>
                      <w:lang w:val="en-US" w:eastAsia="zh-CN" w:bidi="ar-SA"/>
                    </w:rPr>
                    <w:t>宣汉县大气环境布局敏感重点管控区</w:t>
                  </w:r>
                </w:p>
              </w:tc>
              <w:tc>
                <w:tcPr>
                  <w:tcW w:w="919" w:type="dxa"/>
                  <w:noWrap w:val="0"/>
                  <w:vAlign w:val="center"/>
                </w:tcPr>
                <w:p>
                  <w:pPr>
                    <w:pStyle w:val="408"/>
                    <w:keepNext w:val="0"/>
                    <w:keepLines w:val="0"/>
                    <w:widowControl/>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1"/>
                      <w:szCs w:val="21"/>
                      <w:lang w:val="en-US" w:eastAsia="zh-CN"/>
                    </w:rPr>
                  </w:pPr>
                  <w:r>
                    <w:rPr>
                      <w:rStyle w:val="46"/>
                      <w:rFonts w:hint="default" w:ascii="Times New Roman" w:hAnsi="Times New Roman" w:eastAsia="宋体" w:cs="Times New Roman"/>
                      <w:color w:val="auto"/>
                      <w:kern w:val="2"/>
                      <w:sz w:val="21"/>
                      <w:szCs w:val="21"/>
                      <w:lang w:val="en-US" w:eastAsia="zh-CN" w:bidi="ar-SA"/>
                    </w:rPr>
                    <w:t>达州市</w:t>
                  </w:r>
                </w:p>
              </w:tc>
              <w:tc>
                <w:tcPr>
                  <w:tcW w:w="905" w:type="dxa"/>
                  <w:noWrap w:val="0"/>
                  <w:vAlign w:val="center"/>
                </w:tcPr>
                <w:p>
                  <w:pPr>
                    <w:pStyle w:val="408"/>
                    <w:keepNext w:val="0"/>
                    <w:keepLines w:val="0"/>
                    <w:widowControl/>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1"/>
                      <w:szCs w:val="21"/>
                      <w:lang w:val="en-US" w:eastAsia="zh-CN"/>
                    </w:rPr>
                  </w:pPr>
                  <w:r>
                    <w:rPr>
                      <w:rStyle w:val="46"/>
                      <w:rFonts w:hint="default" w:ascii="Times New Roman" w:hAnsi="Times New Roman" w:eastAsia="宋体" w:cs="Times New Roman"/>
                      <w:color w:val="auto"/>
                      <w:kern w:val="2"/>
                      <w:sz w:val="21"/>
                      <w:szCs w:val="21"/>
                      <w:lang w:val="en-US" w:eastAsia="zh-CN" w:bidi="ar-SA"/>
                    </w:rPr>
                    <w:t>宣汉县</w:t>
                  </w:r>
                </w:p>
              </w:tc>
              <w:tc>
                <w:tcPr>
                  <w:tcW w:w="1188" w:type="dxa"/>
                  <w:noWrap w:val="0"/>
                  <w:vAlign w:val="center"/>
                </w:tcPr>
                <w:p>
                  <w:pPr>
                    <w:pStyle w:val="408"/>
                    <w:keepNext w:val="0"/>
                    <w:keepLines w:val="0"/>
                    <w:widowControl/>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1"/>
                      <w:szCs w:val="21"/>
                      <w:lang w:val="en-US" w:eastAsia="zh-CN"/>
                    </w:rPr>
                  </w:pPr>
                  <w:r>
                    <w:rPr>
                      <w:rStyle w:val="46"/>
                      <w:rFonts w:hint="default" w:ascii="Times New Roman" w:hAnsi="Times New Roman" w:eastAsia="宋体" w:cs="Times New Roman"/>
                      <w:color w:val="auto"/>
                      <w:kern w:val="2"/>
                      <w:sz w:val="21"/>
                      <w:szCs w:val="21"/>
                      <w:lang w:val="en-US" w:eastAsia="zh-CN" w:bidi="ar-SA"/>
                    </w:rPr>
                    <w:t>大气环境管控分区</w:t>
                  </w:r>
                </w:p>
              </w:tc>
              <w:tc>
                <w:tcPr>
                  <w:tcW w:w="1938" w:type="dxa"/>
                  <w:noWrap w:val="0"/>
                  <w:vAlign w:val="center"/>
                </w:tcPr>
                <w:p>
                  <w:pPr>
                    <w:pStyle w:val="408"/>
                    <w:keepNext w:val="0"/>
                    <w:keepLines w:val="0"/>
                    <w:widowControl/>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1"/>
                      <w:szCs w:val="21"/>
                      <w:lang w:val="en-US" w:eastAsia="zh-CN"/>
                    </w:rPr>
                  </w:pPr>
                  <w:r>
                    <w:rPr>
                      <w:rStyle w:val="46"/>
                      <w:rFonts w:hint="default" w:ascii="Times New Roman" w:hAnsi="Times New Roman" w:eastAsia="宋体" w:cs="Times New Roman"/>
                      <w:color w:val="auto"/>
                      <w:kern w:val="2"/>
                      <w:sz w:val="21"/>
                      <w:szCs w:val="21"/>
                      <w:lang w:val="en-US" w:eastAsia="zh-CN" w:bidi="ar-SA"/>
                    </w:rPr>
                    <w:t>大气环境布局敏感重点管控区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9" w:hRule="atLeast"/>
                <w:tblHeader/>
              </w:trPr>
              <w:tc>
                <w:tcPr>
                  <w:tcW w:w="1177" w:type="dxa"/>
                  <w:noWrap w:val="0"/>
                  <w:vAlign w:val="center"/>
                </w:tcPr>
                <w:p>
                  <w:pPr>
                    <w:pStyle w:val="408"/>
                    <w:keepNext w:val="0"/>
                    <w:keepLines w:val="0"/>
                    <w:widowControl/>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1"/>
                      <w:szCs w:val="21"/>
                      <w:lang w:val="en-US" w:eastAsia="zh-CN"/>
                    </w:rPr>
                  </w:pPr>
                  <w:r>
                    <w:rPr>
                      <w:rStyle w:val="46"/>
                      <w:rFonts w:hint="default" w:ascii="Times New Roman" w:hAnsi="Times New Roman" w:eastAsia="宋体" w:cs="Times New Roman"/>
                      <w:color w:val="auto"/>
                      <w:kern w:val="2"/>
                      <w:sz w:val="21"/>
                      <w:szCs w:val="21"/>
                      <w:lang w:val="en-US" w:eastAsia="zh-CN" w:bidi="ar-SA"/>
                    </w:rPr>
                    <w:t>YS5117223210002</w:t>
                  </w:r>
                </w:p>
              </w:tc>
              <w:tc>
                <w:tcPr>
                  <w:tcW w:w="1737" w:type="dxa"/>
                  <w:noWrap w:val="0"/>
                  <w:vAlign w:val="center"/>
                </w:tcPr>
                <w:p>
                  <w:pPr>
                    <w:pStyle w:val="408"/>
                    <w:keepNext w:val="0"/>
                    <w:keepLines w:val="0"/>
                    <w:widowControl/>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1"/>
                      <w:szCs w:val="21"/>
                      <w:lang w:val="en-US" w:eastAsia="zh-CN"/>
                    </w:rPr>
                  </w:pPr>
                  <w:r>
                    <w:rPr>
                      <w:rStyle w:val="46"/>
                      <w:rFonts w:hint="default" w:ascii="Times New Roman" w:hAnsi="Times New Roman" w:eastAsia="宋体" w:cs="Times New Roman"/>
                      <w:color w:val="auto"/>
                      <w:kern w:val="2"/>
                      <w:sz w:val="21"/>
                      <w:szCs w:val="21"/>
                      <w:lang w:val="en-US" w:eastAsia="zh-CN" w:bidi="ar-SA"/>
                    </w:rPr>
                    <w:t>州河-宣汉县-张鼓坪-控制单元</w:t>
                  </w:r>
                </w:p>
              </w:tc>
              <w:tc>
                <w:tcPr>
                  <w:tcW w:w="919" w:type="dxa"/>
                  <w:noWrap w:val="0"/>
                  <w:vAlign w:val="center"/>
                </w:tcPr>
                <w:p>
                  <w:pPr>
                    <w:pStyle w:val="408"/>
                    <w:keepNext w:val="0"/>
                    <w:keepLines w:val="0"/>
                    <w:widowControl/>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1"/>
                      <w:szCs w:val="21"/>
                      <w:lang w:val="en-US" w:eastAsia="zh-CN"/>
                    </w:rPr>
                  </w:pPr>
                  <w:r>
                    <w:rPr>
                      <w:rStyle w:val="46"/>
                      <w:rFonts w:hint="default" w:ascii="Times New Roman" w:hAnsi="Times New Roman" w:eastAsia="宋体" w:cs="Times New Roman"/>
                      <w:color w:val="auto"/>
                      <w:kern w:val="2"/>
                      <w:sz w:val="21"/>
                      <w:szCs w:val="21"/>
                      <w:lang w:val="en-US" w:eastAsia="zh-CN" w:bidi="ar-SA"/>
                    </w:rPr>
                    <w:t>达州市</w:t>
                  </w:r>
                </w:p>
              </w:tc>
              <w:tc>
                <w:tcPr>
                  <w:tcW w:w="905" w:type="dxa"/>
                  <w:noWrap w:val="0"/>
                  <w:vAlign w:val="center"/>
                </w:tcPr>
                <w:p>
                  <w:pPr>
                    <w:pStyle w:val="408"/>
                    <w:keepNext w:val="0"/>
                    <w:keepLines w:val="0"/>
                    <w:widowControl/>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1"/>
                      <w:szCs w:val="21"/>
                      <w:lang w:val="en-US" w:eastAsia="zh-CN"/>
                    </w:rPr>
                  </w:pPr>
                  <w:r>
                    <w:rPr>
                      <w:rStyle w:val="46"/>
                      <w:rFonts w:hint="default" w:ascii="Times New Roman" w:hAnsi="Times New Roman" w:eastAsia="宋体" w:cs="Times New Roman"/>
                      <w:color w:val="auto"/>
                      <w:kern w:val="2"/>
                      <w:sz w:val="21"/>
                      <w:szCs w:val="21"/>
                      <w:lang w:val="en-US" w:eastAsia="zh-CN" w:bidi="ar-SA"/>
                    </w:rPr>
                    <w:t>宣汉县</w:t>
                  </w:r>
                </w:p>
              </w:tc>
              <w:tc>
                <w:tcPr>
                  <w:tcW w:w="1188" w:type="dxa"/>
                  <w:noWrap w:val="0"/>
                  <w:vAlign w:val="center"/>
                </w:tcPr>
                <w:p>
                  <w:pPr>
                    <w:pStyle w:val="408"/>
                    <w:keepNext w:val="0"/>
                    <w:keepLines w:val="0"/>
                    <w:widowControl/>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1"/>
                      <w:szCs w:val="21"/>
                      <w:lang w:val="en-US" w:eastAsia="zh-CN"/>
                    </w:rPr>
                  </w:pPr>
                  <w:r>
                    <w:rPr>
                      <w:rStyle w:val="46"/>
                      <w:rFonts w:hint="default" w:ascii="Times New Roman" w:hAnsi="Times New Roman" w:eastAsia="宋体" w:cs="Times New Roman"/>
                      <w:color w:val="auto"/>
                      <w:kern w:val="2"/>
                      <w:sz w:val="21"/>
                      <w:szCs w:val="21"/>
                      <w:lang w:val="en-US" w:eastAsia="zh-CN" w:bidi="ar-SA"/>
                    </w:rPr>
                    <w:t>水环境管控分区</w:t>
                  </w:r>
                </w:p>
              </w:tc>
              <w:tc>
                <w:tcPr>
                  <w:tcW w:w="1938" w:type="dxa"/>
                  <w:noWrap w:val="0"/>
                  <w:vAlign w:val="center"/>
                </w:tcPr>
                <w:p>
                  <w:pPr>
                    <w:pStyle w:val="408"/>
                    <w:keepNext w:val="0"/>
                    <w:keepLines w:val="0"/>
                    <w:widowControl/>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1"/>
                      <w:szCs w:val="21"/>
                      <w:lang w:val="en-US" w:eastAsia="zh-CN"/>
                    </w:rPr>
                  </w:pPr>
                  <w:r>
                    <w:rPr>
                      <w:rStyle w:val="46"/>
                      <w:rFonts w:hint="default" w:ascii="Times New Roman" w:hAnsi="Times New Roman" w:eastAsia="宋体" w:cs="Times New Roman"/>
                      <w:color w:val="auto"/>
                      <w:kern w:val="2"/>
                      <w:sz w:val="21"/>
                      <w:szCs w:val="21"/>
                      <w:lang w:val="en-US" w:eastAsia="zh-CN" w:bidi="ar-SA"/>
                    </w:rPr>
                    <w:t>水环境一般管控区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9" w:hRule="atLeast"/>
                <w:tblHeader/>
              </w:trPr>
              <w:tc>
                <w:tcPr>
                  <w:tcW w:w="1177" w:type="dxa"/>
                  <w:noWrap w:val="0"/>
                  <w:vAlign w:val="center"/>
                </w:tcPr>
                <w:p>
                  <w:pPr>
                    <w:pStyle w:val="408"/>
                    <w:keepNext w:val="0"/>
                    <w:keepLines w:val="0"/>
                    <w:widowControl/>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1"/>
                      <w:szCs w:val="21"/>
                      <w:lang w:val="en-US" w:eastAsia="zh-CN"/>
                    </w:rPr>
                  </w:pPr>
                  <w:r>
                    <w:rPr>
                      <w:rStyle w:val="46"/>
                      <w:rFonts w:hint="default" w:ascii="Times New Roman" w:hAnsi="Times New Roman" w:eastAsia="宋体" w:cs="Times New Roman"/>
                      <w:color w:val="auto"/>
                      <w:kern w:val="2"/>
                      <w:sz w:val="21"/>
                      <w:szCs w:val="21"/>
                      <w:lang w:val="en-US" w:eastAsia="zh-CN" w:bidi="ar-SA"/>
                    </w:rPr>
                    <w:t>ZH51172230001</w:t>
                  </w:r>
                </w:p>
              </w:tc>
              <w:tc>
                <w:tcPr>
                  <w:tcW w:w="1737" w:type="dxa"/>
                  <w:noWrap w:val="0"/>
                  <w:vAlign w:val="center"/>
                </w:tcPr>
                <w:p>
                  <w:pPr>
                    <w:pStyle w:val="408"/>
                    <w:keepNext w:val="0"/>
                    <w:keepLines w:val="0"/>
                    <w:widowControl/>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1"/>
                      <w:szCs w:val="21"/>
                      <w:lang w:val="en-US" w:eastAsia="zh-CN"/>
                    </w:rPr>
                  </w:pPr>
                  <w:r>
                    <w:rPr>
                      <w:rStyle w:val="46"/>
                      <w:rFonts w:hint="default" w:ascii="Times New Roman" w:hAnsi="Times New Roman" w:eastAsia="宋体" w:cs="Times New Roman"/>
                      <w:color w:val="auto"/>
                      <w:kern w:val="2"/>
                      <w:sz w:val="21"/>
                      <w:szCs w:val="21"/>
                      <w:lang w:val="en-US" w:eastAsia="zh-CN" w:bidi="ar-SA"/>
                    </w:rPr>
                    <w:t>宣汉县一般管控单元</w:t>
                  </w:r>
                </w:p>
              </w:tc>
              <w:tc>
                <w:tcPr>
                  <w:tcW w:w="919" w:type="dxa"/>
                  <w:noWrap w:val="0"/>
                  <w:vAlign w:val="center"/>
                </w:tcPr>
                <w:p>
                  <w:pPr>
                    <w:pStyle w:val="408"/>
                    <w:keepNext w:val="0"/>
                    <w:keepLines w:val="0"/>
                    <w:widowControl/>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1"/>
                      <w:szCs w:val="21"/>
                      <w:lang w:val="en-US" w:eastAsia="zh-CN"/>
                    </w:rPr>
                  </w:pPr>
                  <w:r>
                    <w:rPr>
                      <w:rStyle w:val="46"/>
                      <w:rFonts w:hint="default" w:ascii="Times New Roman" w:hAnsi="Times New Roman" w:eastAsia="宋体" w:cs="Times New Roman"/>
                      <w:color w:val="auto"/>
                      <w:kern w:val="2"/>
                      <w:sz w:val="21"/>
                      <w:szCs w:val="21"/>
                      <w:lang w:val="en-US" w:eastAsia="zh-CN" w:bidi="ar-SA"/>
                    </w:rPr>
                    <w:t>达州市</w:t>
                  </w:r>
                </w:p>
              </w:tc>
              <w:tc>
                <w:tcPr>
                  <w:tcW w:w="905" w:type="dxa"/>
                  <w:noWrap w:val="0"/>
                  <w:vAlign w:val="center"/>
                </w:tcPr>
                <w:p>
                  <w:pPr>
                    <w:pStyle w:val="408"/>
                    <w:keepNext w:val="0"/>
                    <w:keepLines w:val="0"/>
                    <w:widowControl/>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1"/>
                      <w:szCs w:val="21"/>
                      <w:lang w:val="en-US" w:eastAsia="zh-CN"/>
                    </w:rPr>
                  </w:pPr>
                  <w:r>
                    <w:rPr>
                      <w:rStyle w:val="46"/>
                      <w:rFonts w:hint="default" w:ascii="Times New Roman" w:hAnsi="Times New Roman" w:eastAsia="宋体" w:cs="Times New Roman"/>
                      <w:color w:val="auto"/>
                      <w:kern w:val="2"/>
                      <w:sz w:val="21"/>
                      <w:szCs w:val="21"/>
                      <w:lang w:val="en-US" w:eastAsia="zh-CN" w:bidi="ar-SA"/>
                    </w:rPr>
                    <w:t>宣汉县</w:t>
                  </w:r>
                </w:p>
              </w:tc>
              <w:tc>
                <w:tcPr>
                  <w:tcW w:w="1188" w:type="dxa"/>
                  <w:noWrap w:val="0"/>
                  <w:vAlign w:val="center"/>
                </w:tcPr>
                <w:p>
                  <w:pPr>
                    <w:pStyle w:val="408"/>
                    <w:keepNext w:val="0"/>
                    <w:keepLines w:val="0"/>
                    <w:widowControl/>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1"/>
                      <w:szCs w:val="21"/>
                      <w:lang w:val="en-US" w:eastAsia="zh-CN"/>
                    </w:rPr>
                  </w:pPr>
                  <w:r>
                    <w:rPr>
                      <w:rStyle w:val="46"/>
                      <w:rFonts w:hint="default" w:ascii="Times New Roman" w:hAnsi="Times New Roman" w:eastAsia="宋体" w:cs="Times New Roman"/>
                      <w:color w:val="auto"/>
                      <w:kern w:val="2"/>
                      <w:sz w:val="21"/>
                      <w:szCs w:val="21"/>
                      <w:lang w:val="en-US" w:eastAsia="zh-CN" w:bidi="ar-SA"/>
                    </w:rPr>
                    <w:t>环境综合管控单元</w:t>
                  </w:r>
                  <w:r>
                    <w:rPr>
                      <w:rStyle w:val="46"/>
                      <w:rFonts w:hint="eastAsia" w:eastAsia="宋体" w:cs="Times New Roman"/>
                      <w:color w:val="auto"/>
                      <w:kern w:val="2"/>
                      <w:sz w:val="21"/>
                      <w:szCs w:val="21"/>
                      <w:lang w:val="en-US" w:eastAsia="zh-CN" w:bidi="ar-SA"/>
                    </w:rPr>
                    <w:t xml:space="preserve"> </w:t>
                  </w:r>
                </w:p>
              </w:tc>
              <w:tc>
                <w:tcPr>
                  <w:tcW w:w="1938" w:type="dxa"/>
                  <w:noWrap w:val="0"/>
                  <w:vAlign w:val="center"/>
                </w:tcPr>
                <w:p>
                  <w:pPr>
                    <w:pStyle w:val="408"/>
                    <w:keepNext w:val="0"/>
                    <w:keepLines w:val="0"/>
                    <w:widowControl/>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 w:val="21"/>
                      <w:szCs w:val="21"/>
                      <w:lang w:val="en-US" w:eastAsia="zh-CN"/>
                    </w:rPr>
                  </w:pPr>
                  <w:r>
                    <w:rPr>
                      <w:rStyle w:val="46"/>
                      <w:rFonts w:hint="default" w:ascii="Times New Roman" w:hAnsi="Times New Roman" w:eastAsia="宋体" w:cs="Times New Roman"/>
                      <w:color w:val="auto"/>
                      <w:kern w:val="2"/>
                      <w:sz w:val="21"/>
                      <w:szCs w:val="21"/>
                      <w:lang w:val="en-US" w:eastAsia="zh-CN" w:bidi="ar-SA"/>
                    </w:rPr>
                    <w:t>环境综合管控单元一般管控单元</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项目位于达州市</w:t>
            </w:r>
            <w:r>
              <w:rPr>
                <w:rFonts w:hint="default" w:ascii="Times New Roman" w:hAnsi="Times New Roman" w:cs="Times New Roman"/>
                <w:bCs/>
                <w:color w:val="auto"/>
                <w:sz w:val="24"/>
                <w:lang w:val="en-US" w:eastAsia="zh-CN"/>
              </w:rPr>
              <w:t>宣汉县一般管控单元</w:t>
            </w:r>
            <w:r>
              <w:rPr>
                <w:rFonts w:hint="default" w:ascii="Times New Roman" w:hAnsi="Times New Roman" w:cs="Times New Roman"/>
                <w:bCs/>
                <w:color w:val="auto"/>
                <w:sz w:val="24"/>
              </w:rPr>
              <w:t>，管控单元编号：</w:t>
            </w:r>
            <w:r>
              <w:rPr>
                <w:rFonts w:hint="default" w:ascii="Times New Roman" w:hAnsi="Times New Roman" w:cs="Times New Roman"/>
                <w:bCs/>
                <w:color w:val="auto"/>
                <w:sz w:val="24"/>
                <w:lang w:val="en-US" w:eastAsia="zh-CN"/>
              </w:rPr>
              <w:t>ZH51172230001</w:t>
            </w:r>
            <w:r>
              <w:rPr>
                <w:rFonts w:hint="eastAsia" w:cs="Times New Roman"/>
                <w:bCs/>
                <w:color w:val="auto"/>
                <w:sz w:val="24"/>
                <w:lang w:val="en-US" w:eastAsia="zh-CN"/>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eastAsia" w:cs="Times New Roman"/>
                <w:bCs/>
                <w:color w:val="auto"/>
                <w:sz w:val="24"/>
                <w:lang w:eastAsia="zh-CN"/>
              </w:rPr>
              <w:t>（</w:t>
            </w:r>
            <w:r>
              <w:rPr>
                <w:rFonts w:hint="eastAsia" w:cs="Times New Roman"/>
                <w:bCs/>
                <w:color w:val="auto"/>
                <w:sz w:val="24"/>
                <w:lang w:val="en-US" w:eastAsia="zh-CN"/>
              </w:rPr>
              <w:t>3</w:t>
            </w:r>
            <w:r>
              <w:rPr>
                <w:rFonts w:hint="eastAsia" w:cs="Times New Roman"/>
                <w:bCs/>
                <w:color w:val="auto"/>
                <w:sz w:val="24"/>
                <w:lang w:eastAsia="zh-CN"/>
              </w:rPr>
              <w:t>）</w:t>
            </w:r>
            <w:r>
              <w:rPr>
                <w:rFonts w:hint="default" w:ascii="Times New Roman" w:hAnsi="Times New Roman" w:cs="Times New Roman"/>
                <w:bCs/>
                <w:color w:val="auto"/>
                <w:sz w:val="24"/>
              </w:rPr>
              <w:t>生态环境准入清单符合性分析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本项目为生态影响类项目。按照四川省生态环境</w:t>
            </w:r>
            <w:r>
              <w:rPr>
                <w:rFonts w:hint="default" w:ascii="Times New Roman" w:hAnsi="Times New Roman" w:cs="Times New Roman"/>
                <w:bCs/>
                <w:color w:val="auto"/>
                <w:sz w:val="24"/>
                <w:lang w:val="en-US" w:eastAsia="zh-CN"/>
              </w:rPr>
              <w:t>厅</w:t>
            </w:r>
            <w:r>
              <w:rPr>
                <w:rFonts w:hint="default" w:ascii="Times New Roman" w:hAnsi="Times New Roman" w:cs="Times New Roman"/>
                <w:bCs/>
                <w:color w:val="auto"/>
                <w:sz w:val="24"/>
              </w:rPr>
              <w:t>《关于印发</w:t>
            </w:r>
            <w:r>
              <w:rPr>
                <w:rFonts w:hint="eastAsia" w:cs="Times New Roman"/>
                <w:bCs/>
                <w:color w:val="auto"/>
                <w:sz w:val="24"/>
                <w:lang w:eastAsia="zh-CN"/>
              </w:rPr>
              <w:t>〈</w:t>
            </w:r>
            <w:r>
              <w:rPr>
                <w:rFonts w:hint="default" w:ascii="Times New Roman" w:hAnsi="Times New Roman" w:cs="Times New Roman"/>
                <w:bCs/>
                <w:color w:val="auto"/>
                <w:sz w:val="24"/>
              </w:rPr>
              <w:t>产业园区规划环评“三线一单”符合性分析技术要点（试行）</w:t>
            </w:r>
            <w:r>
              <w:rPr>
                <w:rFonts w:hint="eastAsia" w:cs="Times New Roman"/>
                <w:bCs/>
                <w:color w:val="auto"/>
                <w:sz w:val="24"/>
                <w:lang w:eastAsia="zh-CN"/>
              </w:rPr>
              <w:t>〉</w:t>
            </w:r>
            <w:r>
              <w:rPr>
                <w:rFonts w:hint="default" w:ascii="Times New Roman" w:hAnsi="Times New Roman" w:cs="Times New Roman"/>
                <w:bCs/>
                <w:color w:val="auto"/>
                <w:sz w:val="24"/>
              </w:rPr>
              <w:t>和</w:t>
            </w:r>
            <w:r>
              <w:rPr>
                <w:rFonts w:hint="eastAsia" w:cs="Times New Roman"/>
                <w:bCs/>
                <w:color w:val="auto"/>
                <w:sz w:val="24"/>
                <w:lang w:eastAsia="zh-CN"/>
              </w:rPr>
              <w:t>〈</w:t>
            </w:r>
            <w:r>
              <w:rPr>
                <w:rFonts w:hint="default" w:ascii="Times New Roman" w:hAnsi="Times New Roman" w:cs="Times New Roman"/>
                <w:bCs/>
                <w:color w:val="auto"/>
                <w:sz w:val="24"/>
              </w:rPr>
              <w:t>项目环评“三线一单”符合性分析技术要点（试行）</w:t>
            </w:r>
            <w:r>
              <w:rPr>
                <w:rFonts w:hint="eastAsia" w:cs="Times New Roman"/>
                <w:bCs/>
                <w:color w:val="auto"/>
                <w:sz w:val="24"/>
                <w:lang w:eastAsia="zh-CN"/>
              </w:rPr>
              <w:t>〉</w:t>
            </w:r>
            <w:r>
              <w:rPr>
                <w:rFonts w:hint="default" w:ascii="Times New Roman" w:hAnsi="Times New Roman" w:cs="Times New Roman"/>
                <w:bCs/>
                <w:color w:val="auto"/>
                <w:sz w:val="24"/>
              </w:rPr>
              <w:t>的通知》中要求，“三线一单”分析应明确项目所属环境管控单元，并说明该单元的基本情况，对于生态类建设项目，重点分析与生态保护红线、生态空间和自然保护地的位置关系，并从空间约束布局、污染物排放管控、环境风险防控、资源开发效率四个</w:t>
            </w:r>
            <w:r>
              <w:rPr>
                <w:rFonts w:hint="eastAsia" w:cs="Times New Roman"/>
                <w:bCs/>
                <w:color w:val="auto"/>
                <w:sz w:val="24"/>
                <w:lang w:eastAsia="zh-CN"/>
              </w:rPr>
              <w:t>维</w:t>
            </w:r>
            <w:r>
              <w:rPr>
                <w:rFonts w:hint="default" w:ascii="Times New Roman" w:hAnsi="Times New Roman" w:cs="Times New Roman"/>
                <w:bCs/>
                <w:color w:val="auto"/>
                <w:sz w:val="24"/>
              </w:rPr>
              <w:t>度论述符合性。</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本项目属生态类建设项目，项目位于“</w:t>
            </w:r>
            <w:r>
              <w:rPr>
                <w:rFonts w:hint="default" w:ascii="Times New Roman" w:hAnsi="Times New Roman" w:cs="Times New Roman"/>
                <w:bCs/>
                <w:color w:val="auto"/>
                <w:sz w:val="24"/>
                <w:lang w:val="en-US" w:eastAsia="zh-CN"/>
              </w:rPr>
              <w:t>宣汉县一般管控单元</w:t>
            </w:r>
            <w:r>
              <w:rPr>
                <w:rFonts w:hint="default" w:ascii="Times New Roman" w:hAnsi="Times New Roman" w:cs="Times New Roman"/>
                <w:bCs/>
                <w:color w:val="auto"/>
                <w:sz w:val="24"/>
              </w:rPr>
              <w:t>”（环境管控单元编码</w:t>
            </w:r>
            <w:r>
              <w:rPr>
                <w:rFonts w:hint="default" w:ascii="Times New Roman" w:hAnsi="Times New Roman" w:cs="Times New Roman"/>
                <w:bCs/>
                <w:color w:val="auto"/>
                <w:sz w:val="24"/>
                <w:lang w:val="en-US" w:eastAsia="zh-CN"/>
              </w:rPr>
              <w:t>ZH51172230001</w:t>
            </w:r>
            <w:r>
              <w:rPr>
                <w:rFonts w:hint="default" w:ascii="Times New Roman" w:hAnsi="Times New Roman" w:cs="Times New Roman"/>
                <w:bCs/>
                <w:color w:val="auto"/>
                <w:sz w:val="24"/>
              </w:rPr>
              <w:t>）内，项目不在生态保护红线和自然保护地范围内。</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kern w:val="0"/>
                <w:szCs w:val="21"/>
              </w:rPr>
            </w:pPr>
            <w:r>
              <w:rPr>
                <w:rFonts w:hint="default" w:ascii="Times New Roman" w:hAnsi="Times New Roman" w:cs="Times New Roman"/>
                <w:bCs/>
                <w:color w:val="auto"/>
                <w:sz w:val="24"/>
              </w:rPr>
              <w:t>根据四川省政务网“四川省“三线一单”符合性分析报告”中相关内容，项目与达州市“三线一单”相关要求的符合性分析见下表</w:t>
            </w:r>
            <w:r>
              <w:rPr>
                <w:rFonts w:hint="eastAsia" w:cs="Times New Roman"/>
                <w:bCs/>
                <w:color w:val="auto"/>
                <w:sz w:val="24"/>
                <w:lang w:eastAsia="zh-CN"/>
              </w:rPr>
              <w:t>。</w:t>
            </w:r>
          </w:p>
        </w:tc>
      </w:tr>
    </w:tbl>
    <w:p>
      <w:pPr>
        <w:spacing w:line="360" w:lineRule="auto"/>
        <w:outlineLvl w:val="0"/>
        <w:rPr>
          <w:rFonts w:hint="default" w:ascii="Times New Roman" w:hAnsi="Times New Roman" w:eastAsia="黑体" w:cs="Times New Roman"/>
          <w:color w:val="auto"/>
          <w:szCs w:val="21"/>
        </w:rPr>
        <w:sectPr>
          <w:footerReference r:id="rId5" w:type="default"/>
          <w:pgSz w:w="11906" w:h="16838"/>
          <w:pgMar w:top="1417" w:right="1417" w:bottom="1417" w:left="1701" w:header="851" w:footer="1077" w:gutter="0"/>
          <w:pgBorders>
            <w:top w:val="none" w:sz="0" w:space="0"/>
            <w:left w:val="none" w:sz="0" w:space="0"/>
            <w:bottom w:val="none" w:sz="0" w:space="0"/>
            <w:right w:val="none" w:sz="0" w:space="0"/>
          </w:pgBorders>
          <w:pgNumType w:start="1"/>
          <w:cols w:space="720" w:num="1"/>
          <w:docGrid w:linePitch="312" w:charSpace="0"/>
        </w:sectPr>
      </w:pPr>
    </w:p>
    <w:tbl>
      <w:tblPr>
        <w:tblStyle w:val="4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74" w:type="dxa"/>
          </w:tcPr>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b/>
                <w:color w:val="auto"/>
                <w:kern w:val="0"/>
                <w:szCs w:val="21"/>
              </w:rPr>
            </w:pPr>
            <w:r>
              <w:rPr>
                <w:rFonts w:hint="default" w:ascii="Times New Roman" w:hAnsi="Times New Roman" w:cs="Times New Roman"/>
                <w:b/>
                <w:color w:val="auto"/>
                <w:kern w:val="0"/>
                <w:szCs w:val="21"/>
              </w:rPr>
              <w:t>表1-3 与各环境管控单元符合性分析一览表</w:t>
            </w:r>
          </w:p>
          <w:tbl>
            <w:tblPr>
              <w:tblStyle w:val="44"/>
              <w:tblW w:w="13939"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36"/>
              <w:gridCol w:w="934"/>
              <w:gridCol w:w="1072"/>
              <w:gridCol w:w="7349"/>
              <w:gridCol w:w="2139"/>
              <w:gridCol w:w="140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10391" w:type="dxa"/>
                  <w:gridSpan w:val="4"/>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“三线一单”的具体要求</w:t>
                  </w:r>
                </w:p>
              </w:tc>
              <w:tc>
                <w:tcPr>
                  <w:tcW w:w="2139" w:type="dxa"/>
                  <w:vMerge w:val="restart"/>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项目情况</w:t>
                  </w:r>
                </w:p>
              </w:tc>
              <w:tc>
                <w:tcPr>
                  <w:tcW w:w="1409" w:type="dxa"/>
                  <w:vMerge w:val="restart"/>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符合性分析</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3042" w:type="dxa"/>
                  <w:gridSpan w:val="3"/>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类别</w:t>
                  </w:r>
                </w:p>
              </w:tc>
              <w:tc>
                <w:tcPr>
                  <w:tcW w:w="734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对应的管控要求</w:t>
                  </w:r>
                </w:p>
              </w:tc>
              <w:tc>
                <w:tcPr>
                  <w:tcW w:w="2139"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409"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036" w:type="dxa"/>
                  <w:vMerge w:val="restart"/>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kern w:val="2"/>
                      <w:sz w:val="21"/>
                      <w:szCs w:val="21"/>
                      <w:lang w:bidi="ar"/>
                    </w:rPr>
                  </w:pPr>
                  <w:r>
                    <w:rPr>
                      <w:rFonts w:hint="default" w:ascii="Times New Roman" w:hAnsi="Times New Roman" w:cs="Times New Roman"/>
                      <w:color w:val="auto"/>
                      <w:kern w:val="2"/>
                      <w:sz w:val="21"/>
                      <w:szCs w:val="21"/>
                      <w:lang w:bidi="ar"/>
                    </w:rPr>
                    <w:t>环境要素一般管控单元ZH51172230001</w:t>
                  </w:r>
                </w:p>
              </w:tc>
              <w:tc>
                <w:tcPr>
                  <w:tcW w:w="934" w:type="dxa"/>
                  <w:vMerge w:val="restart"/>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普适性清单管控要求</w:t>
                  </w: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空间布局约束</w:t>
                  </w:r>
                </w:p>
              </w:tc>
              <w:tc>
                <w:tcPr>
                  <w:tcW w:w="7349" w:type="dxa"/>
                  <w:tcBorders>
                    <w:tl2br w:val="nil"/>
                    <w:tr2bl w:val="nil"/>
                  </w:tcBorders>
                  <w:shd w:val="clear" w:color="auto" w:fill="auto"/>
                </w:tcPr>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禁止开发建设活动的要求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-禁止在长江干支流1公里范围内新建、扩建化工园区和化工项目。</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-禁止在法律法规规定的禁采区内新建矿山；禁止土法采、选、冶严重污染环境的矿产资源。</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-涉及永久基本农田的区域，除法律规定的重点建设项目选址确实无法避让外，其他任何建设不得占用。</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-禁止在长江流域河湖管理范围内倾倒、填埋、堆放、弃置、处理固体废物。</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-禁止在永久基本农田集中区域和其他需要特别保护的区域选址建设尾矿库、冶炼渣库、磷石膏库。</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-禁止在长江干流岸线三公里范围内和重要支流岸线一公里范围内新建、改建、扩建尾矿库、冶炼渣库、磷石膏库，以提升安全、生态环境保护水平为目的的改建除外。</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限制开发建设活动的要求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-按照相关要求严控水泥新增产能。</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-涉及法定保护地，严格按照国家及地方法律法规、管理办法等相关要求进行控制。配套旅游、基础设施等建设项目，在符合规划和相关保护要求的前提下，应实施生态避让、减缓影响及生态恢复措施。</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按照相关要求严控水泥新增产能。</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大气环境布局敏感重点管控区：（1）坚决遏制高耗能、高排放、低水平项目盲目发展，严格落实国家和四川省产业规划、产业政策、规划环评，以及产能置换、煤炭消费减量替代、区域污染物削减等要求，坚决叫停不符合要求的高耗能、高排放、低水平项目。（2）提升高耗能项目能耗准入标准，能耗、物耗要达到清洁生产先进水平。严禁新增钢铁、焦化、炼油、电解铝、水泥、平板玻璃（不含光伏玻璃）等产能。</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大气弱扩散重点管控区：强化落后产能退出机制，对能耗、环保、安全、技术达不到标准，生产不合格或淘汰类产品的企业和产能，依法予以关闭淘汰，推动重污染企业搬迁入园或依法关闭。对长江及重要支流沿线存在重大环境安全隐患的生产企业，加快推进就地改造异地迁建、关闭退出。开展差别化环境管理，对能耗、物耗、污染物排放等指标提出最严格管控要求，倒逼竞争乏力的产能退出。支持现有钢铁、水泥、焦化等废气排放量大的产业向有刚性需求、具有资源优势、环境容量允许的地区转移布局。</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-水环境农业污染重点管控区：（1）稳步推进建制镇污水处理设施建设，适当预留发展空间，宜集中则集中，宜分散则分散。农村生活污水处理设施排水执行《农村生活污水处理设施水污染物排放标准》（DB 51 2626-2019）要求。（2）深入推进化肥减量增效。鼓励以循环利用与生态净化相结合的方式控制种植业污染，农企合作推进测土配方施肥。</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不符合空间布局要求活动的退出要求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针对现有水泥企业，强化污染治理和污染物减排，依法依规整治或搬迁。</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全面取缔禁养区内规模化畜禽养殖场。</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2025年基本完成全域内“散乱污”企业整治工作。</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在全市范围深入开展集中整治“散乱污”工业企业，对不符合产业政策和规划布局的，一律责令停产、限期搬迁或关停；</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其他空间布局约束要求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rPr>
                  </w:pPr>
                  <w:r>
                    <w:rPr>
                      <w:rFonts w:hint="default" w:ascii="Times New Roman" w:hAnsi="Times New Roman" w:eastAsia="新宋体" w:cs="Times New Roman"/>
                      <w:color w:val="auto"/>
                      <w:kern w:val="0"/>
                      <w:sz w:val="21"/>
                      <w:lang w:val="en-US" w:eastAsia="zh-CN"/>
                    </w:rPr>
                    <w:t>新建矿山全部达到绿色矿山建设要求，生产矿山加快改造升级，逐步达到要求。</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本项目符合相关规划，不属于上述禁止建设项目，项目建设将占用基本农田，目前正在办理相关用地手续。</w:t>
                  </w:r>
                </w:p>
              </w:tc>
              <w:tc>
                <w:tcPr>
                  <w:tcW w:w="140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污染物排放管控</w:t>
                  </w:r>
                </w:p>
              </w:tc>
              <w:tc>
                <w:tcPr>
                  <w:tcW w:w="7349" w:type="dxa"/>
                  <w:tcBorders>
                    <w:tl2br w:val="nil"/>
                    <w:tr2bl w:val="nil"/>
                  </w:tcBorders>
                  <w:shd w:val="clear" w:color="auto" w:fill="auto"/>
                </w:tcPr>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允许排放量要求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现有源提标升级改造</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加快现有乡镇污水处理设施升级改造，按要求达《城镇污水处理厂污染物排放标准》一级A标后排放。</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在矿产资源开发活动集中区域，废水执行重金属污染物排放特别限值。</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火电、水泥等行业按相关要求推进大气污染物超低排放和深度治理。</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砖瓦行业实施脱硫、除尘升级改造，污染物排放达到《砖瓦工业大气污染物排放标准》相关要求。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其他污染物排放管控要求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新增源等量或倍量替代:上一年度水环境质量未完成目标的，新建排放水污染的建设项目按照总量管控要求进行倍量削减替代。上一年度空气质量年平均浓度不达标的城市，建设项目新增相关污染物按照总量管控要求进行倍量削减替代。大气环境重点管控区内，新增大气污染物排放的建设项目实施总量削减替代。</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污染物排放绩效水平准入要求:屠宰项目必须配套污水处理设施或进入城市污水管网。</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大气环境重点管控区内加强“高架源”污染治理，深化施工扬尘监管，严格落实“六必须、六不准”管控要求，强化道路施工管控，提高道路清扫机械化和精细化作业水平。-至2022年底，基本实现乡镇污水处理设施全覆盖，配套建设污水收集管网，乡镇污水处理率达到65%。</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-到2023年底，力争全市生活垃圾焚烧处理能力占比达60%以上，各县（市）生活垃圾无害化处理率保持95%以上，乡镇及行政村生活垃圾收转运处置体系基本实现全覆盖。</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-到2025年，农药包装废弃物回收率达80%；粮油绿色高质高效示范区、茶叶主产区和现代农业园区农药包装废弃物回收率100%。</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-到2025年，全国主要农作物化肥、农药利用率达43%，测土配方施肥技术推广覆盖率保持在90%以上，控制农村面源污染，采取灌排分离等措施控制农田氮磷流失。</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到2025年，新、改扩建规模化畜禽养殖场（小区）要实施雨污分流、粪便污水资源化利用；规模化畜禽养殖场（小区）粪污处理设施装备配套率达到95%以上，粪污综合利用率达到80%以上，大型规模养殖场粪污处理设施装备配套率达到100%，畜禽粪污基本实现资源化利用；散养密集区要实行畜禽粪便污水分户收集、集中处理利用。</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-到2025年，废旧农膜回收利用率达到85%以上。</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rPr>
                  </w:pPr>
                  <w:r>
                    <w:rPr>
                      <w:rFonts w:hint="default" w:ascii="Times New Roman" w:hAnsi="Times New Roman" w:eastAsia="新宋体" w:cs="Times New Roman"/>
                      <w:color w:val="auto"/>
                      <w:kern w:val="0"/>
                      <w:sz w:val="21"/>
                      <w:lang w:val="en-US" w:eastAsia="zh-CN"/>
                    </w:rPr>
                    <w:t>-非金属矿行业绿色矿山建设要求：固体废物妥善处置率应达到100%；选矿废水重复利用率一般达到85%以上。</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本项目废水经重叠液罐收集后拟由罐车拉运至</w:t>
                  </w:r>
                  <w:r>
                    <w:rPr>
                      <w:rFonts w:hint="eastAsia" w:ascii="Times New Roman" w:hAnsi="Times New Roman" w:cs="Times New Roman"/>
                      <w:color w:val="auto"/>
                      <w:sz w:val="21"/>
                      <w:szCs w:val="21"/>
                      <w:lang w:eastAsia="zh-CN"/>
                    </w:rPr>
                    <w:t>赵家坝污水处理站</w:t>
                  </w:r>
                  <w:r>
                    <w:rPr>
                      <w:rFonts w:hint="default" w:ascii="Times New Roman" w:hAnsi="Times New Roman" w:cs="Times New Roman"/>
                      <w:color w:val="auto"/>
                      <w:sz w:val="21"/>
                      <w:szCs w:val="21"/>
                    </w:rPr>
                    <w:t>处理达标后</w:t>
                  </w:r>
                  <w:r>
                    <w:rPr>
                      <w:rFonts w:hint="eastAsia" w:ascii="Times New Roman" w:hAnsi="Times New Roman" w:cs="Times New Roman"/>
                      <w:color w:val="auto"/>
                      <w:sz w:val="21"/>
                      <w:szCs w:val="21"/>
                      <w:lang w:eastAsia="zh-CN"/>
                    </w:rPr>
                    <w:t>由罐车拉运至普光3井等</w:t>
                  </w:r>
                  <w:r>
                    <w:rPr>
                      <w:rFonts w:hint="default" w:ascii="Times New Roman" w:hAnsi="Times New Roman" w:cs="Times New Roman"/>
                      <w:color w:val="auto"/>
                      <w:sz w:val="21"/>
                      <w:szCs w:val="21"/>
                    </w:rPr>
                    <w:t>回注站回注，项目柴油发电机使用优质柴油，废气产生量较小，岩屑按要求就近交给依法取得生态环境部门关于利用和处置相关工业固体废物项目环评批复、具有处理处置相应固体废物能力并配套建设有废气、废水、固废等污染物治理设施的单位进行资源化利用；本项目施工时间较短，噪声随施工结束而结束，对外环境影响较小。综上所述，本项目各污染因素均得到有效处置，符合污染物控制要求。</w:t>
                  </w:r>
                </w:p>
              </w:tc>
              <w:tc>
                <w:tcPr>
                  <w:tcW w:w="140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环境风险防控</w:t>
                  </w:r>
                </w:p>
              </w:tc>
              <w:tc>
                <w:tcPr>
                  <w:tcW w:w="7349" w:type="dxa"/>
                  <w:tcBorders>
                    <w:tl2br w:val="nil"/>
                    <w:tr2bl w:val="nil"/>
                  </w:tcBorders>
                  <w:shd w:val="clear" w:color="auto" w:fill="auto"/>
                </w:tcPr>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联防联控要求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强化区域联防联控，严格落实《关于建立跨省流域上下游突发水污染事件联防联控机制的指导意见》；定期召开区域大气环境形式分析会，强化信息共享和联动合作，实行环境规划，标准，环评，执法，信息公开“六统一”，协力推进大气污染源头防控，加强川东北区域大气污染防治合作。</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其他环境风险防控要求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企业环境风险防控要求:工业企业退出用地，须经评估、修复满足相应用地功能后，方可改变用途。</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加强“散乱污”企业环境风险防控。对拟收回土地使用权的有色金属矿采选、有色金属冶炼、石油加工、化工、焦化、电镀、制革、天然（页岩）气开采、铅蓄电池、汽车制造、农药、危废处置、电子拆解等行业企业用地，以及用途拟变更为居住和商业、学校、医疗、养老机构等公共设施的上述企业用地，以及由重度污染农用地转为的城镇建设用地，开展土壤环境状况调查评估。用地环境风险防控要求:严禁将城镇生活垃圾、污泥、工业废物直接用作肥料，禁止处理不达标的污泥进入耕地；禁止在农用地排放、倾倒、使用污泥、清淤底泥、尾矿（渣）等可能对土壤造成污染的固体废物。</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定期对单元内尾矿库进行风险巡查，建立监测系统和环境风险应急预案；完善各尾矿库渗滤液收集、处理、回用系统，杜绝事故排放；尾矿库闭矿后因地制宜进行植被恢复和综合利用。</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规范排土场、渣场等整治。禁止处理不达标的污泥进入耕地。</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严格控制林地、草地、园地的农药使用量，禁止使用高毒、高残留农药。</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rPr>
                  </w:pPr>
                  <w:r>
                    <w:rPr>
                      <w:rFonts w:hint="default" w:ascii="Times New Roman" w:hAnsi="Times New Roman" w:eastAsia="新宋体" w:cs="Times New Roman"/>
                      <w:color w:val="auto"/>
                      <w:kern w:val="0"/>
                      <w:sz w:val="21"/>
                      <w:lang w:val="en-US" w:eastAsia="zh-CN"/>
                    </w:rPr>
                    <w:t>到2030年，全市受污染耕地安全利用率达到95%以上，污染地块安全利用率达到95%以上。</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落实本评价相关风险措施后，本项目环境风险可控</w:t>
                  </w:r>
                </w:p>
              </w:tc>
              <w:tc>
                <w:tcPr>
                  <w:tcW w:w="140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资源开发利用效率</w:t>
                  </w:r>
                </w:p>
              </w:tc>
              <w:tc>
                <w:tcPr>
                  <w:tcW w:w="7349" w:type="dxa"/>
                  <w:tcBorders>
                    <w:tl2br w:val="nil"/>
                    <w:tr2bl w:val="nil"/>
                  </w:tcBorders>
                  <w:shd w:val="clear" w:color="auto" w:fill="auto"/>
                </w:tcPr>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水资源利用总量要求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-到2025年，农田灌溉水有效利用系数达到0.57以上。</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地下水开采要求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以省市下发指标为准</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能源利用总量及效率要求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推进清洁能源的推广使用，全面推进散煤清洁化整治；禁止新建每小时10蒸吨以下的燃煤锅炉及其他燃煤设施。</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禁止焚烧秸秆和垃圾，到2025年底，秸秆综合利用率达到86%以上。</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禁燃区要求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高污染燃料禁燃区内禁止燃用的燃料为《高污染燃料目录》（2017）中III类（严格）燃料组合，包括：（一）煤炭及其制品；（二）石油焦、油页岩、原油、重油、渣油、煤焦油；（三）非专用锅炉或未配置高效除尘设施的专用锅炉燃用的生物质成型燃料。</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-禁燃区内禁止销售、燃用高污染燃料；禁止新建、改建、扩建燃用高污染燃料的设施和设备。</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-禁燃区内已建成的高污染燃料燃用设施由辖区人民政府制定限期改造计划，改用天然气、页岩气、液化石油气、电或其他清洁能源。</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lang w:val="en-US" w:eastAsia="zh-CN"/>
                    </w:rPr>
                  </w:pPr>
                  <w:r>
                    <w:rPr>
                      <w:rFonts w:hint="default" w:ascii="Times New Roman" w:hAnsi="Times New Roman" w:eastAsia="新宋体" w:cs="Times New Roman"/>
                      <w:color w:val="auto"/>
                      <w:kern w:val="0"/>
                      <w:sz w:val="21"/>
                      <w:lang w:val="en-US" w:eastAsia="zh-CN"/>
                    </w:rPr>
                    <w:t>其他资源利用效率要求</w:t>
                  </w:r>
                </w:p>
                <w:p>
                  <w:pPr>
                    <w:pStyle w:val="373"/>
                    <w:keepNext w:val="0"/>
                    <w:keepLines w:val="0"/>
                    <w:suppressLineNumbers w:val="0"/>
                    <w:spacing w:before="0" w:beforeAutospacing="0" w:after="0" w:afterAutospacing="0" w:line="240" w:lineRule="auto"/>
                    <w:ind w:left="0" w:right="0" w:firstLine="0" w:firstLineChars="0"/>
                    <w:rPr>
                      <w:rFonts w:hint="default" w:ascii="Times New Roman" w:hAnsi="Times New Roman" w:eastAsia="新宋体" w:cs="Times New Roman"/>
                      <w:color w:val="auto"/>
                      <w:kern w:val="0"/>
                      <w:sz w:val="21"/>
                    </w:rPr>
                  </w:pPr>
                  <w:r>
                    <w:rPr>
                      <w:rFonts w:hint="default" w:ascii="Times New Roman" w:hAnsi="Times New Roman" w:eastAsia="新宋体" w:cs="Times New Roman"/>
                      <w:color w:val="auto"/>
                      <w:kern w:val="0"/>
                      <w:sz w:val="21"/>
                      <w:lang w:val="en-US" w:eastAsia="zh-CN"/>
                    </w:rPr>
                    <w:t>△</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本项目不涉及地下水开采，废水循环使用，符合资源开发</w:t>
                  </w:r>
                </w:p>
              </w:tc>
              <w:tc>
                <w:tcPr>
                  <w:tcW w:w="140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restart"/>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单元级清单管控要求</w:t>
                  </w: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空间布局约束</w:t>
                  </w:r>
                </w:p>
              </w:tc>
              <w:tc>
                <w:tcPr>
                  <w:tcW w:w="7349" w:type="dxa"/>
                  <w:tcBorders>
                    <w:tl2br w:val="nil"/>
                    <w:tr2bl w:val="nil"/>
                  </w:tcBorders>
                  <w:shd w:val="clear" w:color="auto" w:fill="auto"/>
                  <w:vAlign w:val="center"/>
                </w:tcPr>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default"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禁止开发建设活动的要求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限制开发建设活动的要求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对四川省主体功能区划中的农产品主产区，应限制进行大规模高强度工业化城镇化开发，严格控制有色金属冶炼、石油加工、化工、焦化、电镀、制革等产能，原则上不增加产能</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其他同达州市一般管控单元总体准入要求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允许开发建设活动的要求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不符合空间布局要求活动的退出要求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区外企业：位于城镇空间外的工业园区外工业企业：具有合法手续的企业，且污染物排放及环境风险满足管理要求的企业，可继续保留，要求污染物排放只降不增，并进一步加强日常环保监管；严控新（扩）建水泥厂、危废焚烧、陶瓷厂等以大气污染为主的企业；不具备合法手续，或污染物排放超标、环境风险不可控的企业，限期进行整改提升，通过环保、安全、工艺装备升级等落实整改措施并达到相关标准实现合法生产，整改后仍不能达到要求的，属地政府应按相关要求责令关停并退出</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-其他同达州市一般管控单元总体准入要求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其他空间布局约束要求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Fonts w:hint="default"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项目位</w:t>
                  </w:r>
                  <w:r>
                    <w:rPr>
                      <w:rFonts w:hint="eastAsia" w:ascii="Times New Roman" w:hAnsi="Times New Roman" w:cs="Times New Roman"/>
                      <w:color w:val="auto"/>
                      <w:sz w:val="21"/>
                      <w:szCs w:val="21"/>
                      <w:lang w:eastAsia="zh-CN"/>
                    </w:rPr>
                    <w:t>于四川省达州市宣汉县普光镇双河社区石垭村</w:t>
                  </w:r>
                  <w:r>
                    <w:rPr>
                      <w:rFonts w:hint="default" w:ascii="Times New Roman" w:hAnsi="Times New Roman" w:cs="Times New Roman"/>
                      <w:color w:val="auto"/>
                      <w:sz w:val="21"/>
                      <w:szCs w:val="21"/>
                    </w:rPr>
                    <w:t>，属于一般管控单元，不属于禁止开发建设活动</w:t>
                  </w:r>
                </w:p>
              </w:tc>
              <w:tc>
                <w:tcPr>
                  <w:tcW w:w="140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污染物排放管控</w:t>
                  </w:r>
                </w:p>
              </w:tc>
              <w:tc>
                <w:tcPr>
                  <w:tcW w:w="7349" w:type="dxa"/>
                  <w:tcBorders>
                    <w:tl2br w:val="nil"/>
                    <w:tr2bl w:val="nil"/>
                  </w:tcBorders>
                  <w:shd w:val="clear" w:color="auto" w:fill="auto"/>
                  <w:vAlign w:val="center"/>
                </w:tcPr>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default"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现有源提标升级改造</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新增源等量或倍量替代</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新增源排放标准限值</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污染物排放绩效水平准入要求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-大气环境布局敏感和弱扩散重点管控区内，现有大气污染重点企业，限期进行深度治理或关停并转。</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-其它同达州市一般管控单元总体准入要求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其他污染物排放管控要求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Fonts w:hint="default"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项目废水收集后通过密闭罐车定期拉运至</w:t>
                  </w:r>
                  <w:r>
                    <w:rPr>
                      <w:rFonts w:hint="eastAsia" w:ascii="Times New Roman" w:hAnsi="Times New Roman" w:cs="Times New Roman"/>
                      <w:color w:val="auto"/>
                      <w:sz w:val="21"/>
                      <w:szCs w:val="21"/>
                      <w:lang w:eastAsia="zh-CN"/>
                    </w:rPr>
                    <w:t>赵家坝污水处理站</w:t>
                  </w:r>
                  <w:r>
                    <w:rPr>
                      <w:rFonts w:hint="default" w:ascii="Times New Roman" w:hAnsi="Times New Roman" w:cs="Times New Roman"/>
                      <w:color w:val="auto"/>
                      <w:sz w:val="21"/>
                      <w:szCs w:val="21"/>
                    </w:rPr>
                    <w:t>处理达标后</w:t>
                  </w:r>
                  <w:r>
                    <w:rPr>
                      <w:rFonts w:hint="eastAsia" w:ascii="Times New Roman" w:hAnsi="Times New Roman" w:cs="Times New Roman"/>
                      <w:color w:val="auto"/>
                      <w:sz w:val="21"/>
                      <w:szCs w:val="21"/>
                      <w:lang w:eastAsia="zh-CN"/>
                    </w:rPr>
                    <w:t>由罐车拉运至普光3井等</w:t>
                  </w:r>
                  <w:r>
                    <w:rPr>
                      <w:rFonts w:hint="default" w:ascii="Times New Roman" w:hAnsi="Times New Roman" w:cs="Times New Roman"/>
                      <w:color w:val="auto"/>
                      <w:sz w:val="21"/>
                      <w:szCs w:val="21"/>
                    </w:rPr>
                    <w:t>回注站回注，岩屑按要求就近交给依法取得生态环境部门关于利用和处置相关工业固体废物项目环评批复、具有处理处置相应固体废物能力并配套建设有废气、废水、固废等污染物治理设施的单位进行资源化利用，废气污染物产生较小，项目施工时间短，施工结束后噪声影响消失，因此符合污染物排放管控</w:t>
                  </w:r>
                </w:p>
              </w:tc>
              <w:tc>
                <w:tcPr>
                  <w:tcW w:w="140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环境风险防控</w:t>
                  </w:r>
                </w:p>
              </w:tc>
              <w:tc>
                <w:tcPr>
                  <w:tcW w:w="7349" w:type="dxa"/>
                  <w:tcBorders>
                    <w:tl2br w:val="nil"/>
                    <w:tr2bl w:val="nil"/>
                  </w:tcBorders>
                  <w:shd w:val="clear" w:color="auto" w:fill="auto"/>
                  <w:vAlign w:val="center"/>
                </w:tcPr>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default"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严格管控类农用地管控要求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安全利用类农用地管控要求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污染地块管控要求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园区环境风险防控要求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企业环境风险防控要求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其他环境风险防控要求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Fonts w:hint="default"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落实本评价相关风险措施后，本项目环境风险可控</w:t>
                  </w:r>
                </w:p>
              </w:tc>
              <w:tc>
                <w:tcPr>
                  <w:tcW w:w="140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资源开发利用效率</w:t>
                  </w:r>
                </w:p>
              </w:tc>
              <w:tc>
                <w:tcPr>
                  <w:tcW w:w="7349" w:type="dxa"/>
                  <w:tcBorders>
                    <w:tl2br w:val="nil"/>
                    <w:tr2bl w:val="nil"/>
                  </w:tcBorders>
                  <w:shd w:val="clear" w:color="auto" w:fill="auto"/>
                  <w:vAlign w:val="center"/>
                </w:tcPr>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default"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水资源利用效率要求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地下水开采要求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能源利用效率要求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同达州市一般管控单元总体准入要求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其他资源利用效率要求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Fonts w:hint="default"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本项目不涉及地下水开采，废水循环使用，符合资源开发</w:t>
                  </w:r>
                </w:p>
              </w:tc>
              <w:tc>
                <w:tcPr>
                  <w:tcW w:w="140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36" w:type="dxa"/>
                  <w:vMerge w:val="restart"/>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州河-宣汉县-张鼓坪-控制单元：YS5117223210002</w:t>
                  </w:r>
                </w:p>
                <w:p>
                  <w:pPr>
                    <w:keepNext w:val="0"/>
                    <w:keepLines w:val="0"/>
                    <w:suppressLineNumbers w:val="0"/>
                    <w:spacing w:before="0" w:beforeAutospacing="0" w:after="0" w:afterAutospacing="0"/>
                    <w:ind w:left="0" w:right="0"/>
                    <w:rPr>
                      <w:rFonts w:hint="default" w:ascii="Times New Roman" w:hAnsi="Times New Roman" w:cs="Times New Roman"/>
                      <w:color w:val="auto"/>
                    </w:rPr>
                  </w:pPr>
                  <w:r>
                    <w:rPr>
                      <w:rFonts w:hint="default" w:ascii="Times New Roman" w:hAnsi="Times New Roman" w:cs="Times New Roman"/>
                      <w:color w:val="auto"/>
                      <w:szCs w:val="21"/>
                      <w:lang w:val="en-US" w:eastAsia="zh-CN"/>
                    </w:rPr>
                    <w:t>宣汉县大气环境布局敏感重点管控区</w:t>
                  </w:r>
                  <w:r>
                    <w:rPr>
                      <w:rFonts w:hint="default" w:ascii="Times New Roman" w:hAnsi="Times New Roman" w:cs="Times New Roman"/>
                      <w:color w:val="auto"/>
                      <w:szCs w:val="21"/>
                    </w:rPr>
                    <w:t>：</w:t>
                  </w:r>
                  <w:r>
                    <w:rPr>
                      <w:rFonts w:hint="default" w:ascii="Times New Roman" w:hAnsi="Times New Roman" w:cs="Times New Roman"/>
                      <w:color w:val="auto"/>
                      <w:szCs w:val="21"/>
                      <w:lang w:val="en-US" w:eastAsia="zh-CN"/>
                    </w:rPr>
                    <w:t>YS5117222320001</w:t>
                  </w:r>
                </w:p>
              </w:tc>
              <w:tc>
                <w:tcPr>
                  <w:tcW w:w="934" w:type="dxa"/>
                  <w:vMerge w:val="restart"/>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普适性清单管控要求</w:t>
                  </w: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空间布局约束</w:t>
                  </w:r>
                </w:p>
              </w:tc>
              <w:tc>
                <w:tcPr>
                  <w:tcW w:w="734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禁止开发建设活动的要求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限制开发建设活动的要求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不符合空间布局要求活动的退出要求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其他空间布局约束要求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无</w:t>
                  </w:r>
                </w:p>
              </w:tc>
              <w:tc>
                <w:tcPr>
                  <w:tcW w:w="1409"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污染物排放管控</w:t>
                  </w:r>
                </w:p>
              </w:tc>
              <w:tc>
                <w:tcPr>
                  <w:tcW w:w="734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允许排放量要求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现有源提标升级改造</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其他污染物排放管控要求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无</w:t>
                  </w:r>
                </w:p>
              </w:tc>
              <w:tc>
                <w:tcPr>
                  <w:tcW w:w="1409"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环境风险防控</w:t>
                  </w:r>
                </w:p>
              </w:tc>
              <w:tc>
                <w:tcPr>
                  <w:tcW w:w="734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联防联控要求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其他环境风险防控要求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无</w:t>
                  </w:r>
                </w:p>
              </w:tc>
              <w:tc>
                <w:tcPr>
                  <w:tcW w:w="1409"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资源开发利用效率</w:t>
                  </w:r>
                </w:p>
              </w:tc>
              <w:tc>
                <w:tcPr>
                  <w:tcW w:w="734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水资源利用总量要求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地下水开采要求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能源利用总量及效率要求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禁燃区要求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其他资源利用效率要求</w:t>
                  </w:r>
                </w:p>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暂无</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无</w:t>
                  </w:r>
                </w:p>
              </w:tc>
              <w:tc>
                <w:tcPr>
                  <w:tcW w:w="1409"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restart"/>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eastAsia" w:ascii="Times New Roman" w:hAnsi="Times New Roman" w:eastAsia="宋体" w:cs="Times New Roman"/>
                      <w:color w:val="auto"/>
                      <w:szCs w:val="21"/>
                      <w:lang w:eastAsia="zh-CN"/>
                    </w:rPr>
                  </w:pPr>
                  <w:r>
                    <w:rPr>
                      <w:rFonts w:hint="default" w:ascii="Times New Roman" w:hAnsi="Times New Roman" w:cs="Times New Roman"/>
                      <w:color w:val="auto"/>
                      <w:szCs w:val="21"/>
                    </w:rPr>
                    <w:t>单元级清单管控要求</w:t>
                  </w:r>
                  <w:r>
                    <w:rPr>
                      <w:rFonts w:hint="eastAsia" w:cs="Times New Roman"/>
                      <w:color w:val="auto"/>
                      <w:szCs w:val="21"/>
                      <w:lang w:eastAsia="zh-CN"/>
                    </w:rPr>
                    <w:t>（州河-宣汉县-张鼓坪-控制单元）</w:t>
                  </w: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空间布局约束</w:t>
                  </w:r>
                </w:p>
              </w:tc>
              <w:tc>
                <w:tcPr>
                  <w:tcW w:w="7349" w:type="dxa"/>
                  <w:tcBorders>
                    <w:tl2br w:val="nil"/>
                    <w:tr2bl w:val="nil"/>
                  </w:tcBorders>
                  <w:shd w:val="clear" w:color="auto" w:fill="auto"/>
                  <w:vAlign w:val="center"/>
                </w:tcPr>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default"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禁止开发建设活动的要求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不再新建、改扩建开采规模在50万吨/年以下的磷矿，不再新建露天磷矿</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限制开发建设活动的要求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允许开发建设活动的要求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不符合空间布局要求活动的退出要求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Fonts w:hint="default"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其他空间布局约束要求</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本项目符合相关规划，不属于上述禁止、限制类建设项目</w:t>
                  </w:r>
                </w:p>
              </w:tc>
              <w:tc>
                <w:tcPr>
                  <w:tcW w:w="1409"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污染物排放管控</w:t>
                  </w:r>
                </w:p>
              </w:tc>
              <w:tc>
                <w:tcPr>
                  <w:tcW w:w="7349" w:type="dxa"/>
                  <w:tcBorders>
                    <w:tl2br w:val="nil"/>
                    <w:tr2bl w:val="nil"/>
                  </w:tcBorders>
                  <w:shd w:val="clear" w:color="auto" w:fill="auto"/>
                  <w:vAlign w:val="center"/>
                </w:tcPr>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default"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城镇污水污染控制措施要求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1、持续推进环保基础设施补短板，完善污水收集处理系统。2、保障乡镇污水收集处理设施顺畅运行。3、推进污水直排口排查与整治，落实“一口一策”整改措施。</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工业废水污染控制措施要求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1、落实主要污染物排放总量指标控制要求，加强入河排污口登记、审批和监督管理。2、强化流域内工业点源、规模化畜禽养殖场运行监管，避免偷排、漏排。</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农业面源水污染控制措施要求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1、推进农村污染治理，稳步农村污水处理设施建设，适当预留发展空间，宜集中则集中，宜分散则分散。大力推进农村生活垃圾就地分类减量 和资源化利用，因地制宜选择农村生活垃圾治理模式。严格做好“农家乐”、种植采摘园等范围内的生活及农产品产生污水及垃圾治理。2、以环境承载能力为约束，合理规划水产养殖空间及规模；推进水产生态健康养殖，加强渔业生产过程中抗菌药物使用管控。推进水产养殖治理，水产养殖废水应处理达到《四川省水产养殖业水污染物排放标准》后排放；实施池塘标准化改造，完善循环水和进排水处理设施；推进养殖尾水节水减排。3、以环境承载能力为约束，合理规划畜禽养殖空间及规模；推进畜禽粪污分类处置，根据排放去向或利用方式的不同执行相应的标准规范。不断提高畜禽养殖粪污资源化利用率及利用水平；设有污水排放口的规模化畜禽养殖场应当依法申领排污许可证。4、推进化肥、农药使用量“零增长”，逐步推进农田径流拦截及治理。</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船舶港口水污染控制措施要求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Fonts w:hint="default"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饮用水水源和其它特殊水体保护要求</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rPr>
                    <w:t>项目废水交由相关资质单位处置，废气污染物产生较小，项目施工时间短，施工结束后噪声影响消失，因此符合污染物排放管控。</w:t>
                  </w:r>
                  <w:r>
                    <w:rPr>
                      <w:rFonts w:hint="default" w:ascii="Times New Roman" w:hAnsi="Times New Roman" w:cs="Times New Roman"/>
                      <w:color w:val="auto"/>
                      <w:sz w:val="21"/>
                      <w:szCs w:val="21"/>
                      <w:lang w:val="en-US" w:eastAsia="zh-CN"/>
                    </w:rPr>
                    <w:t>本项目</w:t>
                  </w:r>
                  <w:r>
                    <w:rPr>
                      <w:rFonts w:hint="eastAsia" w:ascii="Times New Roman" w:hAnsi="Times New Roman" w:cs="Times New Roman"/>
                      <w:color w:val="auto"/>
                      <w:sz w:val="21"/>
                      <w:szCs w:val="21"/>
                      <w:lang w:val="en-US" w:eastAsia="zh-CN"/>
                    </w:rPr>
                    <w:t>不涉及饮用水源保护区</w:t>
                  </w:r>
                </w:p>
              </w:tc>
              <w:tc>
                <w:tcPr>
                  <w:tcW w:w="1409"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环境风险防控</w:t>
                  </w:r>
                </w:p>
              </w:tc>
              <w:tc>
                <w:tcPr>
                  <w:tcW w:w="7349" w:type="dxa"/>
                  <w:tcBorders>
                    <w:tl2br w:val="nil"/>
                    <w:tr2bl w:val="nil"/>
                  </w:tcBorders>
                  <w:shd w:val="clear" w:color="auto" w:fill="auto"/>
                  <w:vAlign w:val="center"/>
                </w:tcPr>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Fonts w:hint="default"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进一步完善工业企业和矿山环境风险防范和管理体系建设，开展企业风险隐患排查与风险评估，增强企业的环境风险意识，守住环境安全底线。落实“一河一策一图”风险管理和应急响应方案，提升风险应急管理水平。</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leftChars="0" w:right="0" w:rightChars="0"/>
                    <w:jc w:val="both"/>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sz w:val="21"/>
                      <w:szCs w:val="21"/>
                    </w:rPr>
                    <w:t>落实本评价相关风险措施后，本项目环境风险可控</w:t>
                  </w:r>
                </w:p>
              </w:tc>
              <w:tc>
                <w:tcPr>
                  <w:tcW w:w="1409"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3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right="0"/>
                    <w:jc w:val="both"/>
                    <w:rPr>
                      <w:rFonts w:hint="default" w:ascii="Times New Roman" w:hAnsi="Times New Roman" w:cs="Times New Roman"/>
                      <w:color w:val="auto"/>
                      <w:sz w:val="21"/>
                      <w:szCs w:val="21"/>
                    </w:rPr>
                  </w:pPr>
                  <w:r>
                    <w:rPr>
                      <w:rFonts w:hint="default" w:ascii="Times New Roman" w:hAnsi="Times New Roman" w:cs="Times New Roman"/>
                      <w:color w:val="auto"/>
                      <w:kern w:val="2"/>
                      <w:sz w:val="21"/>
                      <w:szCs w:val="21"/>
                      <w:lang w:bidi="ar"/>
                    </w:rPr>
                    <w:t>资源开发利用效率</w:t>
                  </w:r>
                </w:p>
              </w:tc>
              <w:tc>
                <w:tcPr>
                  <w:tcW w:w="7349" w:type="dxa"/>
                  <w:tcBorders>
                    <w:tl2br w:val="nil"/>
                    <w:tr2bl w:val="nil"/>
                  </w:tcBorders>
                  <w:shd w:val="clear" w:color="auto" w:fill="auto"/>
                  <w:vAlign w:val="center"/>
                </w:tcPr>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Fonts w:hint="default"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强化种植业节水；推进农村污水分质资源化利用。</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leftChars="0" w:right="0" w:rightChars="0"/>
                    <w:jc w:val="both"/>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sz w:val="21"/>
                      <w:szCs w:val="21"/>
                    </w:rPr>
                    <w:t>本项目不涉及</w:t>
                  </w:r>
                  <w:r>
                    <w:rPr>
                      <w:rFonts w:hint="eastAsia" w:ascii="Times New Roman" w:hAnsi="Times New Roman" w:cs="Times New Roman"/>
                      <w:color w:val="auto"/>
                      <w:sz w:val="21"/>
                      <w:szCs w:val="21"/>
                      <w:lang w:val="en-US" w:eastAsia="zh-CN"/>
                    </w:rPr>
                    <w:t>种植</w:t>
                  </w:r>
                  <w:r>
                    <w:rPr>
                      <w:rFonts w:hint="default" w:ascii="Times New Roman" w:hAnsi="Times New Roman" w:cs="Times New Roman"/>
                      <w:color w:val="auto"/>
                      <w:sz w:val="21"/>
                      <w:szCs w:val="21"/>
                    </w:rPr>
                    <w:t>，</w:t>
                  </w:r>
                  <w:r>
                    <w:rPr>
                      <w:rFonts w:hint="eastAsia" w:ascii="Times New Roman" w:hAnsi="Times New Roman" w:cs="Times New Roman"/>
                      <w:color w:val="auto"/>
                      <w:sz w:val="21"/>
                      <w:szCs w:val="21"/>
                      <w:lang w:val="en-US" w:eastAsia="zh-CN"/>
                    </w:rPr>
                    <w:t>项目施工期间产生的生活污水经收集后运至当地污水处理厂处理，不涉及农村污水分质资源化利用。</w:t>
                  </w:r>
                </w:p>
              </w:tc>
              <w:tc>
                <w:tcPr>
                  <w:tcW w:w="1409"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36"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restart"/>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单元级清单管控要求</w:t>
                  </w:r>
                  <w:r>
                    <w:rPr>
                      <w:rFonts w:hint="default" w:ascii="Times New Roman" w:hAnsi="Times New Roman" w:cs="Times New Roman"/>
                      <w:color w:val="auto"/>
                      <w:szCs w:val="21"/>
                      <w:lang w:eastAsia="zh-CN"/>
                    </w:rPr>
                    <w:t>（</w:t>
                  </w:r>
                  <w:r>
                    <w:rPr>
                      <w:rFonts w:hint="default" w:ascii="Times New Roman" w:hAnsi="Times New Roman" w:cs="Times New Roman"/>
                      <w:color w:val="auto"/>
                      <w:szCs w:val="21"/>
                      <w:lang w:val="en-US" w:eastAsia="zh-CN"/>
                    </w:rPr>
                    <w:t>宣汉县大气环境布局敏感重点管控区</w:t>
                  </w:r>
                  <w:r>
                    <w:rPr>
                      <w:rFonts w:hint="default" w:ascii="Times New Roman" w:hAnsi="Times New Roman" w:cs="Times New Roman"/>
                      <w:color w:val="auto"/>
                      <w:szCs w:val="21"/>
                      <w:lang w:eastAsia="zh-CN"/>
                    </w:rPr>
                    <w:t>）</w:t>
                  </w: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leftChars="0" w:right="0" w:rightChars="0"/>
                    <w:jc w:val="both"/>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2"/>
                      <w:sz w:val="21"/>
                      <w:szCs w:val="21"/>
                      <w:lang w:bidi="ar"/>
                    </w:rPr>
                    <w:t>空间布局约束</w:t>
                  </w:r>
                </w:p>
              </w:tc>
              <w:tc>
                <w:tcPr>
                  <w:tcW w:w="7349" w:type="dxa"/>
                  <w:tcBorders>
                    <w:tl2br w:val="nil"/>
                    <w:tr2bl w:val="nil"/>
                  </w:tcBorders>
                  <w:shd w:val="clear" w:color="auto" w:fill="auto"/>
                  <w:vAlign w:val="center"/>
                </w:tcPr>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default"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禁止开发建设活动的要求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1、坚决遏制高耗能、高排放、低水平项目盲目发展，严格落实国家和四川省产业规划、产业政策、规划环评，以及产能置换、煤炭消费减量替代、区域污染物削减等要求，坚决叫停不符合要求的高耗能、高排放、低水平项目2、严禁新增钢铁、焦化、炼油、电解铝、水泥、平板玻璃（不含光伏玻璃）等产能</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限制开发建设活动的要求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允许开发建设活动的要求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不符合空间布局要求活动的退出要求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其他空间布局约束要求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leftChars="0" w:right="0" w:rightChars="0"/>
                    <w:jc w:val="both"/>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本项目不属于左列项目</w:t>
                  </w:r>
                </w:p>
              </w:tc>
              <w:tc>
                <w:tcPr>
                  <w:tcW w:w="1409"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eastAsia" w:ascii="Times New Roman" w:hAnsi="Times New Roman" w:eastAsia="宋体" w:cs="Times New Roman"/>
                      <w:color w:val="auto"/>
                      <w:szCs w:val="21"/>
                      <w:lang w:val="en-US" w:eastAsia="zh-CN" w:bidi="ar"/>
                    </w:rPr>
                  </w:pPr>
                  <w:r>
                    <w:rPr>
                      <w:rFonts w:hint="eastAsia" w:cs="Times New Roman"/>
                      <w:color w:val="auto"/>
                      <w:szCs w:val="21"/>
                      <w:lang w:val="en-US" w:eastAsia="zh-CN"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36"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leftChars="0" w:right="0" w:rightChars="0"/>
                    <w:jc w:val="both"/>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2"/>
                      <w:sz w:val="21"/>
                      <w:szCs w:val="21"/>
                      <w:lang w:bidi="ar"/>
                    </w:rPr>
                    <w:t>污染物排放管控</w:t>
                  </w:r>
                </w:p>
              </w:tc>
              <w:tc>
                <w:tcPr>
                  <w:tcW w:w="7349" w:type="dxa"/>
                  <w:tcBorders>
                    <w:tl2br w:val="nil"/>
                    <w:tr2bl w:val="nil"/>
                  </w:tcBorders>
                  <w:shd w:val="clear" w:color="auto" w:fill="auto"/>
                  <w:vAlign w:val="center"/>
                </w:tcPr>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default"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大气环境质量执行标准</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《环境空气质量标准》（GB3095-2012）：二级</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区域大气污染物削减/替代要求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燃煤和其他能源大气污染控制要求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工业废气污染控制要求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机动车船大气污染控制要求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扬尘污染控制要求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农业生产经营活动大气污染控制要求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重点行业企业专项治理要求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其他大气污染物排放管控要求</w:t>
                  </w:r>
                </w:p>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eastAsia"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leftChars="0" w:right="0" w:rightChars="0"/>
                    <w:jc w:val="both"/>
                    <w:rPr>
                      <w:rFonts w:hint="default" w:ascii="Times New Roman" w:hAnsi="Times New Roman" w:cs="Times New Roman"/>
                      <w:color w:val="auto"/>
                      <w:sz w:val="21"/>
                      <w:szCs w:val="21"/>
                    </w:rPr>
                  </w:pPr>
                  <w:r>
                    <w:rPr>
                      <w:rFonts w:hint="default" w:ascii="Times New Roman" w:hAnsi="Times New Roman" w:cs="Times New Roman"/>
                      <w:color w:val="auto"/>
                      <w:sz w:val="21"/>
                      <w:szCs w:val="21"/>
                      <w:lang w:val="en-US" w:eastAsia="zh-CN"/>
                    </w:rPr>
                    <w:t>本项目钻井期间优先采用网电钻井，备用柴油发电机采用优质柴油，废气经自带排气筒排放，满足排放标准。</w:t>
                  </w:r>
                </w:p>
              </w:tc>
              <w:tc>
                <w:tcPr>
                  <w:tcW w:w="1409"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eastAsia" w:ascii="Times New Roman" w:hAnsi="Times New Roman" w:eastAsia="宋体" w:cs="Times New Roman"/>
                      <w:color w:val="auto"/>
                      <w:szCs w:val="21"/>
                      <w:lang w:val="en-US" w:eastAsia="zh-CN" w:bidi="ar"/>
                    </w:rPr>
                  </w:pPr>
                  <w:r>
                    <w:rPr>
                      <w:rFonts w:hint="eastAsia" w:cs="Times New Roman"/>
                      <w:color w:val="auto"/>
                      <w:szCs w:val="21"/>
                      <w:lang w:val="en-US" w:eastAsia="zh-CN"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36"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leftChars="0" w:right="0" w:rightChars="0"/>
                    <w:jc w:val="both"/>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2"/>
                      <w:sz w:val="21"/>
                      <w:szCs w:val="21"/>
                      <w:lang w:bidi="ar"/>
                    </w:rPr>
                    <w:t>环境风险防控</w:t>
                  </w:r>
                </w:p>
              </w:tc>
              <w:tc>
                <w:tcPr>
                  <w:tcW w:w="7349" w:type="dxa"/>
                  <w:tcBorders>
                    <w:tl2br w:val="nil"/>
                    <w:tr2bl w:val="nil"/>
                  </w:tcBorders>
                  <w:shd w:val="clear" w:color="auto" w:fill="auto"/>
                  <w:vAlign w:val="center"/>
                </w:tcPr>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default"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leftChars="0" w:right="0" w:rightChars="0"/>
                    <w:jc w:val="both"/>
                    <w:rPr>
                      <w:rFonts w:hint="eastAsia"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w:t>
                  </w:r>
                </w:p>
              </w:tc>
              <w:tc>
                <w:tcPr>
                  <w:tcW w:w="1409"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eastAsia" w:ascii="Times New Roman" w:hAnsi="Times New Roman" w:eastAsia="宋体" w:cs="Times New Roman"/>
                      <w:color w:val="auto"/>
                      <w:szCs w:val="21"/>
                      <w:lang w:val="en-US" w:eastAsia="zh-CN" w:bidi="ar"/>
                    </w:rPr>
                  </w:pPr>
                  <w:r>
                    <w:rPr>
                      <w:rFonts w:hint="eastAsia" w:cs="Times New Roman"/>
                      <w:color w:val="auto"/>
                      <w:szCs w:val="21"/>
                      <w:lang w:val="en-US" w:eastAsia="zh-CN" w:bidi="ar"/>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1036"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934"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p>
              </w:tc>
              <w:tc>
                <w:tcPr>
                  <w:tcW w:w="1072"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leftChars="0" w:right="0" w:rightChars="0"/>
                    <w:jc w:val="both"/>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2"/>
                      <w:sz w:val="21"/>
                      <w:szCs w:val="21"/>
                      <w:lang w:bidi="ar"/>
                    </w:rPr>
                    <w:t>资源开发利用效率</w:t>
                  </w:r>
                </w:p>
              </w:tc>
              <w:tc>
                <w:tcPr>
                  <w:tcW w:w="7349" w:type="dxa"/>
                  <w:tcBorders>
                    <w:tl2br w:val="nil"/>
                    <w:tr2bl w:val="nil"/>
                  </w:tcBorders>
                  <w:shd w:val="clear" w:color="auto" w:fill="auto"/>
                  <w:vAlign w:val="center"/>
                </w:tcPr>
                <w:p>
                  <w:pPr>
                    <w:pStyle w:val="373"/>
                    <w:keepNext w:val="0"/>
                    <w:keepLines w:val="0"/>
                    <w:widowControl/>
                    <w:suppressLineNumbers w:val="0"/>
                    <w:shd w:val="clear" w:color="auto" w:fill="FFFFFF"/>
                    <w:spacing w:before="0" w:beforeAutospacing="0" w:after="0" w:afterAutospacing="0" w:line="240" w:lineRule="auto"/>
                    <w:ind w:left="0" w:right="0" w:firstLine="0" w:firstLineChars="0"/>
                    <w:jc w:val="left"/>
                    <w:rPr>
                      <w:rStyle w:val="46"/>
                      <w:rFonts w:hint="default" w:ascii="宋体" w:hAnsi="宋体" w:eastAsia="宋体" w:cs="Times New Roman"/>
                      <w:color w:val="auto"/>
                      <w:kern w:val="2"/>
                      <w:sz w:val="21"/>
                      <w:szCs w:val="21"/>
                      <w:lang w:val="en-US" w:eastAsia="zh-CN" w:bidi="ar-SA"/>
                    </w:rPr>
                  </w:pPr>
                  <w:r>
                    <w:rPr>
                      <w:rStyle w:val="46"/>
                      <w:rFonts w:hint="eastAsia" w:ascii="宋体" w:hAnsi="宋体" w:eastAsia="宋体" w:cs="Times New Roman"/>
                      <w:color w:val="auto"/>
                      <w:kern w:val="2"/>
                      <w:sz w:val="21"/>
                      <w:szCs w:val="21"/>
                      <w:lang w:val="en-US" w:eastAsia="zh-CN" w:bidi="ar-SA"/>
                    </w:rPr>
                    <w:t>/</w:t>
                  </w:r>
                </w:p>
              </w:tc>
              <w:tc>
                <w:tcPr>
                  <w:tcW w:w="2139" w:type="dxa"/>
                  <w:tcBorders>
                    <w:tl2br w:val="nil"/>
                    <w:tr2bl w:val="nil"/>
                  </w:tcBorders>
                  <w:shd w:val="clear" w:color="auto" w:fill="auto"/>
                  <w:vAlign w:val="center"/>
                </w:tcPr>
                <w:p>
                  <w:pPr>
                    <w:pStyle w:val="38"/>
                    <w:keepNext w:val="0"/>
                    <w:keepLines w:val="0"/>
                    <w:widowControl w:val="0"/>
                    <w:suppressLineNumbers w:val="0"/>
                    <w:spacing w:before="0" w:beforeAutospacing="0" w:after="0" w:afterAutospacing="0"/>
                    <w:ind w:left="0" w:leftChars="0" w:right="0" w:rightChars="0"/>
                    <w:jc w:val="both"/>
                    <w:rPr>
                      <w:rFonts w:hint="eastAsia"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w:t>
                  </w:r>
                </w:p>
              </w:tc>
              <w:tc>
                <w:tcPr>
                  <w:tcW w:w="1409" w:type="dxa"/>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eastAsia" w:ascii="Times New Roman" w:hAnsi="Times New Roman" w:eastAsia="宋体" w:cs="Times New Roman"/>
                      <w:color w:val="auto"/>
                      <w:szCs w:val="21"/>
                      <w:lang w:val="en-US" w:eastAsia="zh-CN" w:bidi="ar"/>
                    </w:rPr>
                  </w:pPr>
                  <w:r>
                    <w:rPr>
                      <w:rFonts w:hint="eastAsia" w:cs="Times New Roman"/>
                      <w:color w:val="auto"/>
                      <w:szCs w:val="21"/>
                      <w:lang w:val="en-US" w:eastAsia="zh-CN" w:bidi="ar"/>
                    </w:rPr>
                    <w:t>/</w:t>
                  </w:r>
                </w:p>
              </w:tc>
            </w:tr>
          </w:tbl>
          <w:p>
            <w:pPr>
              <w:pStyle w:val="345"/>
              <w:keepNext w:val="0"/>
              <w:keepLines w:val="0"/>
              <w:suppressLineNumbers w:val="0"/>
              <w:spacing w:before="0" w:beforeAutospacing="0" w:after="0" w:afterAutospacing="0"/>
              <w:ind w:left="0" w:right="0" w:firstLine="420"/>
              <w:rPr>
                <w:rFonts w:hint="default" w:ascii="Times New Roman" w:hAnsi="Times New Roman" w:eastAsia="黑体" w:cs="Times New Roman"/>
                <w:snapToGrid w:val="0"/>
                <w:color w:val="auto"/>
                <w:sz w:val="21"/>
                <w:szCs w:val="21"/>
              </w:rPr>
            </w:pPr>
          </w:p>
          <w:p>
            <w:pPr>
              <w:pStyle w:val="345"/>
              <w:keepNext w:val="0"/>
              <w:keepLines w:val="0"/>
              <w:suppressLineNumbers w:val="0"/>
              <w:spacing w:before="0" w:beforeAutospacing="0" w:after="0" w:afterAutospacing="0"/>
              <w:ind w:left="0" w:right="0" w:firstLine="420"/>
              <w:rPr>
                <w:rFonts w:hint="default" w:ascii="Times New Roman" w:hAnsi="Times New Roman" w:eastAsia="黑体" w:cs="Times New Roman"/>
                <w:snapToGrid w:val="0"/>
                <w:color w:val="auto"/>
                <w:sz w:val="21"/>
                <w:szCs w:val="21"/>
              </w:rPr>
            </w:pPr>
            <w:r>
              <w:rPr>
                <w:rFonts w:hint="default" w:ascii="Times New Roman" w:hAnsi="Times New Roman" w:cs="Times New Roman"/>
                <w:color w:val="auto"/>
                <w:sz w:val="21"/>
                <w:szCs w:val="21"/>
              </w:rPr>
              <w:t>综上，项目符合达州市“三线一单”管控要求。</w:t>
            </w:r>
          </w:p>
        </w:tc>
      </w:tr>
    </w:tbl>
    <w:p>
      <w:pPr>
        <w:pStyle w:val="38"/>
        <w:jc w:val="center"/>
        <w:outlineLvl w:val="0"/>
        <w:rPr>
          <w:rFonts w:hint="default" w:ascii="Times New Roman" w:hAnsi="Times New Roman" w:eastAsia="黑体" w:cs="Times New Roman"/>
          <w:snapToGrid w:val="0"/>
          <w:color w:val="auto"/>
          <w:sz w:val="21"/>
          <w:szCs w:val="21"/>
        </w:rPr>
        <w:sectPr>
          <w:pgSz w:w="16838" w:h="11906" w:orient="landscape"/>
          <w:pgMar w:top="1417" w:right="1417" w:bottom="1417" w:left="1417" w:header="851" w:footer="1077" w:gutter="0"/>
          <w:pgBorders>
            <w:top w:val="none" w:sz="0" w:space="0"/>
            <w:left w:val="none" w:sz="0" w:space="0"/>
            <w:bottom w:val="none" w:sz="0" w:space="0"/>
            <w:right w:val="none" w:sz="0" w:space="0"/>
          </w:pgBorders>
          <w:cols w:space="720" w:num="1"/>
          <w:docGrid w:linePitch="312" w:charSpace="0"/>
        </w:sectPr>
      </w:pPr>
    </w:p>
    <w:tbl>
      <w:tblPr>
        <w:tblStyle w:val="4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6"/>
        <w:gridCol w:w="78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6" w:type="dxa"/>
            <w:vAlign w:val="center"/>
          </w:tcPr>
          <w:p>
            <w:pPr>
              <w:pStyle w:val="38"/>
              <w:keepNext w:val="0"/>
              <w:keepLines w:val="0"/>
              <w:suppressLineNumbers w:val="0"/>
              <w:ind w:left="0" w:right="0"/>
              <w:jc w:val="center"/>
              <w:outlineLvl w:val="0"/>
              <w:rPr>
                <w:rFonts w:hint="default" w:ascii="Times New Roman" w:hAnsi="Times New Roman" w:eastAsia="黑体" w:cs="Times New Roman"/>
                <w:snapToGrid w:val="0"/>
                <w:color w:val="auto"/>
                <w:sz w:val="21"/>
                <w:szCs w:val="21"/>
              </w:rPr>
            </w:pPr>
            <w:r>
              <w:rPr>
                <w:rFonts w:hint="default" w:ascii="Times New Roman" w:hAnsi="Times New Roman" w:eastAsia="黑体" w:cs="Times New Roman"/>
                <w:snapToGrid w:val="0"/>
                <w:color w:val="auto"/>
                <w:sz w:val="21"/>
                <w:szCs w:val="21"/>
              </w:rPr>
              <w:t>其他符合性分析</w:t>
            </w:r>
          </w:p>
        </w:tc>
        <w:tc>
          <w:tcPr>
            <w:tcW w:w="7812" w:type="dxa"/>
          </w:tcPr>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lang w:bidi="ar"/>
              </w:rPr>
            </w:pPr>
            <w:r>
              <w:rPr>
                <w:rFonts w:hint="default" w:ascii="Times New Roman" w:hAnsi="Times New Roman" w:cs="Times New Roman"/>
                <w:b/>
                <w:color w:val="auto"/>
                <w:lang w:bidi="ar"/>
              </w:rPr>
              <w:t>与产业政策符合性分析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项目属于陆地矿产资源地质勘查（油气资源勘探），根据《产业结构调整指导目录（2024年本）》的有关规定，项目属于第一类“鼓励类”第七条“石油类、天然气”第一款“常规石油、天然气勘探与开采，页岩气、页岩油、致密油（气）、油砂、天然气水合物等非常规资源勘探开发”，因此，符合国家有关产业政策。</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lang w:bidi="ar"/>
              </w:rPr>
            </w:pPr>
            <w:r>
              <w:rPr>
                <w:rFonts w:hint="default" w:ascii="Times New Roman" w:hAnsi="Times New Roman" w:cs="Times New Roman"/>
                <w:b/>
                <w:color w:val="auto"/>
                <w:lang w:bidi="ar"/>
              </w:rPr>
              <w:t>与《四川省“十四五”能源发展规划》符合性分析</w:t>
            </w:r>
          </w:p>
          <w:p>
            <w:pPr>
              <w:keepNext w:val="0"/>
              <w:keepLines w:val="0"/>
              <w:suppressLineNumbers w:val="0"/>
              <w:autoSpaceDE w:val="0"/>
              <w:autoSpaceDN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根据《四川省“十四五”能源发展规划》中“第五章加快天然气勘探开发利用中第一节，建设千亿立方米级产能基地”中“大力推进天然气（页岩气）勘探开发，实施国家天然气（页岩气）千亿立方米级产能基地建设行动方案，建成全国最大的现代化天然气（页岩气）生产基地。加大德阳—安岳古裂陷周缘、川中下古生界—震旦系、下二叠统、川西雷口坡组、川南五峰组—龙马溪组层系勘探力度。加快川中下古生界—震旦系气藏、川西和川中致密气藏、川东北高含硫气田、川西致密气田以及长宁、威远、泸州等区块产能建设，稳定主产区产量，开发接续区块。到2025年，天然气（页岩气）年产量达到630亿立方米。”</w:t>
            </w:r>
          </w:p>
          <w:p>
            <w:pPr>
              <w:keepNext w:val="0"/>
              <w:keepLines w:val="0"/>
              <w:suppressLineNumbers w:val="0"/>
              <w:autoSpaceDE w:val="0"/>
              <w:autoSpaceDN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本项目属于</w:t>
            </w:r>
            <w:r>
              <w:rPr>
                <w:rFonts w:hint="default" w:ascii="Times New Roman" w:hAnsi="Times New Roman" w:cs="Times New Roman"/>
                <w:b/>
                <w:bCs/>
                <w:color w:val="auto"/>
                <w:kern w:val="0"/>
                <w:sz w:val="24"/>
              </w:rPr>
              <w:t>陆地矿产资源地质勘查（含油气资源勘探），属</w:t>
            </w:r>
            <w:r>
              <w:rPr>
                <w:rFonts w:hint="eastAsia" w:cs="Times New Roman"/>
                <w:b/>
                <w:bCs/>
                <w:color w:val="auto"/>
                <w:kern w:val="0"/>
                <w:sz w:val="24"/>
                <w:lang w:eastAsia="zh-CN"/>
              </w:rPr>
              <w:t>于四川</w:t>
            </w:r>
            <w:r>
              <w:rPr>
                <w:rFonts w:hint="default" w:ascii="Times New Roman" w:hAnsi="Times New Roman" w:cs="Times New Roman"/>
                <w:b/>
                <w:bCs/>
                <w:color w:val="auto"/>
                <w:kern w:val="0"/>
                <w:sz w:val="24"/>
              </w:rPr>
              <w:t>东北区域</w:t>
            </w:r>
            <w:r>
              <w:rPr>
                <w:rFonts w:hint="default" w:ascii="Times New Roman" w:hAnsi="Times New Roman" w:cs="Times New Roman"/>
                <w:color w:val="auto"/>
                <w:kern w:val="0"/>
                <w:sz w:val="24"/>
              </w:rPr>
              <w:t>，项目建成后有利于加快川东北天然气建设。因此，本项目符合《四川省“十四五”能源发展规划》。</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lang w:bidi="ar"/>
              </w:rPr>
            </w:pPr>
            <w:r>
              <w:rPr>
                <w:rFonts w:hint="default" w:ascii="Times New Roman" w:hAnsi="Times New Roman" w:cs="Times New Roman"/>
                <w:b/>
                <w:color w:val="auto"/>
                <w:lang w:bidi="ar"/>
              </w:rPr>
              <w:t>与城乡规划的符合性分析</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本工程位</w:t>
            </w:r>
            <w:r>
              <w:rPr>
                <w:rFonts w:hint="eastAsia" w:cs="Times New Roman"/>
                <w:color w:val="auto"/>
                <w:sz w:val="24"/>
                <w:szCs w:val="24"/>
                <w:lang w:eastAsia="zh-CN"/>
              </w:rPr>
              <w:t>于四川省达州市宣汉县普光镇双河社区石垭村</w:t>
            </w:r>
            <w:r>
              <w:rPr>
                <w:rFonts w:hint="default" w:ascii="Times New Roman" w:hAnsi="Times New Roman" w:cs="Times New Roman"/>
                <w:color w:val="auto"/>
                <w:sz w:val="24"/>
                <w:szCs w:val="24"/>
              </w:rPr>
              <w:t>，项目区域属于农村地区，本项目新增占地面积</w:t>
            </w:r>
            <w:r>
              <w:rPr>
                <w:rFonts w:hint="eastAsia" w:cs="Times New Roman"/>
                <w:color w:val="auto"/>
                <w:sz w:val="24"/>
                <w:szCs w:val="24"/>
                <w:lang w:eastAsia="zh-CN"/>
              </w:rPr>
              <w:t>22420</w:t>
            </w:r>
            <w:r>
              <w:rPr>
                <w:rFonts w:hint="default" w:ascii="Times New Roman" w:hAnsi="Times New Roman" w:cs="Times New Roman"/>
                <w:color w:val="auto"/>
                <w:sz w:val="24"/>
                <w:szCs w:val="24"/>
              </w:rPr>
              <w:t>m</w:t>
            </w:r>
            <w:r>
              <w:rPr>
                <w:rFonts w:hint="default" w:ascii="Times New Roman" w:hAnsi="Times New Roman" w:cs="Times New Roman"/>
                <w:color w:val="auto"/>
                <w:sz w:val="24"/>
                <w:szCs w:val="24"/>
                <w:vertAlign w:val="superscript"/>
              </w:rPr>
              <w:t>2</w:t>
            </w:r>
            <w:r>
              <w:rPr>
                <w:rFonts w:hint="default" w:ascii="Times New Roman" w:hAnsi="Times New Roman" w:cs="Times New Roman"/>
                <w:color w:val="auto"/>
                <w:sz w:val="24"/>
                <w:szCs w:val="24"/>
              </w:rPr>
              <w:t>，根据与宣汉县三区三线复核结果，项目选址不在宣汉县</w:t>
            </w:r>
            <w:r>
              <w:rPr>
                <w:rFonts w:hint="eastAsia" w:cs="Times New Roman"/>
                <w:color w:val="auto"/>
                <w:sz w:val="24"/>
                <w:szCs w:val="24"/>
                <w:lang w:eastAsia="zh-CN"/>
              </w:rPr>
              <w:t>普光镇</w:t>
            </w:r>
            <w:r>
              <w:rPr>
                <w:rFonts w:hint="default" w:ascii="Times New Roman" w:hAnsi="Times New Roman" w:cs="Times New Roman"/>
                <w:color w:val="auto"/>
                <w:sz w:val="24"/>
                <w:szCs w:val="24"/>
              </w:rPr>
              <w:t>场镇规划建设用地范围内，本项目将按照相关规定办理相关用地手续</w:t>
            </w:r>
            <w:r>
              <w:rPr>
                <w:rFonts w:hint="default" w:ascii="Times New Roman" w:hAnsi="Times New Roman" w:cs="Times New Roman"/>
                <w:color w:val="auto"/>
              </w:rPr>
              <w:t>，</w:t>
            </w:r>
            <w:r>
              <w:rPr>
                <w:rFonts w:hint="default" w:ascii="Times New Roman" w:hAnsi="Times New Roman" w:cs="Times New Roman"/>
                <w:color w:val="auto"/>
                <w:sz w:val="24"/>
                <w:szCs w:val="24"/>
              </w:rPr>
              <w:t>项目实施不影响城乡建设。</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lang w:bidi="ar"/>
              </w:rPr>
            </w:pPr>
            <w:r>
              <w:rPr>
                <w:rFonts w:hint="default" w:ascii="Times New Roman" w:hAnsi="Times New Roman" w:cs="Times New Roman"/>
                <w:b/>
                <w:color w:val="auto"/>
                <w:lang w:bidi="ar"/>
              </w:rPr>
              <w:t>与《石油天然气开采业污染防治技术政策》的符合性</w:t>
            </w: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b/>
                <w:color w:val="auto"/>
                <w:sz w:val="24"/>
              </w:rPr>
            </w:pPr>
            <w:r>
              <w:rPr>
                <w:rFonts w:hint="default" w:ascii="Times New Roman" w:hAnsi="Times New Roman" w:cs="Times New Roman"/>
                <w:b/>
                <w:color w:val="auto"/>
                <w:sz w:val="24"/>
              </w:rPr>
              <w:t>表1-4 与《石油天然气开采业污染防治技术政策》对比分析表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641"/>
              <w:gridCol w:w="3427"/>
              <w:gridCol w:w="2813"/>
              <w:gridCol w:w="68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12"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rPr>
                    <w:t>序号</w:t>
                  </w:r>
                </w:p>
              </w:tc>
              <w:tc>
                <w:tcPr>
                  <w:tcW w:w="3342" w:type="dxa"/>
                  <w:tcBorders>
                    <w:top w:val="single" w:color="auto" w:sz="12"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rPr>
                    <w:t>技术政策要求</w:t>
                  </w:r>
                </w:p>
              </w:tc>
              <w:tc>
                <w:tcPr>
                  <w:tcW w:w="2743" w:type="dxa"/>
                  <w:tcBorders>
                    <w:top w:val="single" w:color="auto" w:sz="12"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rPr>
                    <w:t>本工程内容</w:t>
                  </w:r>
                </w:p>
              </w:tc>
              <w:tc>
                <w:tcPr>
                  <w:tcW w:w="668" w:type="dxa"/>
                  <w:tcBorders>
                    <w:top w:val="single" w:color="auto" w:sz="12"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b/>
                      <w:color w:val="auto"/>
                      <w:szCs w:val="21"/>
                    </w:rPr>
                    <w:t>一</w:t>
                  </w:r>
                </w:p>
              </w:tc>
              <w:tc>
                <w:tcPr>
                  <w:tcW w:w="6753" w:type="dxa"/>
                  <w:gridSpan w:val="3"/>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b/>
                      <w:color w:val="auto"/>
                      <w:szCs w:val="21"/>
                    </w:rPr>
                    <w:t>清洁生产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lang w:bidi="ar"/>
                    </w:rPr>
                    <w:t>1</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油气田建设应总体规划，优化布局，整体开发，减少占地和油气损失，实现油气和废物的集中收集、处理处置。</w:t>
                  </w:r>
                </w:p>
              </w:tc>
              <w:tc>
                <w:tcPr>
                  <w:tcW w:w="2743"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本项目属于陆地矿产资源地质勘查（含油气资源勘探），占地较少，废水、固废收集后集中交由有资质且具有处置能力的单位处置。</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2</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油气田开发不得使用含有国际公约禁用化学物质的油气田化学剂，逐步淘汰微毒及以上油气田化学剂，鼓励使用无毒油气田化学剂。</w:t>
                  </w:r>
                </w:p>
              </w:tc>
              <w:tc>
                <w:tcPr>
                  <w:tcW w:w="2743"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本项目无国际公约禁用化学物质，主要使用化学物质为防塌润滑剂、重晶石粉等，钻井液不属于聚磺体系，符合要求。</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lang w:bidi="ar"/>
                    </w:rPr>
                    <w:t>3</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在油气勘探过程中，宜使用环保型炸药和可控震源，应采取防渗等措施预防燃料泄漏对环境的污染。</w:t>
                  </w:r>
                </w:p>
              </w:tc>
              <w:tc>
                <w:tcPr>
                  <w:tcW w:w="2743"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本项目无需炸药，油罐区设置地面硬化防渗、围堰，井场场内建设排水沟及2座环境监测池，可预防柴油泄漏。</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4</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在钻井过程中，鼓励采用环境友好的钻井液体系；配备完善的固控设备，钻井液循环率达到95%以上；钻井过程产生的废水应回用。</w:t>
                  </w:r>
                </w:p>
              </w:tc>
              <w:tc>
                <w:tcPr>
                  <w:tcW w:w="2743"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本项目采用</w:t>
                  </w:r>
                  <w:r>
                    <w:rPr>
                      <w:rFonts w:hint="eastAsia" w:cs="Times New Roman"/>
                      <w:color w:val="auto"/>
                      <w:szCs w:val="21"/>
                      <w:lang w:val="en-US" w:eastAsia="zh-CN"/>
                    </w:rPr>
                    <w:t>一开</w:t>
                  </w:r>
                  <w:r>
                    <w:rPr>
                      <w:rFonts w:hint="default" w:ascii="Times New Roman" w:hAnsi="Times New Roman" w:cs="Times New Roman"/>
                      <w:color w:val="auto"/>
                      <w:szCs w:val="21"/>
                      <w:lang w:val="en-US" w:eastAsia="zh-CN"/>
                    </w:rPr>
                    <w:t>段采用</w:t>
                  </w:r>
                  <w:r>
                    <w:rPr>
                      <w:rFonts w:hint="default" w:ascii="Times New Roman" w:hAnsi="Times New Roman" w:cs="Times New Roman"/>
                      <w:color w:val="auto"/>
                      <w:szCs w:val="21"/>
                    </w:rPr>
                    <w:t>清水</w:t>
                  </w:r>
                  <w:r>
                    <w:rPr>
                      <w:rFonts w:hint="default" w:ascii="Times New Roman" w:hAnsi="Times New Roman" w:cs="Times New Roman"/>
                      <w:color w:val="auto"/>
                      <w:szCs w:val="21"/>
                      <w:lang w:val="en-US" w:eastAsia="zh-CN"/>
                    </w:rPr>
                    <w:t>井，二开段优先采用</w:t>
                  </w:r>
                  <w:r>
                    <w:rPr>
                      <w:rFonts w:hint="default" w:ascii="Times New Roman" w:hAnsi="Times New Roman" w:cs="Times New Roman"/>
                      <w:color w:val="auto"/>
                      <w:szCs w:val="21"/>
                    </w:rPr>
                    <w:t>气体钻</w:t>
                  </w:r>
                  <w:r>
                    <w:rPr>
                      <w:rFonts w:hint="default" w:ascii="Times New Roman" w:hAnsi="Times New Roman" w:cs="Times New Roman"/>
                      <w:color w:val="auto"/>
                      <w:szCs w:val="21"/>
                      <w:lang w:val="en-US" w:eastAsia="zh-CN"/>
                    </w:rPr>
                    <w:t>井，当不满足钻井要求时更换为</w:t>
                  </w:r>
                  <w:r>
                    <w:rPr>
                      <w:rFonts w:hint="default" w:ascii="Times New Roman" w:hAnsi="Times New Roman" w:cs="Times New Roman"/>
                      <w:color w:val="auto"/>
                      <w:szCs w:val="21"/>
                    </w:rPr>
                    <w:t>水基钻井</w:t>
                  </w:r>
                  <w:r>
                    <w:rPr>
                      <w:rFonts w:hint="default" w:ascii="Times New Roman" w:hAnsi="Times New Roman" w:cs="Times New Roman"/>
                      <w:color w:val="auto"/>
                      <w:szCs w:val="21"/>
                      <w:lang w:val="en-US" w:eastAsia="zh-CN"/>
                    </w:rPr>
                    <w:t>液</w:t>
                  </w:r>
                  <w:r>
                    <w:rPr>
                      <w:rFonts w:hint="default" w:ascii="Times New Roman" w:hAnsi="Times New Roman" w:cs="Times New Roman"/>
                      <w:color w:val="auto"/>
                      <w:szCs w:val="21"/>
                    </w:rPr>
                    <w:t>钻井，</w:t>
                  </w:r>
                  <w:r>
                    <w:rPr>
                      <w:rFonts w:hint="default" w:ascii="Times New Roman" w:hAnsi="Times New Roman" w:cs="Times New Roman"/>
                      <w:color w:val="auto"/>
                      <w:szCs w:val="21"/>
                      <w:lang w:val="en-US" w:eastAsia="zh-CN"/>
                    </w:rPr>
                    <w:t>三开采用水基钻井液钻井，</w:t>
                  </w:r>
                  <w:r>
                    <w:rPr>
                      <w:rFonts w:hint="default" w:ascii="Times New Roman" w:hAnsi="Times New Roman" w:cs="Times New Roman"/>
                      <w:color w:val="auto"/>
                      <w:szCs w:val="21"/>
                    </w:rPr>
                    <w:t>钻井过程中钻井液循环使用，钻井废水处理回用，符合要求。</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lang w:bidi="ar"/>
                    </w:rPr>
                    <w:t>5</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在井下作业过程中，酸化液和压裂液宜集中配制，酸化残液、压裂残液和返排液应回收利用或进行无害化处置，压裂放喷返排入罐率应达到100%。酸化、压裂作业和试油（气）过程应采取防喷、地面管线防刺、防漏、防溢等措施。</w:t>
                  </w:r>
                </w:p>
              </w:tc>
              <w:tc>
                <w:tcPr>
                  <w:tcW w:w="2743"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本项目压裂液运输到现场集中配置，现场采取了防漏、防溢措施，全部外运处理。</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二</w:t>
                  </w:r>
                </w:p>
              </w:tc>
              <w:tc>
                <w:tcPr>
                  <w:tcW w:w="6753" w:type="dxa"/>
                  <w:gridSpan w:val="3"/>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生态保护</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1</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在开发过程中，伴生气应回收利用，减少温室气体排放，不具备回收利用条件的，应充分燃烧，伴生气回收利用率应达到80%以上；站场放空天然气应充分燃烧。燃烧放空设施应避开鸟类迁徙通道</w:t>
                  </w:r>
                </w:p>
              </w:tc>
              <w:tc>
                <w:tcPr>
                  <w:tcW w:w="2743"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本项目不涉及伴生气回收</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三</w:t>
                  </w:r>
                </w:p>
              </w:tc>
              <w:tc>
                <w:tcPr>
                  <w:tcW w:w="6753" w:type="dxa"/>
                  <w:gridSpan w:val="3"/>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污染治理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1</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color w:val="auto"/>
                      <w:szCs w:val="21"/>
                      <w:lang w:bidi="ar"/>
                    </w:rPr>
                    <w:t>在钻井和井下作业过程中，鼓励污油、污水进入生产流程循环利用，未进入生产流程的污油、污水应采用固液分离、废水处理一体化装置等处理后达标外排。在油气开发过程中，未回注的油气田采出水宜采用混凝气浮和生化处理相结合的方式。</w:t>
                  </w:r>
                </w:p>
              </w:tc>
              <w:tc>
                <w:tcPr>
                  <w:tcW w:w="2743" w:type="dxa"/>
                  <w:tcBorders>
                    <w:top w:val="single" w:color="auto" w:sz="4" w:space="0"/>
                    <w:left w:val="single" w:color="auto" w:sz="4" w:space="0"/>
                    <w:bottom w:val="single" w:color="auto" w:sz="4" w:space="0"/>
                    <w:right w:val="single" w:color="auto" w:sz="4" w:space="0"/>
                    <w:tl2br w:val="nil"/>
                    <w:tr2bl w:val="nil"/>
                  </w:tcBorders>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color w:val="auto"/>
                      <w:szCs w:val="21"/>
                    </w:rPr>
                    <w:t>本项目洗井废水回用于压裂液配置</w:t>
                  </w:r>
                  <w:r>
                    <w:rPr>
                      <w:rFonts w:hint="default" w:ascii="Times New Roman" w:hAnsi="Times New Roman" w:cs="Times New Roman"/>
                      <w:color w:val="auto"/>
                      <w:szCs w:val="21"/>
                      <w:lang w:eastAsia="zh-CN"/>
                    </w:rPr>
                    <w:t>，</w:t>
                  </w:r>
                  <w:r>
                    <w:rPr>
                      <w:rFonts w:hint="default" w:ascii="Times New Roman" w:hAnsi="Times New Roman" w:cs="Times New Roman"/>
                      <w:color w:val="auto"/>
                      <w:szCs w:val="21"/>
                      <w:lang w:val="en-US" w:eastAsia="zh-CN"/>
                    </w:rPr>
                    <w:t>不能回用时密闭罐车定期拉运至</w:t>
                  </w:r>
                  <w:r>
                    <w:rPr>
                      <w:rFonts w:hint="eastAsia" w:cs="Times New Roman"/>
                      <w:color w:val="auto"/>
                      <w:szCs w:val="21"/>
                      <w:lang w:val="en-US" w:eastAsia="zh-CN"/>
                    </w:rPr>
                    <w:t>赵家坝污水处理站</w:t>
                  </w:r>
                  <w:r>
                    <w:rPr>
                      <w:rFonts w:hint="default" w:ascii="Times New Roman" w:hAnsi="Times New Roman" w:cs="Times New Roman"/>
                      <w:color w:val="auto"/>
                      <w:szCs w:val="21"/>
                      <w:lang w:val="en-US" w:eastAsia="zh-CN"/>
                    </w:rPr>
                    <w:t>处理达标后</w:t>
                  </w:r>
                  <w:r>
                    <w:rPr>
                      <w:rFonts w:hint="eastAsia" w:cs="Times New Roman"/>
                      <w:color w:val="auto"/>
                      <w:szCs w:val="21"/>
                      <w:lang w:val="en-US" w:eastAsia="zh-CN"/>
                    </w:rPr>
                    <w:t>由罐车拉运至普光3井等</w:t>
                  </w:r>
                  <w:r>
                    <w:rPr>
                      <w:rFonts w:hint="default" w:ascii="Times New Roman" w:hAnsi="Times New Roman" w:cs="Times New Roman"/>
                      <w:color w:val="auto"/>
                      <w:szCs w:val="21"/>
                      <w:lang w:val="en-US" w:eastAsia="zh-CN"/>
                    </w:rPr>
                    <w:t>回注站回注。</w:t>
                  </w:r>
                  <w:r>
                    <w:rPr>
                      <w:rFonts w:hint="default" w:ascii="Times New Roman" w:hAnsi="Times New Roman" w:cs="Times New Roman"/>
                      <w:color w:val="auto"/>
                      <w:szCs w:val="21"/>
                    </w:rPr>
                    <w:t>压裂返排液用密闭罐车定期拉运至</w:t>
                  </w:r>
                  <w:r>
                    <w:rPr>
                      <w:rFonts w:hint="eastAsia" w:cs="Times New Roman"/>
                      <w:color w:val="auto"/>
                      <w:szCs w:val="21"/>
                      <w:lang w:eastAsia="zh-CN"/>
                    </w:rPr>
                    <w:t>赵家坝污水处理站</w:t>
                  </w:r>
                  <w:r>
                    <w:rPr>
                      <w:rFonts w:hint="default" w:ascii="Times New Roman" w:hAnsi="Times New Roman" w:cs="Times New Roman"/>
                      <w:color w:val="auto"/>
                      <w:szCs w:val="21"/>
                    </w:rPr>
                    <w:t>处理达标后</w:t>
                  </w:r>
                  <w:r>
                    <w:rPr>
                      <w:rFonts w:hint="eastAsia" w:cs="Times New Roman"/>
                      <w:color w:val="auto"/>
                      <w:szCs w:val="21"/>
                      <w:lang w:eastAsia="zh-CN"/>
                    </w:rPr>
                    <w:t>由罐车拉运至普光3井等</w:t>
                  </w:r>
                  <w:r>
                    <w:rPr>
                      <w:rFonts w:hint="default" w:ascii="Times New Roman" w:hAnsi="Times New Roman" w:cs="Times New Roman"/>
                      <w:color w:val="auto"/>
                      <w:szCs w:val="21"/>
                    </w:rPr>
                    <w:t>回注站回注。</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2</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lang w:bidi="ar"/>
                    </w:rPr>
                    <w:t>固体废物收集、贮存、处理处置设施应按照标准要求采取防渗措施。试油（气）后应立即封闭废弃钻井液贮池。</w:t>
                  </w:r>
                </w:p>
              </w:tc>
              <w:tc>
                <w:tcPr>
                  <w:tcW w:w="2743" w:type="dxa"/>
                  <w:tcBorders>
                    <w:top w:val="single" w:color="auto" w:sz="4" w:space="0"/>
                    <w:left w:val="single" w:color="auto" w:sz="4" w:space="0"/>
                    <w:bottom w:val="single" w:color="auto" w:sz="4" w:space="0"/>
                    <w:right w:val="single" w:color="auto" w:sz="4" w:space="0"/>
                    <w:tl2br w:val="nil"/>
                    <w:tr2bl w:val="nil"/>
                  </w:tcBorders>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钻井过程中按相关要求进行固废收集、贮存和处理。完井后对泥浆不落地平台清理后封闭。</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3</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color w:val="auto"/>
                      <w:szCs w:val="21"/>
                      <w:lang w:bidi="ar"/>
                    </w:rPr>
                    <w:t>应回收落地原油，以及原油处理、废水处理产生的油泥（砂）等中的油类物质，含油污泥资源化利用率应达到90%以上，残余固体废物应按照《国家危险废物名录》和危险废物鉴别标准识别，根据识别结果资源化利用或无害化处置。</w:t>
                  </w:r>
                </w:p>
              </w:tc>
              <w:tc>
                <w:tcPr>
                  <w:tcW w:w="2743" w:type="dxa"/>
                  <w:tcBorders>
                    <w:top w:val="single" w:color="auto" w:sz="4" w:space="0"/>
                    <w:left w:val="single" w:color="auto" w:sz="4" w:space="0"/>
                    <w:bottom w:val="single" w:color="auto" w:sz="4" w:space="0"/>
                    <w:right w:val="single" w:color="auto" w:sz="4" w:space="0"/>
                    <w:tl2br w:val="nil"/>
                    <w:tr2bl w:val="nil"/>
                  </w:tcBorders>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color w:val="auto"/>
                      <w:szCs w:val="21"/>
                    </w:rPr>
                    <w:t>本工程在井口及易产生油污的生产设施底部进行防渗处理，收集可能产生的废润滑油，完钻后统一收集交有资质单位处置。</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4</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color w:val="auto"/>
                      <w:szCs w:val="21"/>
                      <w:lang w:bidi="ar"/>
                    </w:rPr>
                    <w:t>对受到油污染的土壤宜采取生物或物化方法进行修复。</w:t>
                  </w:r>
                </w:p>
              </w:tc>
              <w:tc>
                <w:tcPr>
                  <w:tcW w:w="2743"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color w:val="auto"/>
                      <w:szCs w:val="21"/>
                      <w:lang w:bidi="ar"/>
                    </w:rPr>
                    <w:t>废润滑油很少，通过采取防渗措施，总体不会造成土壤的油污染。</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四</w:t>
                  </w:r>
                </w:p>
              </w:tc>
              <w:tc>
                <w:tcPr>
                  <w:tcW w:w="6753" w:type="dxa"/>
                  <w:gridSpan w:val="3"/>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b/>
                      <w:color w:val="auto"/>
                      <w:szCs w:val="21"/>
                      <w:lang w:bidi="ar"/>
                    </w:rPr>
                    <w:t>运行风险和环境管理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rPr>
                    <w:t>1</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油气田企业应制定环境保护管理规定，建立并运行健康、安全与环境管理体系。</w:t>
                  </w:r>
                </w:p>
              </w:tc>
              <w:tc>
                <w:tcPr>
                  <w:tcW w:w="2743"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建设单位制定有完善的环境保护管理规定，并建立运行健康、安全与环境管理体系。</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2</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加强油气田建设、开发过程的环境监督管理。</w:t>
                  </w:r>
                </w:p>
              </w:tc>
              <w:tc>
                <w:tcPr>
                  <w:tcW w:w="2743"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建设单位制定有完善的环境监督管理</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3</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在开发过程中，企业应加强油气井套管的检测和维护，防止油气泄漏污染地下水。</w:t>
                  </w:r>
                </w:p>
              </w:tc>
              <w:tc>
                <w:tcPr>
                  <w:tcW w:w="2743"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建设单位制定有完善的套管监测维护计划和制度，防止天然气泄漏污染地下水。</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4</w:t>
                  </w:r>
                </w:p>
              </w:tc>
              <w:tc>
                <w:tcPr>
                  <w:tcW w:w="3342"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油气田企业应建立环境保护人员培训制度，环境监测人员、统计人员、污染治理设施操作人员应经培训合格后上岗。</w:t>
                  </w:r>
                </w:p>
              </w:tc>
              <w:tc>
                <w:tcPr>
                  <w:tcW w:w="2743" w:type="dxa"/>
                  <w:tcBorders>
                    <w:top w:val="single" w:color="auto" w:sz="4" w:space="0"/>
                    <w:left w:val="single" w:color="auto" w:sz="4" w:space="0"/>
                    <w:bottom w:val="single" w:color="auto" w:sz="4"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建设单位设置有专门的环境管理部门，并制定有完善的环境管理制度和培训制度。</w:t>
                  </w:r>
                </w:p>
              </w:tc>
              <w:tc>
                <w:tcPr>
                  <w:tcW w:w="668" w:type="dxa"/>
                  <w:tcBorders>
                    <w:top w:val="single" w:color="auto" w:sz="4" w:space="0"/>
                    <w:left w:val="single" w:color="auto" w:sz="4" w:space="0"/>
                    <w:bottom w:val="single" w:color="auto" w:sz="4"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625" w:type="dxa"/>
                  <w:tcBorders>
                    <w:top w:val="single" w:color="auto" w:sz="4" w:space="0"/>
                    <w:left w:val="single" w:color="auto" w:sz="12" w:space="0"/>
                    <w:bottom w:val="single" w:color="auto" w:sz="12"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5</w:t>
                  </w:r>
                </w:p>
              </w:tc>
              <w:tc>
                <w:tcPr>
                  <w:tcW w:w="3342" w:type="dxa"/>
                  <w:tcBorders>
                    <w:top w:val="single" w:color="auto" w:sz="4" w:space="0"/>
                    <w:left w:val="single" w:color="auto" w:sz="4" w:space="0"/>
                    <w:bottom w:val="single" w:color="auto" w:sz="12"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油气田企业应对开发过程进行环境风险因素识别，制定突发环境事件应急预案并定期进行演练。应开展特征污染物监测工作，采取环境风险防范和应急措施，防止发生由突发性油气泄漏产生的环境事故。</w:t>
                  </w:r>
                </w:p>
              </w:tc>
              <w:tc>
                <w:tcPr>
                  <w:tcW w:w="2743" w:type="dxa"/>
                  <w:tcBorders>
                    <w:top w:val="single" w:color="auto" w:sz="4" w:space="0"/>
                    <w:left w:val="single" w:color="auto" w:sz="4" w:space="0"/>
                    <w:bottom w:val="single" w:color="auto" w:sz="12" w:space="0"/>
                    <w:right w:val="single" w:color="auto" w:sz="4"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建设单位设置有突发环境事件应急预案，并定期举行演练。在井场周边设置有事故监测点，实时监测危险因子。</w:t>
                  </w:r>
                </w:p>
              </w:tc>
              <w:tc>
                <w:tcPr>
                  <w:tcW w:w="668" w:type="dxa"/>
                  <w:tcBorders>
                    <w:top w:val="single" w:color="auto" w:sz="4" w:space="0"/>
                    <w:left w:val="single" w:color="auto" w:sz="4" w:space="0"/>
                    <w:bottom w:val="single" w:color="auto" w:sz="12" w:space="0"/>
                    <w:right w:val="single" w:color="auto" w:sz="12" w:space="0"/>
                    <w:tl2br w:val="nil"/>
                    <w:tr2bl w:val="nil"/>
                  </w:tcBorders>
                  <w:vAlign w:val="center"/>
                </w:tcPr>
                <w:p>
                  <w:pPr>
                    <w:pStyle w:val="342"/>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符合</w:t>
                  </w:r>
                </w:p>
              </w:tc>
            </w:tr>
          </w:tbl>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通过与《石油天然气开采业污染防治技术政策》中清洁生产、生态保护、污染治理、运行风险和环境管理内容进行对比分析，本项目的建设符合《石油天然气开采业污染防治技术政策》要求。</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rPr>
            </w:pPr>
            <w:r>
              <w:rPr>
                <w:rFonts w:hint="default" w:ascii="Times New Roman" w:hAnsi="Times New Roman" w:cs="Times New Roman"/>
                <w:b/>
                <w:color w:val="auto"/>
              </w:rPr>
              <w:t>与《中共四川省委关于制定</w:t>
            </w:r>
            <w:r>
              <w:rPr>
                <w:rFonts w:hint="default" w:ascii="Times New Roman" w:hAnsi="Times New Roman" w:cs="Times New Roman"/>
                <w:b/>
                <w:color w:val="auto"/>
                <w:lang w:bidi="ar"/>
              </w:rPr>
              <w:t>四川省</w:t>
            </w:r>
            <w:r>
              <w:rPr>
                <w:rFonts w:hint="default" w:ascii="Times New Roman" w:hAnsi="Times New Roman" w:cs="Times New Roman"/>
                <w:b/>
                <w:color w:val="auto"/>
              </w:rPr>
              <w:t>国民经济和社会发展第十四个五年规划和二〇三五年远景目标的建议》的符合性</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中共四川省委关于制定四川省国民经济和社会发展第十四个五年规划和二〇三五年远景目标的建议》中指出，“统筹能源水利基础设施建设。建设中国“气大庆”、特高压交流电网、水风光互补一体化清洁能源基地，完善能源产供储销体系，建设清洁能源示范省。实施“再造都江堰”水利大提升行动，推进引大济岷、长征渠等重大工程建设，完善“五横六纵”引水补水生态水网，提升水资源优化配置和水旱灾害防御能力”。本项目属于气田的陆地矿产资源地质勘查（含油气资源勘探），符合建设中国“气大庆”，因此拟建项目符合《中共四川省委关于制定四川省国民经济和社会发展第十四个五年规划和二〇三五年远景目标的建议》。</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rPr>
            </w:pPr>
            <w:r>
              <w:rPr>
                <w:rFonts w:hint="default" w:ascii="Times New Roman" w:hAnsi="Times New Roman" w:cs="Times New Roman"/>
                <w:b/>
                <w:color w:val="auto"/>
              </w:rPr>
              <w:t>与自然资源部关于规范临时用地管理的通知（自然资规〔2021〕2号）符合性分析</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根据《自然资源部关于规范临时用地管理的通知（自然资规〔2021〕2号）》中相关规定，“</w:t>
            </w:r>
            <w:r>
              <w:rPr>
                <w:rFonts w:hint="default" w:ascii="Times New Roman" w:hAnsi="Times New Roman" w:cs="Times New Roman"/>
                <w:b/>
                <w:bCs/>
                <w:color w:val="auto"/>
                <w:sz w:val="24"/>
                <w:szCs w:val="24"/>
              </w:rPr>
              <w:t>矿产资源勘查、工程地质勘查、水文地质勘查等，在勘查期间临时生活用房、临时工棚、勘查作业及其辅助工程、施工便道、运输便道等使用的土地，包括油气资源勘查中钻井井场、配套管线、电力设施、进场道路等钻井及配套设施使用的土地”属于临时用地范围，临时用地确需占用永久基本农田的，必须能够恢复原种植条件，并符合《自然资源部 农业农村部关于加强和改进永久基本农田保护工作的通知》（自然资规〔2019〕1号）中申请条件、土壤剥离、复垦验收等有关规定，临时用地使用期限一般不超过两年</w:t>
            </w:r>
            <w:r>
              <w:rPr>
                <w:rFonts w:hint="default" w:ascii="Times New Roman" w:hAnsi="Times New Roman" w:cs="Times New Roman"/>
                <w:color w:val="auto"/>
                <w:sz w:val="24"/>
                <w:szCs w:val="24"/>
              </w:rPr>
              <w:t>。设周期较长的能源、交通、水利等基础设施建设项目施工使用的临时用地，期限不超过四年。</w:t>
            </w:r>
            <w:r>
              <w:rPr>
                <w:rFonts w:hint="default" w:ascii="Times New Roman" w:hAnsi="Times New Roman" w:cs="Times New Roman"/>
                <w:color w:val="auto"/>
                <w:sz w:val="24"/>
                <w:szCs w:val="24"/>
                <w:lang w:val="en-US" w:eastAsia="zh-CN"/>
              </w:rPr>
              <w:t>项目不占用永久基本农田，</w:t>
            </w:r>
            <w:r>
              <w:rPr>
                <w:rFonts w:hint="default" w:ascii="Times New Roman" w:hAnsi="Times New Roman" w:cs="Times New Roman"/>
                <w:color w:val="auto"/>
                <w:sz w:val="24"/>
                <w:szCs w:val="24"/>
              </w:rPr>
              <w:t>建设单位按照相关要求正在办理相关用地手续，因此，本项目符合《自然资源部关于规范临时用地管理的通知（自然资规〔2021〕2号）》的要求。</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rPr>
            </w:pPr>
            <w:r>
              <w:rPr>
                <w:rFonts w:hint="default" w:ascii="Times New Roman" w:hAnsi="Times New Roman" w:cs="Times New Roman"/>
                <w:b/>
                <w:color w:val="auto"/>
                <w:lang w:val="en-US" w:eastAsia="zh-CN"/>
              </w:rPr>
              <w:t>与《自然资源部办公厅关于进一步做好基础设施建设使用临时用地保障工作的通知》（自然资办函〔2024〕2159号）</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lang w:val="en-US" w:eastAsia="zh-CN"/>
              </w:rPr>
            </w:pPr>
            <w:r>
              <w:rPr>
                <w:rFonts w:hint="default" w:ascii="Times New Roman" w:hAnsi="Times New Roman" w:cs="Times New Roman"/>
                <w:color w:val="auto"/>
                <w:sz w:val="24"/>
                <w:szCs w:val="24"/>
                <w:lang w:val="en-US" w:eastAsia="zh-CN"/>
              </w:rPr>
              <w:t>根据自然资源部办公厅关于进一步做好基础设施建设使用临时用地保障工作的通知（自然资办函〔2024〕2159号）中提出“能源（含能源基础设施建设中的油气探采合一涉及的钻井及配套设施）、交通、水利等基础设施使用临时用地，首次申请使用期限不满四年的，用地单位可申请继续使用，总期限不超过四年。申请继续使用的临时用地，应当符合临时用地使用要求、不改变用地位置和批准用途、不扩大用地规模和使用范围、确保完成复垦任务，由具备相应审批权限的自然资源主管部门批准，使用年限连续计算。”</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lang w:val="en-US" w:eastAsia="zh-CN"/>
              </w:rPr>
              <w:t>本项目属于能源项目，且建设单位正在同步办理相关用地手续，项目实施满足《自然资源部办公厅关于进一步做好基础设施建设使用临时用地保障工作的通知》（自然资办函〔2024〕2159号）。建设单位在钻井工程施工过程中应做好临时占地表土集中堆放、截排水沟、表面覆盖等水土流失控制措施，临时占用应及时按土地复垦方式实施临时占地生态恢复，确保临时占地土地使用功能不降低。</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rPr>
            </w:pPr>
            <w:r>
              <w:rPr>
                <w:rFonts w:hint="default" w:ascii="Times New Roman" w:hAnsi="Times New Roman" w:cs="Times New Roman"/>
                <w:b/>
                <w:color w:val="auto"/>
              </w:rPr>
              <w:t>与《四川省自然资源厅关于进一步明确临时用地管理有关事项的通知》（川自然资规〔2022〕3号）符合性分析</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根据四川省自然资源厅发布的《四川省自然资源厅关于进一步明确临时用地管理有关事项的通知》（川自然资规〔2022〕3号）提出“二、进一步落实临时用地恢复责任。县级自然资源主管部门负责审查临时用地土地复垦方案，并在土地复垦义务人完成复垦工作后，会同农业农村等相关部门开展复垦验收”；“三、进一步强化永久基本农田特殊保护。市、县级自然资源主管部门要严格耕地用途管制，临时用地应尽量不占或少占耕地，原则上不占用永久基本农田。</w:t>
            </w:r>
            <w:r>
              <w:rPr>
                <w:rFonts w:hint="default" w:ascii="Times New Roman" w:hAnsi="Times New Roman" w:cs="Times New Roman"/>
                <w:b/>
                <w:bCs/>
                <w:color w:val="auto"/>
                <w:sz w:val="24"/>
                <w:szCs w:val="24"/>
              </w:rPr>
              <w:t>确需占用永久基本农田的，县级自然资源主管部门应在前期选址阶段，实地核实永久基本农田地块的空间位置、地类、面积、质量状况、利用现状等，组织编制临时用地踏勘报告，并对占用永久基本农田的必要性和合理性进行严格论证，报市级自然资源主管部门审查”，项目选址以最大程度地避让永久基本农田，</w:t>
            </w:r>
            <w:r>
              <w:rPr>
                <w:rFonts w:hint="eastAsia" w:cs="Times New Roman"/>
                <w:b/>
                <w:bCs/>
                <w:color w:val="auto"/>
                <w:sz w:val="24"/>
                <w:szCs w:val="24"/>
                <w:lang w:val="en-US" w:eastAsia="zh-CN"/>
              </w:rPr>
              <w:t>项目不</w:t>
            </w:r>
            <w:r>
              <w:rPr>
                <w:rFonts w:hint="default" w:ascii="Times New Roman" w:hAnsi="Times New Roman" w:cs="Times New Roman"/>
                <w:b/>
                <w:bCs/>
                <w:color w:val="auto"/>
                <w:sz w:val="24"/>
                <w:szCs w:val="24"/>
              </w:rPr>
              <w:t>占用部分基本农田，</w:t>
            </w:r>
            <w:r>
              <w:rPr>
                <w:rFonts w:hint="default" w:ascii="Times New Roman" w:hAnsi="Times New Roman" w:cs="Times New Roman"/>
                <w:color w:val="auto"/>
                <w:sz w:val="24"/>
                <w:szCs w:val="24"/>
              </w:rPr>
              <w:t>因此，建设单位临时用地土地复垦方案及临时用地踏勘报告目前同步编制过程中，按照相关要求正在办理相关用地手续，因此符合《四川省自然资源厅关于进一步明确临时用地管理有关事项的通知》（川自然资规〔2022〕3号）。</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rPr>
            </w:pPr>
            <w:r>
              <w:rPr>
                <w:rFonts w:hint="default" w:ascii="Times New Roman" w:hAnsi="Times New Roman" w:cs="Times New Roman"/>
                <w:b/>
                <w:color w:val="auto"/>
              </w:rPr>
              <w:t>与《地下水管理条例》符合性分析</w:t>
            </w:r>
          </w:p>
          <w:p>
            <w:pPr>
              <w:keepNext w:val="0"/>
              <w:keepLines w:val="0"/>
              <w:widowControl/>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color w:val="auto"/>
                <w:sz w:val="24"/>
                <w:szCs w:val="22"/>
              </w:rPr>
            </w:pPr>
            <w:r>
              <w:rPr>
                <w:rFonts w:hint="default" w:ascii="Times New Roman" w:hAnsi="Times New Roman" w:cs="Times New Roman"/>
                <w:color w:val="auto"/>
                <w:sz w:val="24"/>
                <w:szCs w:val="22"/>
              </w:rPr>
              <w:t>本项目与《地下水管理条例》相关要求符合性分析见下表：</w:t>
            </w:r>
          </w:p>
          <w:p>
            <w:pPr>
              <w:keepNext w:val="0"/>
              <w:keepLines w:val="0"/>
              <w:widowControl/>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b/>
                <w:bCs/>
                <w:color w:val="auto"/>
                <w:sz w:val="24"/>
                <w:szCs w:val="22"/>
              </w:rPr>
            </w:pPr>
            <w:r>
              <w:rPr>
                <w:rFonts w:hint="default" w:ascii="Times New Roman" w:hAnsi="Times New Roman" w:cs="Times New Roman"/>
                <w:b/>
                <w:bCs/>
                <w:color w:val="auto"/>
                <w:sz w:val="24"/>
                <w:szCs w:val="22"/>
              </w:rPr>
              <w:t>表1-5 《地下水管理条例》符合性分析表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3951"/>
              <w:gridCol w:w="2890"/>
              <w:gridCol w:w="72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69" w:hRule="atLeast"/>
                <w:jc w:val="center"/>
              </w:trPr>
              <w:tc>
                <w:tcPr>
                  <w:tcW w:w="2611"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相关要求</w:t>
                  </w:r>
                </w:p>
              </w:tc>
              <w:tc>
                <w:tcPr>
                  <w:tcW w:w="1910"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项目情况</w:t>
                  </w:r>
                </w:p>
              </w:tc>
              <w:tc>
                <w:tcPr>
                  <w:tcW w:w="479"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符合性</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69" w:hRule="atLeast"/>
                <w:jc w:val="center"/>
              </w:trPr>
              <w:tc>
                <w:tcPr>
                  <w:tcW w:w="2611"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禁止下列污染或者可能污染地下水的行为：</w:t>
                  </w:r>
                </w:p>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利用渗井、渗坑、裂隙、溶洞以及私设暗管等逃避监管的方式排放水污染物；利用岩层孔隙、裂隙、溶洞、废弃矿坑等贮存石化原料及产品、农药、危险废物、城镇污水处理设施产生的污泥和处理后的污泥或者其他有毒有害物质；利用无防渗漏措施的沟渠、坑塘等输送或者贮存含有毒污染物的废水、含病原体的污水和其他废弃物；法律、法规禁止的其他污染或者可能污染地下水的行为。</w:t>
                  </w:r>
                </w:p>
              </w:tc>
              <w:tc>
                <w:tcPr>
                  <w:tcW w:w="1910"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本项目生产废水外运</w:t>
                  </w:r>
                  <w:r>
                    <w:rPr>
                      <w:rFonts w:hint="eastAsia" w:cs="Times New Roman"/>
                      <w:color w:val="auto"/>
                      <w:szCs w:val="21"/>
                      <w:lang w:eastAsia="zh-CN"/>
                    </w:rPr>
                    <w:t>赵家坝污水处理站</w:t>
                  </w:r>
                  <w:r>
                    <w:rPr>
                      <w:rFonts w:hint="default" w:ascii="Times New Roman" w:hAnsi="Times New Roman" w:cs="Times New Roman"/>
                      <w:color w:val="auto"/>
                      <w:szCs w:val="21"/>
                    </w:rPr>
                    <w:t>处理达标后</w:t>
                  </w:r>
                  <w:r>
                    <w:rPr>
                      <w:rFonts w:hint="eastAsia" w:cs="Times New Roman"/>
                      <w:color w:val="auto"/>
                      <w:szCs w:val="21"/>
                      <w:lang w:eastAsia="zh-CN"/>
                    </w:rPr>
                    <w:t>由罐车拉运至普光3井等</w:t>
                  </w:r>
                  <w:r>
                    <w:rPr>
                      <w:rFonts w:hint="default" w:ascii="Times New Roman" w:hAnsi="Times New Roman" w:cs="Times New Roman"/>
                      <w:color w:val="auto"/>
                      <w:szCs w:val="21"/>
                    </w:rPr>
                    <w:t>回注站回注</w:t>
                  </w:r>
                  <w:r>
                    <w:rPr>
                      <w:rFonts w:hint="default" w:ascii="Times New Roman" w:hAnsi="Times New Roman" w:cs="Times New Roman"/>
                      <w:color w:val="auto"/>
                      <w:kern w:val="0"/>
                      <w:szCs w:val="21"/>
                    </w:rPr>
                    <w:t>，生活污水收集后外运处置，不在当地排放；设置危险废物贮存点，并采取防风、防雨、防晒、防渗、防漏、防腐措施。项目采取分区防渗措施。不涉及《地下水管理条例》中明确相关禁止污染或者可能污染地下水的行为。</w:t>
                  </w:r>
                </w:p>
              </w:tc>
              <w:tc>
                <w:tcPr>
                  <w:tcW w:w="479"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69" w:hRule="atLeast"/>
                <w:jc w:val="center"/>
              </w:trPr>
              <w:tc>
                <w:tcPr>
                  <w:tcW w:w="2611"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新建地下工程设施或者进行地下勘探、采矿等活动，依法编制的环境影响评价文件中，应当包括地下水污染防治的内容，并采取防护性措施；化学品生产企业以及工业集聚区、矿山开采区、尾矿库、危险废物处置场、垃圾填埋场等的运营、管理单位，应当采取防渗漏等措施，并建设地下水水质监测井进行监测。</w:t>
                  </w:r>
                </w:p>
              </w:tc>
              <w:tc>
                <w:tcPr>
                  <w:tcW w:w="1910"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本项目属于陆地矿产资源地质勘查（含油气资源勘探），环评报告中编制有地下水污染防治的内容，提出了相应的源头控制、分区防渗等地下水污染防治措施。提出了跟踪监测计划。符合相关要求。</w:t>
                  </w:r>
                </w:p>
              </w:tc>
              <w:tc>
                <w:tcPr>
                  <w:tcW w:w="479"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69" w:hRule="atLeast"/>
                <w:jc w:val="center"/>
              </w:trPr>
              <w:tc>
                <w:tcPr>
                  <w:tcW w:w="2611"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在泉域保护范围以及岩溶强发育、存在较多落水洞和岩溶漏斗的区域内，不得新建、改建、扩建可能造成地下水污染的建设项目。</w:t>
                  </w:r>
                </w:p>
              </w:tc>
              <w:tc>
                <w:tcPr>
                  <w:tcW w:w="1910"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地下水评价范围内无地下水集中式饮用水水源保护区分布，井场周边遗留部分水井，居民水井内水作为生活辅助用水，此部分水井为分散式饮用水源，不涉及泉域保护范围，不属于岩溶强发育、存在较多落水洞和岩溶漏斗的区域。</w:t>
                  </w:r>
                </w:p>
              </w:tc>
              <w:tc>
                <w:tcPr>
                  <w:tcW w:w="479" w:type="pct"/>
                  <w:vAlign w:val="center"/>
                </w:tcPr>
                <w:p>
                  <w:pPr>
                    <w:keepNext w:val="0"/>
                    <w:keepLines w:val="0"/>
                    <w:suppressLineNumbers w:val="0"/>
                    <w:spacing w:before="0" w:beforeAutospacing="0" w:after="0" w:afterAutospacing="0" w:line="276" w:lineRule="auto"/>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bl>
          <w:p>
            <w:pPr>
              <w:keepNext w:val="0"/>
              <w:keepLines w:val="0"/>
              <w:widowControl/>
              <w:suppressLineNumbers w:val="0"/>
              <w:adjustRightInd w:val="0"/>
              <w:snapToGrid w:val="0"/>
              <w:spacing w:before="0" w:beforeAutospacing="0" w:after="0" w:afterAutospacing="0" w:line="360" w:lineRule="auto"/>
              <w:ind w:left="0" w:right="0" w:firstLine="480" w:firstLineChars="200"/>
              <w:jc w:val="left"/>
              <w:rPr>
                <w:rFonts w:hint="default" w:ascii="Times New Roman" w:hAnsi="Times New Roman" w:cs="Times New Roman"/>
                <w:color w:val="auto"/>
                <w:sz w:val="24"/>
                <w:szCs w:val="22"/>
              </w:rPr>
            </w:pPr>
            <w:r>
              <w:rPr>
                <w:rFonts w:hint="default" w:ascii="Times New Roman" w:hAnsi="Times New Roman" w:cs="Times New Roman"/>
                <w:color w:val="auto"/>
                <w:sz w:val="24"/>
                <w:szCs w:val="22"/>
              </w:rPr>
              <w:t>综上，本项目建设符合《地下水管理条例》相关要求。</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rPr>
            </w:pPr>
            <w:r>
              <w:rPr>
                <w:rFonts w:hint="default" w:ascii="Times New Roman" w:hAnsi="Times New Roman" w:cs="Times New Roman"/>
                <w:b/>
                <w:color w:val="auto"/>
              </w:rPr>
              <w:t>与《</w:t>
            </w:r>
            <w:bookmarkStart w:id="5" w:name="_Hlk103761627"/>
            <w:r>
              <w:rPr>
                <w:rFonts w:hint="default" w:ascii="Times New Roman" w:hAnsi="Times New Roman" w:cs="Times New Roman"/>
                <w:b/>
                <w:color w:val="auto"/>
              </w:rPr>
              <w:t>四川省嘉陵江流域生态环境保护条例</w:t>
            </w:r>
            <w:bookmarkEnd w:id="5"/>
            <w:r>
              <w:rPr>
                <w:rFonts w:hint="default" w:ascii="Times New Roman" w:hAnsi="Times New Roman" w:cs="Times New Roman"/>
                <w:b/>
                <w:color w:val="auto"/>
              </w:rPr>
              <w:t>》符合性分析</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根据《四川省水利厅关于印发四川省行政区域内嘉陵江流域范围划定成果的通知》，本项目位于嘉陵江流域，与《四川省嘉陵江流域生态环境保护条例》符合性分析如下。</w:t>
            </w: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b/>
                <w:color w:val="auto"/>
                <w:sz w:val="24"/>
              </w:rPr>
            </w:pPr>
            <w:r>
              <w:rPr>
                <w:rFonts w:hint="default" w:ascii="Times New Roman" w:hAnsi="Times New Roman" w:cs="Times New Roman"/>
                <w:b/>
                <w:color w:val="auto"/>
                <w:sz w:val="24"/>
              </w:rPr>
              <w:t>表1-6 与《四川省嘉陵江流域生态环境保护条例》分析表</w:t>
            </w:r>
          </w:p>
          <w:tbl>
            <w:tblPr>
              <w:tblStyle w:val="44"/>
              <w:tblW w:w="4832"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541"/>
              <w:gridCol w:w="3665"/>
              <w:gridCol w:w="2629"/>
              <w:gridCol w:w="47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369" w:hRule="atLeast"/>
                <w:jc w:val="center"/>
              </w:trPr>
              <w:tc>
                <w:tcPr>
                  <w:tcW w:w="370" w:type="pct"/>
                  <w:tcBorders>
                    <w:top w:val="single" w:color="auto" w:sz="12" w:space="0"/>
                    <w:left w:val="single" w:color="auto" w:sz="12" w:space="0"/>
                    <w:bottom w:val="single" w:color="auto" w:sz="4" w:space="0"/>
                    <w:right w:val="single" w:color="auto" w:sz="4" w:space="0"/>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szCs w:val="21"/>
                    </w:rPr>
                    <w:t>序号</w:t>
                  </w:r>
                </w:p>
              </w:tc>
              <w:tc>
                <w:tcPr>
                  <w:tcW w:w="2505" w:type="pct"/>
                  <w:tcBorders>
                    <w:top w:val="single" w:color="auto" w:sz="12" w:space="0"/>
                    <w:left w:val="single" w:color="auto" w:sz="4" w:space="0"/>
                    <w:bottom w:val="single" w:color="auto" w:sz="4" w:space="0"/>
                    <w:right w:val="single" w:color="auto" w:sz="4" w:space="0"/>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szCs w:val="21"/>
                    </w:rPr>
                    <w:t>技术政策要求</w:t>
                  </w:r>
                </w:p>
              </w:tc>
              <w:tc>
                <w:tcPr>
                  <w:tcW w:w="1797" w:type="pct"/>
                  <w:tcBorders>
                    <w:top w:val="single" w:color="auto" w:sz="12" w:space="0"/>
                    <w:left w:val="single" w:color="auto" w:sz="4" w:space="0"/>
                    <w:bottom w:val="single" w:color="auto" w:sz="4" w:space="0"/>
                    <w:right w:val="single" w:color="auto" w:sz="4" w:space="0"/>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szCs w:val="21"/>
                    </w:rPr>
                    <w:t>本工程内容</w:t>
                  </w:r>
                </w:p>
              </w:tc>
              <w:tc>
                <w:tcPr>
                  <w:tcW w:w="326" w:type="pct"/>
                  <w:tcBorders>
                    <w:top w:val="single" w:color="auto" w:sz="12" w:space="0"/>
                    <w:left w:val="single" w:color="auto" w:sz="4" w:space="0"/>
                    <w:bottom w:val="single" w:color="auto" w:sz="4" w:space="0"/>
                    <w:right w:val="single" w:color="auto" w:sz="12" w:space="0"/>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szCs w:val="21"/>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370" w:type="pct"/>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1</w:t>
                  </w:r>
                </w:p>
              </w:tc>
              <w:tc>
                <w:tcPr>
                  <w:tcW w:w="2505" w:type="pct"/>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禁止在嘉陵江干支流岸线一公里范围内新建、扩建化工园区和化工项目。</w:t>
                  </w:r>
                </w:p>
              </w:tc>
              <w:tc>
                <w:tcPr>
                  <w:tcW w:w="1797" w:type="pct"/>
                  <w:tcBorders>
                    <w:top w:val="single" w:color="auto" w:sz="4" w:space="0"/>
                    <w:left w:val="single" w:color="auto" w:sz="4" w:space="0"/>
                    <w:bottom w:val="single" w:color="auto" w:sz="4" w:space="0"/>
                    <w:right w:val="single" w:color="auto" w:sz="4" w:space="0"/>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本项目不属于化工项目。</w:t>
                  </w:r>
                </w:p>
              </w:tc>
              <w:tc>
                <w:tcPr>
                  <w:tcW w:w="326" w:type="pct"/>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370" w:type="pct"/>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2</w:t>
                  </w:r>
                </w:p>
              </w:tc>
              <w:tc>
                <w:tcPr>
                  <w:tcW w:w="2505" w:type="pct"/>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排污单位排放污染物不得超过国家和省污染物排放标准，不得超过重点水污染物排放总量控制指标。</w:t>
                  </w:r>
                </w:p>
              </w:tc>
              <w:tc>
                <w:tcPr>
                  <w:tcW w:w="1797" w:type="pct"/>
                  <w:tcBorders>
                    <w:top w:val="single" w:color="auto" w:sz="4" w:space="0"/>
                    <w:left w:val="single" w:color="auto" w:sz="4" w:space="0"/>
                    <w:bottom w:val="single" w:color="auto" w:sz="4" w:space="0"/>
                    <w:right w:val="single" w:color="auto" w:sz="4" w:space="0"/>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本项目压裂返排液拟交由密闭罐车定期拉运至</w:t>
                  </w:r>
                  <w:r>
                    <w:rPr>
                      <w:rFonts w:hint="eastAsia" w:cs="Times New Roman"/>
                      <w:color w:val="auto"/>
                      <w:sz w:val="21"/>
                      <w:szCs w:val="21"/>
                      <w:lang w:eastAsia="zh-CN"/>
                    </w:rPr>
                    <w:t>赵家坝污水处理站</w:t>
                  </w:r>
                  <w:r>
                    <w:rPr>
                      <w:rFonts w:hint="default" w:ascii="Times New Roman" w:hAnsi="Times New Roman" w:cs="Times New Roman"/>
                      <w:color w:val="auto"/>
                      <w:sz w:val="21"/>
                      <w:szCs w:val="21"/>
                    </w:rPr>
                    <w:t>处理达标后</w:t>
                  </w:r>
                  <w:r>
                    <w:rPr>
                      <w:rFonts w:hint="eastAsia" w:cs="Times New Roman"/>
                      <w:color w:val="auto"/>
                      <w:sz w:val="21"/>
                      <w:szCs w:val="21"/>
                      <w:lang w:eastAsia="zh-CN"/>
                    </w:rPr>
                    <w:t>由罐车拉运至普光3井等</w:t>
                  </w:r>
                  <w:r>
                    <w:rPr>
                      <w:rFonts w:hint="default" w:ascii="Times New Roman" w:hAnsi="Times New Roman" w:cs="Times New Roman"/>
                      <w:color w:val="auto"/>
                      <w:sz w:val="21"/>
                      <w:szCs w:val="21"/>
                    </w:rPr>
                    <w:t>回注站回注。</w:t>
                  </w:r>
                </w:p>
              </w:tc>
              <w:tc>
                <w:tcPr>
                  <w:tcW w:w="326" w:type="pct"/>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370" w:type="pct"/>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3</w:t>
                  </w:r>
                </w:p>
              </w:tc>
              <w:tc>
                <w:tcPr>
                  <w:tcW w:w="2505" w:type="pct"/>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禁止向农用地排放重金属或者其他有毒有害物质含量超标的污水、污泥，以及可能造成土壤污染的清淤底泥、尾矿、矿渣等</w:t>
                  </w:r>
                </w:p>
              </w:tc>
              <w:tc>
                <w:tcPr>
                  <w:tcW w:w="1797" w:type="pct"/>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本项目钻井废水</w:t>
                  </w:r>
                  <w:r>
                    <w:rPr>
                      <w:rFonts w:hint="eastAsia" w:cs="Times New Roman"/>
                      <w:color w:val="auto"/>
                      <w:kern w:val="0"/>
                      <w:szCs w:val="21"/>
                      <w:lang w:eastAsia="zh-CN"/>
                    </w:rPr>
                    <w:t>、</w:t>
                  </w:r>
                  <w:r>
                    <w:rPr>
                      <w:rFonts w:hint="default" w:ascii="Times New Roman" w:hAnsi="Times New Roman" w:cs="Times New Roman"/>
                      <w:color w:val="auto"/>
                      <w:kern w:val="0"/>
                      <w:szCs w:val="21"/>
                    </w:rPr>
                    <w:t>压裂返排液不能回用时由密闭罐车定期拉运至</w:t>
                  </w:r>
                  <w:r>
                    <w:rPr>
                      <w:rFonts w:hint="eastAsia" w:cs="Times New Roman"/>
                      <w:color w:val="auto"/>
                      <w:kern w:val="0"/>
                      <w:szCs w:val="21"/>
                      <w:lang w:eastAsia="zh-CN"/>
                    </w:rPr>
                    <w:t>赵家坝污水处理站</w:t>
                  </w:r>
                  <w:r>
                    <w:rPr>
                      <w:rFonts w:hint="default" w:ascii="Times New Roman" w:hAnsi="Times New Roman" w:cs="Times New Roman"/>
                      <w:color w:val="auto"/>
                      <w:kern w:val="0"/>
                      <w:szCs w:val="21"/>
                    </w:rPr>
                    <w:t>处理达标后</w:t>
                  </w:r>
                  <w:r>
                    <w:rPr>
                      <w:rFonts w:hint="eastAsia" w:cs="Times New Roman"/>
                      <w:color w:val="auto"/>
                      <w:kern w:val="0"/>
                      <w:szCs w:val="21"/>
                      <w:lang w:eastAsia="zh-CN"/>
                    </w:rPr>
                    <w:t>由罐车拉运至普光3井等</w:t>
                  </w:r>
                  <w:r>
                    <w:rPr>
                      <w:rFonts w:hint="default" w:ascii="Times New Roman" w:hAnsi="Times New Roman" w:cs="Times New Roman"/>
                      <w:color w:val="auto"/>
                      <w:kern w:val="0"/>
                      <w:szCs w:val="21"/>
                    </w:rPr>
                    <w:t>回注站回注。</w:t>
                  </w:r>
                </w:p>
              </w:tc>
              <w:tc>
                <w:tcPr>
                  <w:tcW w:w="326" w:type="pct"/>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370" w:type="pct"/>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4</w:t>
                  </w:r>
                </w:p>
              </w:tc>
              <w:tc>
                <w:tcPr>
                  <w:tcW w:w="2505" w:type="pct"/>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新建排放重点水污染物的工业项目原则上进入符合相关规划的工业集聚区。逐步减少在工业集聚区以外排放工业废水的工业企业，并将有关工作情况纳入环境保护目标责任制范围。禁止在合规园区外新建、扩建钢铁、石化化工、焦化、建材、有色金属等高污染项目。</w:t>
                  </w:r>
                </w:p>
              </w:tc>
              <w:tc>
                <w:tcPr>
                  <w:tcW w:w="1797" w:type="pct"/>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本项目为陆地矿产资源地质勘查（含油气资源勘探），不属于上述项目。</w:t>
                  </w:r>
                </w:p>
              </w:tc>
              <w:tc>
                <w:tcPr>
                  <w:tcW w:w="326" w:type="pct"/>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370" w:type="pct"/>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5</w:t>
                  </w:r>
                </w:p>
              </w:tc>
              <w:tc>
                <w:tcPr>
                  <w:tcW w:w="2505" w:type="pct"/>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排污单位对污水进行预处理后向污水集中处理设施排放的，应当符合污水集中处理设施的接纳标准。</w:t>
                  </w:r>
                </w:p>
              </w:tc>
              <w:tc>
                <w:tcPr>
                  <w:tcW w:w="1797" w:type="pct"/>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本项目生产废水经现场预处理后由罐车运至密闭罐车定期拉运至</w:t>
                  </w:r>
                  <w:r>
                    <w:rPr>
                      <w:rFonts w:hint="eastAsia" w:cs="Times New Roman"/>
                      <w:color w:val="auto"/>
                      <w:kern w:val="0"/>
                      <w:szCs w:val="21"/>
                      <w:lang w:eastAsia="zh-CN"/>
                    </w:rPr>
                    <w:t>赵家坝污水处理站</w:t>
                  </w:r>
                  <w:r>
                    <w:rPr>
                      <w:rFonts w:hint="default" w:ascii="Times New Roman" w:hAnsi="Times New Roman" w:cs="Times New Roman"/>
                      <w:color w:val="auto"/>
                      <w:kern w:val="0"/>
                      <w:szCs w:val="21"/>
                    </w:rPr>
                    <w:t>处理达标后</w:t>
                  </w:r>
                  <w:r>
                    <w:rPr>
                      <w:rFonts w:hint="eastAsia" w:cs="Times New Roman"/>
                      <w:color w:val="auto"/>
                      <w:kern w:val="0"/>
                      <w:szCs w:val="21"/>
                      <w:lang w:eastAsia="zh-CN"/>
                    </w:rPr>
                    <w:t>由罐车拉运至普光3井等</w:t>
                  </w:r>
                  <w:r>
                    <w:rPr>
                      <w:rFonts w:hint="default" w:ascii="Times New Roman" w:hAnsi="Times New Roman" w:cs="Times New Roman"/>
                      <w:color w:val="auto"/>
                      <w:kern w:val="0"/>
                      <w:szCs w:val="21"/>
                    </w:rPr>
                    <w:t>回注站回注。</w:t>
                  </w:r>
                </w:p>
              </w:tc>
              <w:tc>
                <w:tcPr>
                  <w:tcW w:w="326" w:type="pct"/>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370" w:type="pct"/>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6</w:t>
                  </w:r>
                </w:p>
              </w:tc>
              <w:tc>
                <w:tcPr>
                  <w:tcW w:w="2505" w:type="pct"/>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鼓励企业事业单位和其他生产经营者配套建设工业用水回收利用设施和中水回用管网设施，采取循环用水、综合利用以及废水处理回用等措施，提高水的重复利用率</w:t>
                  </w:r>
                </w:p>
              </w:tc>
              <w:tc>
                <w:tcPr>
                  <w:tcW w:w="1797" w:type="pct"/>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本项目最终不能回用部分拟交由密闭罐车定期拉运至</w:t>
                  </w:r>
                  <w:r>
                    <w:rPr>
                      <w:rFonts w:hint="eastAsia" w:cs="Times New Roman"/>
                      <w:color w:val="auto"/>
                      <w:kern w:val="0"/>
                      <w:szCs w:val="21"/>
                      <w:lang w:eastAsia="zh-CN"/>
                    </w:rPr>
                    <w:t>赵家坝污水处理站</w:t>
                  </w:r>
                  <w:r>
                    <w:rPr>
                      <w:rFonts w:hint="default" w:ascii="Times New Roman" w:hAnsi="Times New Roman" w:cs="Times New Roman"/>
                      <w:color w:val="auto"/>
                      <w:kern w:val="0"/>
                      <w:szCs w:val="21"/>
                    </w:rPr>
                    <w:t>处理达标后</w:t>
                  </w:r>
                  <w:r>
                    <w:rPr>
                      <w:rFonts w:hint="eastAsia" w:cs="Times New Roman"/>
                      <w:color w:val="auto"/>
                      <w:kern w:val="0"/>
                      <w:szCs w:val="21"/>
                      <w:lang w:eastAsia="zh-CN"/>
                    </w:rPr>
                    <w:t>由罐车拉运至普光3井等</w:t>
                  </w:r>
                  <w:r>
                    <w:rPr>
                      <w:rFonts w:hint="default" w:ascii="Times New Roman" w:hAnsi="Times New Roman" w:cs="Times New Roman"/>
                      <w:color w:val="auto"/>
                      <w:kern w:val="0"/>
                      <w:szCs w:val="21"/>
                    </w:rPr>
                    <w:t>回注站回注。</w:t>
                  </w:r>
                </w:p>
              </w:tc>
              <w:tc>
                <w:tcPr>
                  <w:tcW w:w="326" w:type="pct"/>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370" w:type="pct"/>
                  <w:tcBorders>
                    <w:top w:val="single" w:color="auto" w:sz="4" w:space="0"/>
                    <w:left w:val="single" w:color="auto" w:sz="12" w:space="0"/>
                    <w:bottom w:val="single" w:color="auto" w:sz="12"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7</w:t>
                  </w:r>
                </w:p>
              </w:tc>
              <w:tc>
                <w:tcPr>
                  <w:tcW w:w="2505" w:type="pct"/>
                  <w:tcBorders>
                    <w:top w:val="single" w:color="auto" w:sz="4" w:space="0"/>
                    <w:left w:val="single" w:color="auto" w:sz="4" w:space="0"/>
                    <w:bottom w:val="single" w:color="auto" w:sz="12"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限期禁止生产、销售、进口、使用、转让严重污染水环境的工艺和设备</w:t>
                  </w:r>
                </w:p>
              </w:tc>
              <w:tc>
                <w:tcPr>
                  <w:tcW w:w="1797" w:type="pct"/>
                  <w:tcBorders>
                    <w:top w:val="single" w:color="auto" w:sz="4" w:space="0"/>
                    <w:left w:val="single" w:color="auto" w:sz="4" w:space="0"/>
                    <w:bottom w:val="single" w:color="auto" w:sz="12"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本项目采用工艺及使用设备均不属于严重污染水环境的工艺及设备</w:t>
                  </w:r>
                </w:p>
              </w:tc>
              <w:tc>
                <w:tcPr>
                  <w:tcW w:w="326" w:type="pct"/>
                  <w:tcBorders>
                    <w:top w:val="single" w:color="auto" w:sz="4" w:space="0"/>
                    <w:left w:val="single" w:color="auto" w:sz="4" w:space="0"/>
                    <w:bottom w:val="single" w:color="auto" w:sz="12"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bl>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综上所述，本项目为陆地矿产资源地质勘查（含油气资源勘探），项目产生的钻井废水</w:t>
            </w:r>
            <w:r>
              <w:rPr>
                <w:rFonts w:hint="eastAsia" w:cs="Times New Roman"/>
                <w:color w:val="auto"/>
                <w:sz w:val="24"/>
                <w:szCs w:val="24"/>
                <w:lang w:val="en-US" w:eastAsia="zh-CN"/>
              </w:rPr>
              <w:t>与</w:t>
            </w:r>
            <w:r>
              <w:rPr>
                <w:rFonts w:hint="default" w:ascii="Times New Roman" w:hAnsi="Times New Roman" w:cs="Times New Roman"/>
                <w:color w:val="auto"/>
                <w:sz w:val="24"/>
                <w:szCs w:val="24"/>
              </w:rPr>
              <w:t>产生的压裂返排液不能回用时由密闭罐车定期拉运至</w:t>
            </w:r>
            <w:r>
              <w:rPr>
                <w:rFonts w:hint="eastAsia" w:cs="Times New Roman"/>
                <w:color w:val="auto"/>
                <w:sz w:val="24"/>
                <w:szCs w:val="24"/>
                <w:lang w:eastAsia="zh-CN"/>
              </w:rPr>
              <w:t>赵家坝污水处理站</w:t>
            </w:r>
            <w:r>
              <w:rPr>
                <w:rFonts w:hint="default" w:ascii="Times New Roman" w:hAnsi="Times New Roman" w:cs="Times New Roman"/>
                <w:color w:val="auto"/>
                <w:sz w:val="24"/>
                <w:szCs w:val="24"/>
              </w:rPr>
              <w:t>处理达标后</w:t>
            </w:r>
            <w:r>
              <w:rPr>
                <w:rFonts w:hint="eastAsia" w:cs="Times New Roman"/>
                <w:color w:val="auto"/>
                <w:sz w:val="24"/>
                <w:szCs w:val="24"/>
                <w:lang w:eastAsia="zh-CN"/>
              </w:rPr>
              <w:t>由罐车拉运至普光3井等</w:t>
            </w:r>
            <w:r>
              <w:rPr>
                <w:rFonts w:hint="default" w:ascii="Times New Roman" w:hAnsi="Times New Roman" w:cs="Times New Roman"/>
                <w:color w:val="auto"/>
                <w:sz w:val="24"/>
                <w:szCs w:val="24"/>
              </w:rPr>
              <w:t>回注站回注，不外排；生活污水经生态一体化厕所收集后运至</w:t>
            </w:r>
            <w:r>
              <w:rPr>
                <w:rFonts w:hint="eastAsia" w:cs="Times New Roman"/>
                <w:color w:val="auto"/>
                <w:sz w:val="24"/>
                <w:szCs w:val="24"/>
                <w:lang w:eastAsia="zh-CN"/>
              </w:rPr>
              <w:t>普光镇</w:t>
            </w:r>
            <w:r>
              <w:rPr>
                <w:rFonts w:hint="default" w:ascii="Times New Roman" w:hAnsi="Times New Roman" w:cs="Times New Roman"/>
                <w:color w:val="auto"/>
                <w:sz w:val="24"/>
                <w:szCs w:val="24"/>
              </w:rPr>
              <w:t>污水处理厂处置。因此符合《四川省嘉陵江流域生态环境保护条例》政策要求。</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szCs w:val="32"/>
              </w:rPr>
            </w:pPr>
            <w:r>
              <w:rPr>
                <w:rFonts w:hint="default" w:ascii="Times New Roman" w:hAnsi="Times New Roman" w:cs="Times New Roman"/>
                <w:b/>
                <w:color w:val="auto"/>
                <w:szCs w:val="32"/>
              </w:rPr>
              <w:t>与《四川省、</w:t>
            </w:r>
            <w:r>
              <w:rPr>
                <w:rFonts w:hint="default" w:ascii="Times New Roman" w:hAnsi="Times New Roman" w:cs="Times New Roman"/>
                <w:b/>
                <w:color w:val="auto"/>
                <w:lang w:bidi="ar"/>
              </w:rPr>
              <w:t>重庆市</w:t>
            </w:r>
            <w:r>
              <w:rPr>
                <w:rFonts w:hint="default" w:ascii="Times New Roman" w:hAnsi="Times New Roman" w:cs="Times New Roman"/>
                <w:b/>
                <w:color w:val="auto"/>
                <w:szCs w:val="32"/>
              </w:rPr>
              <w:t>长江经济带发展负面清单实施细则（试行，2022年版）》（川长江办〔2022〕17号）的符合性分析</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32"/>
              </w:rPr>
            </w:pPr>
            <w:r>
              <w:rPr>
                <w:rFonts w:hint="default" w:ascii="Times New Roman" w:hAnsi="Times New Roman" w:cs="Times New Roman"/>
                <w:color w:val="auto"/>
                <w:sz w:val="24"/>
                <w:szCs w:val="32"/>
              </w:rPr>
              <w:t>根据四川省推动长江经济带发展领导小组办公室、重庆市推动长江经济带发展领导小组办关于印发《四川省、重庆市长江经济带发展负面清单实施细则（试行，2022年版）》（川长江办〔2022〕17号）的通知，本项目与其符合性分析如下。</w:t>
            </w: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b/>
                <w:color w:val="auto"/>
                <w:sz w:val="24"/>
                <w:szCs w:val="32"/>
              </w:rPr>
            </w:pPr>
            <w:r>
              <w:rPr>
                <w:rFonts w:hint="default" w:ascii="Times New Roman" w:hAnsi="Times New Roman" w:cs="Times New Roman"/>
                <w:b/>
                <w:color w:val="auto"/>
                <w:sz w:val="24"/>
                <w:szCs w:val="32"/>
              </w:rPr>
              <w:t>表1-6 与《四川省、重庆市长江经济带发展负面清单实施细则（试行，2022年版）》（川长江办〔2022〕17号）分析表</w:t>
            </w:r>
          </w:p>
          <w:tbl>
            <w:tblPr>
              <w:tblStyle w:val="44"/>
              <w:tblW w:w="4913"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0" w:type="dxa"/>
                <w:bottom w:w="0" w:type="dxa"/>
                <w:right w:w="0" w:type="dxa"/>
              </w:tblCellMar>
            </w:tblPr>
            <w:tblGrid>
              <w:gridCol w:w="530"/>
              <w:gridCol w:w="4257"/>
              <w:gridCol w:w="1797"/>
              <w:gridCol w:w="85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12"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序号</w:t>
                  </w:r>
                </w:p>
              </w:tc>
              <w:tc>
                <w:tcPr>
                  <w:tcW w:w="4284" w:type="dxa"/>
                  <w:tcBorders>
                    <w:top w:val="single" w:color="auto" w:sz="12"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要求</w:t>
                  </w:r>
                </w:p>
              </w:tc>
              <w:tc>
                <w:tcPr>
                  <w:tcW w:w="1809" w:type="dxa"/>
                  <w:tcBorders>
                    <w:top w:val="single" w:color="auto" w:sz="12"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w:t>
                  </w:r>
                </w:p>
              </w:tc>
              <w:tc>
                <w:tcPr>
                  <w:tcW w:w="855" w:type="dxa"/>
                  <w:tcBorders>
                    <w:top w:val="single" w:color="auto" w:sz="12"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符合性</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禁止新建、改建和扩建不符合全国港口布局规划以及《四川省内河水运发展规划》《泸州—宜宾—乐山 港口群布局规划》《重庆港总体规划（2035年）》等省级港口布局规划及市级港口总体规划的码头项目。</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本项目不涉及码头建设。</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2</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禁止新建、改建和扩建不符合《长江干线过江通道布局规划（2020-2035年）》的过长江通道项目（含桥梁、隧道），国家发展改革委同意过长江通道线位调整的除外。</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本项目不涉及长江干线通道。</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3</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禁止在自然保护区核心区、缓冲区的岸线和河段范围内投资建设旅游和生产经营项目自然保护区的内部未分区的，依照核心区和缓冲区的规定管控。</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不涉及自然保护区、缓冲区的岸线和河道范围。</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4</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禁止违反风景名胜区规划，在风景名胜区内设立各类开发区在风景名胜区核心景区的岸线和河段范围内建设宾馆招待所训中心、疗养院以及与风景名胜资源保护无关的项目。</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项目建设不涉及风景名胜区。</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5</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禁止在饮用水水源准保护区的岸线和河段范围内新建扩建对水体污染严重的建设项目改建增加排污量的建设项目。</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项目建设不涉及饮用水源准保护区的岸线和河段，项目污染物均得到有效处置，不外排。</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6</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饮用水水源二级保护区的岸线和河段范围内除遵守准保护区规定外禁止新建、改建、扩建排放污染物的投资建设项目禁止从事对水体有污染的水产养殖等活动。</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本项目建设不涉及饮用水源二级保护区，项目污染物均得到有效处置，现场不外排。</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7</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饮用水水源一级保护区的岸线和河段范围内，除遵守二级保护区规定外禁止新建、改建、扩建与供水设施和保护水源无关的项目，以及网箱养殖、畜禽养殖、旅游等可能污染饮用水水体的投资建设项目</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项目不涉及饮用水水源一级保护区的岸线和河段范围，项目不涉及养殖类项目。</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8</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禁止在水产种质资源保护区岸线和河段范围内新建围湖造田、围湖造地或挖沙采石等投资建设项目</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本项目不属于上述项目。</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9</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国家湿地公园的岸线和河段范围内开（围）垦、填埋或者排干湿地，截断湿地水源，挖沙、采矿，倾倒有毒有害物质、废弃物、垃圾，从事房地产、度假村、高尔夫球场、风力发电、光伏发电等任何不符合主体功能定位的建设项目和开发活动，破坏野生动物栖息地和迁徙通道、鱼类回游通道</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本项目建设不涉及国家湿地公园的岸线和河道范围，且不属于上述项目。</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10</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违法利用、占用长江流域河湖岸线禁止在《长江岸线保护和开发利用总体规划》划定的岸线保护区和岸线保留区内投资建设除事关公共安全及公众利益的防洪护岸、河道治理、供水、生态环境保护、航道整治、国家重要基础设施以外的项目</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本项目建设不涉及长江流域河湖岸线。</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11</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禁止在《全国重要江河湖泊水功能区划》划定的河段及湖泊保护区、保留区内投资建设不利于水资源及自然生态保护的项目</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本项目建设不涉及《全国重要江河湖泊水功能区划》划定的河段及湖泊保护区、保留区。</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12</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禁止在长江流域江河、湖泊新设、改设或者扩大排污口经有管辖权的生态环境主管部门或者长江流域生态环境监督管理机构同意的除外</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本项目建设不涉及新增、改设、扩大排污口，产生污染物均得到有效处置，现场不外排。</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13</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禁止在长江干流、大渡河、峨江、赤水河、沱江、嘉陵江、乌江、汉江和51个（四川省45个、重庆市6个）水生生物保护区开展生产性捕捞</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本项目不涉及捕捞</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14</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禁止在长江干支流、重要湖泊岸线一公里范围内新建、扩建化工园区和化工项目</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本项目不属于化工项目。</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15</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禁止在长江干流岸线一公里范围内和重要支流岸线一公里范围内新建、改建扩建尾矿库、冶炼渣库、磷石膏库，以提升安全、生态环境保护水平为目的的改建除外</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本项目不属于尾矿库冶炼渣库、磷石膏库。</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16</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禁止在生态保护红线区域、永久基本农田集中区域和其他需要特别保护的区域内选址建设尾矿库、冶炼渣库、磷石膏库</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本项目不属于尾矿库、冶炼渣库、磷石膏库。</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17</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禁止在合规园区外新建、扩建钢铁、石化、化</w:t>
                  </w:r>
                </w:p>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工、焦化、建材、有色、制浆造纸等高污染项目。</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本项目不属于上述项目。</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18</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新建、扩建法律法规和相关政策明令禁止的落后产能项目对《产业结构调整指导目录》中淘汰类项目，禁止投资限制类的新建项目，禁止投资，对属于限制类的现有生产能力，允许企业在一定期限内采取措施改造升级。</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本项目不属于落后产能项目及淘汰类项目。</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19</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禁止新建、扩建不符合国家产能置换要求的严重过剩产能行业的项目对于不符合国家产能置换要求的严重过剩产能行业，不得以其他任何名义任何方式备案新增产能项目。</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本项目不属于过剩产能行业的项目。</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20</w:t>
                  </w:r>
                </w:p>
              </w:tc>
              <w:tc>
                <w:tcPr>
                  <w:tcW w:w="4284"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建设以燃油汽车投资项目（不在中国境内销售产品的投资项目除外）1、新建独立燃油汽车企业；2、现有汽车企业跨乘用车、商用车类别建设燃油汽车生产能力；3、外省现有燃油汽车企业整体搬迁至本省列入国家级区域发展规划或不改变企业股权结构的项目除外）；4、对行业管理部门特别公示的燃油汽车企业进行投资（企业原有股东投资或将该企业转为非独立法人的投资项目除外）。</w:t>
                  </w:r>
                </w:p>
              </w:tc>
              <w:tc>
                <w:tcPr>
                  <w:tcW w:w="1809" w:type="dxa"/>
                  <w:tcBorders>
                    <w:top w:val="single" w:color="auto" w:sz="6" w:space="0"/>
                    <w:left w:val="single" w:color="auto" w:sz="6" w:space="0"/>
                    <w:bottom w:val="single" w:color="auto" w:sz="6"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本项目不属于燃油车项目。</w:t>
                  </w:r>
                </w:p>
              </w:tc>
              <w:tc>
                <w:tcPr>
                  <w:tcW w:w="855" w:type="dxa"/>
                  <w:tcBorders>
                    <w:top w:val="single" w:color="auto" w:sz="6" w:space="0"/>
                    <w:left w:val="single" w:color="auto" w:sz="6" w:space="0"/>
                    <w:bottom w:val="single" w:color="auto" w:sz="6"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533" w:type="dxa"/>
                  <w:tcBorders>
                    <w:top w:val="single" w:color="auto" w:sz="6" w:space="0"/>
                    <w:left w:val="single" w:color="auto" w:sz="12" w:space="0"/>
                    <w:bottom w:val="single" w:color="auto" w:sz="12"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21</w:t>
                  </w:r>
                </w:p>
              </w:tc>
              <w:tc>
                <w:tcPr>
                  <w:tcW w:w="4284" w:type="dxa"/>
                  <w:tcBorders>
                    <w:top w:val="single" w:color="auto" w:sz="6" w:space="0"/>
                    <w:left w:val="single" w:color="auto" w:sz="6" w:space="0"/>
                    <w:bottom w:val="single" w:color="auto" w:sz="12"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禁止新建扩建不符合要求的高耗能、高排放、低水平项目</w:t>
                  </w:r>
                </w:p>
              </w:tc>
              <w:tc>
                <w:tcPr>
                  <w:tcW w:w="1809" w:type="dxa"/>
                  <w:tcBorders>
                    <w:top w:val="single" w:color="auto" w:sz="6" w:space="0"/>
                    <w:left w:val="single" w:color="auto" w:sz="6" w:space="0"/>
                    <w:bottom w:val="single" w:color="auto" w:sz="12" w:space="0"/>
                    <w:right w:val="single" w:color="auto" w:sz="6"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本项目不属于高耗能、高排放、低水平项目。</w:t>
                  </w:r>
                </w:p>
              </w:tc>
              <w:tc>
                <w:tcPr>
                  <w:tcW w:w="855" w:type="dxa"/>
                  <w:tcBorders>
                    <w:top w:val="single" w:color="auto" w:sz="6" w:space="0"/>
                    <w:left w:val="single" w:color="auto" w:sz="6" w:space="0"/>
                    <w:bottom w:val="single" w:color="auto" w:sz="12"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符合</w:t>
                  </w:r>
                </w:p>
              </w:tc>
            </w:tr>
          </w:tbl>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32"/>
              </w:rPr>
            </w:pPr>
            <w:r>
              <w:rPr>
                <w:rFonts w:hint="default" w:ascii="Times New Roman" w:hAnsi="Times New Roman" w:cs="Times New Roman"/>
                <w:color w:val="auto"/>
                <w:sz w:val="24"/>
                <w:szCs w:val="32"/>
              </w:rPr>
              <w:t>综上所述，本项目为陆地矿产资源地质勘查（油气资源勘探），天然气属于国家重大战略资源，项目建设符合《四川省、重庆市长江经济带发展负面清单实施细则（试行，2022年版）》（川长江办〔2022〕17号）中的政策要求。</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rPr>
            </w:pPr>
            <w:r>
              <w:rPr>
                <w:rFonts w:hint="default" w:ascii="Times New Roman" w:hAnsi="Times New Roman" w:cs="Times New Roman"/>
                <w:b/>
                <w:color w:val="auto"/>
              </w:rPr>
              <w:t>与《关于进一步加强石油天然气行业环境影响评价管理的通知》的符合性</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（1）与深化项目环评“放管服”改革符合性</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根据生态环境部印发《关于进一步加强石油天然气行业环境影响评价管理的通知》（环办环评函〔2019〕910号）（以下简称《通知》）及生态环境部环境影响评价与排放管理司有关负责人就《通知》出台的背景、编制思路、环评管理要求等作出的回答，对于区块的属性，可结合实际情况判断是新区块还是老区块，老区块一般指此前已开展过环评、又进行滚动开发、加密打井维持产量的区块。</w:t>
            </w:r>
            <w:r>
              <w:rPr>
                <w:rFonts w:hint="eastAsia" w:cs="Times New Roman"/>
                <w:color w:val="auto"/>
                <w:sz w:val="24"/>
                <w:lang w:eastAsia="zh-CN"/>
              </w:rPr>
              <w:t>普陆12HF井</w:t>
            </w:r>
            <w:r>
              <w:rPr>
                <w:rFonts w:hint="default" w:ascii="Times New Roman" w:hAnsi="Times New Roman" w:cs="Times New Roman"/>
                <w:color w:val="auto"/>
                <w:sz w:val="24"/>
              </w:rPr>
              <w:t>是为确定该区域天然气产能而开展的勘探工作，不涉及滚动开发、不属于加密打井维持产量的情况。根据《关于进一步加强石油天然气行业环境影响评价管理的通知》（环办环评函〔2019〕910号）精神“未确定产能建设规模的陆地油气开采新区块，建设勘探井应当依法编制环境影响报告表”。</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（2）强化生态环境保护措施符合性</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项目与生态环境保护措施符合性如下表所示。</w:t>
            </w: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b/>
                <w:color w:val="auto"/>
                <w:sz w:val="24"/>
              </w:rPr>
            </w:pPr>
            <w:r>
              <w:rPr>
                <w:rFonts w:hint="default" w:ascii="Times New Roman" w:hAnsi="Times New Roman" w:cs="Times New Roman"/>
                <w:b/>
                <w:color w:val="auto"/>
                <w:sz w:val="24"/>
              </w:rPr>
              <w:t>表1-7 与《关于进一步加强石油天然气行业环境影响评价管理的通知》中强化生态环境保护措施对比分析表</w:t>
            </w:r>
          </w:p>
          <w:tbl>
            <w:tblPr>
              <w:tblStyle w:val="44"/>
              <w:tblW w:w="739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551"/>
              <w:gridCol w:w="4186"/>
              <w:gridCol w:w="2174"/>
              <w:gridCol w:w="48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824" w:hRule="atLeast"/>
                <w:jc w:val="center"/>
              </w:trPr>
              <w:tc>
                <w:tcPr>
                  <w:tcW w:w="551" w:type="dxa"/>
                  <w:tcBorders>
                    <w:top w:val="single" w:color="auto" w:sz="12" w:space="0"/>
                    <w:left w:val="single" w:color="auto" w:sz="12" w:space="0"/>
                    <w:bottom w:val="single" w:color="auto" w:sz="4" w:space="0"/>
                    <w:right w:val="single" w:color="auto" w:sz="4" w:space="0"/>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szCs w:val="21"/>
                    </w:rPr>
                    <w:t>序号</w:t>
                  </w:r>
                </w:p>
              </w:tc>
              <w:tc>
                <w:tcPr>
                  <w:tcW w:w="4186" w:type="dxa"/>
                  <w:tcBorders>
                    <w:top w:val="single" w:color="auto" w:sz="12" w:space="0"/>
                    <w:left w:val="single" w:color="auto" w:sz="4" w:space="0"/>
                    <w:bottom w:val="single" w:color="auto" w:sz="4" w:space="0"/>
                    <w:right w:val="single" w:color="auto" w:sz="4" w:space="0"/>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szCs w:val="21"/>
                    </w:rPr>
                    <w:t>技术政策要求</w:t>
                  </w:r>
                </w:p>
              </w:tc>
              <w:tc>
                <w:tcPr>
                  <w:tcW w:w="2174" w:type="dxa"/>
                  <w:tcBorders>
                    <w:top w:val="single" w:color="auto" w:sz="12" w:space="0"/>
                    <w:left w:val="single" w:color="auto" w:sz="4" w:space="0"/>
                    <w:bottom w:val="single" w:color="auto" w:sz="4" w:space="0"/>
                    <w:right w:val="single" w:color="auto" w:sz="4" w:space="0"/>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szCs w:val="21"/>
                    </w:rPr>
                    <w:t>本工程内容</w:t>
                  </w:r>
                </w:p>
              </w:tc>
              <w:tc>
                <w:tcPr>
                  <w:tcW w:w="487" w:type="dxa"/>
                  <w:tcBorders>
                    <w:top w:val="single" w:color="auto" w:sz="12" w:space="0"/>
                    <w:left w:val="single" w:color="auto" w:sz="4" w:space="0"/>
                    <w:bottom w:val="single" w:color="auto" w:sz="4" w:space="0"/>
                    <w:right w:val="single" w:color="auto" w:sz="12" w:space="0"/>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szCs w:val="21"/>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628" w:hRule="atLeast"/>
                <w:jc w:val="center"/>
              </w:trPr>
              <w:tc>
                <w:tcPr>
                  <w:tcW w:w="551" w:type="dxa"/>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1</w:t>
                  </w:r>
                </w:p>
              </w:tc>
              <w:tc>
                <w:tcPr>
                  <w:tcW w:w="4186"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涉及向地表水体排放污染物的陆地油气开采项目，应当符合国家和地方污染物排放标准，满足重点污染物排放总量控制要求。涉及污染物排放的海洋油气开发项目，应当符合《海洋石油勘探开发污染物排放浓度限值》（GB4914）等排放标准要求。</w:t>
                  </w:r>
                </w:p>
              </w:tc>
              <w:tc>
                <w:tcPr>
                  <w:tcW w:w="2174" w:type="dxa"/>
                  <w:tcBorders>
                    <w:top w:val="single" w:color="auto" w:sz="4" w:space="0"/>
                    <w:left w:val="single" w:color="auto" w:sz="4" w:space="0"/>
                    <w:bottom w:val="single" w:color="auto" w:sz="4" w:space="0"/>
                    <w:right w:val="single" w:color="auto" w:sz="4" w:space="0"/>
                    <w:tl2br w:val="nil"/>
                    <w:tr2bl w:val="nil"/>
                  </w:tcBorders>
                  <w:vAlign w:val="center"/>
                </w:tcPr>
                <w:p>
                  <w:pPr>
                    <w:pStyle w:val="26"/>
                    <w:keepNext w:val="0"/>
                    <w:keepLines w:val="0"/>
                    <w:suppressLineNumbers w:val="0"/>
                    <w:spacing w:before="0" w:beforeAutospacing="0" w:after="0" w:afterAutospacing="0" w:line="240" w:lineRule="auto"/>
                    <w:ind w:left="0" w:leftChars="0" w:right="0" w:rightChars="0"/>
                    <w:rPr>
                      <w:rFonts w:hint="default" w:ascii="Times New Roman" w:hAnsi="Times New Roman" w:cs="Times New Roman"/>
                      <w:color w:val="auto"/>
                      <w:sz w:val="21"/>
                      <w:szCs w:val="21"/>
                    </w:rPr>
                  </w:pPr>
                  <w:r>
                    <w:rPr>
                      <w:rFonts w:hint="default" w:ascii="Times New Roman" w:hAnsi="Times New Roman" w:cs="Times New Roman"/>
                      <w:color w:val="auto"/>
                      <w:kern w:val="0"/>
                      <w:sz w:val="21"/>
                      <w:szCs w:val="21"/>
                    </w:rPr>
                    <w:t>本项目钻井废水</w:t>
                  </w:r>
                  <w:r>
                    <w:rPr>
                      <w:rFonts w:hint="eastAsia" w:cs="Times New Roman"/>
                      <w:color w:val="auto"/>
                      <w:kern w:val="0"/>
                      <w:sz w:val="21"/>
                      <w:szCs w:val="21"/>
                      <w:lang w:val="en-US" w:eastAsia="zh-CN"/>
                    </w:rPr>
                    <w:t>不能回用时</w:t>
                  </w:r>
                  <w:r>
                    <w:rPr>
                      <w:rFonts w:hint="default" w:ascii="Times New Roman" w:hAnsi="Times New Roman" w:cs="Times New Roman"/>
                      <w:color w:val="auto"/>
                      <w:kern w:val="0"/>
                      <w:sz w:val="21"/>
                      <w:szCs w:val="21"/>
                    </w:rPr>
                    <w:t>由密闭罐车定期拉运至</w:t>
                  </w:r>
                  <w:r>
                    <w:rPr>
                      <w:rFonts w:hint="eastAsia" w:cs="Times New Roman"/>
                      <w:color w:val="auto"/>
                      <w:kern w:val="0"/>
                      <w:sz w:val="21"/>
                      <w:szCs w:val="21"/>
                      <w:lang w:eastAsia="zh-CN"/>
                    </w:rPr>
                    <w:t>赵家坝污水处理站</w:t>
                  </w:r>
                  <w:r>
                    <w:rPr>
                      <w:rFonts w:hint="default" w:ascii="Times New Roman" w:hAnsi="Times New Roman" w:cs="Times New Roman"/>
                      <w:color w:val="auto"/>
                      <w:kern w:val="0"/>
                      <w:sz w:val="21"/>
                      <w:szCs w:val="21"/>
                    </w:rPr>
                    <w:t>处理达标后</w:t>
                  </w:r>
                  <w:r>
                    <w:rPr>
                      <w:rFonts w:hint="eastAsia" w:cs="Times New Roman"/>
                      <w:color w:val="auto"/>
                      <w:kern w:val="0"/>
                      <w:sz w:val="21"/>
                      <w:szCs w:val="21"/>
                      <w:lang w:eastAsia="zh-CN"/>
                    </w:rPr>
                    <w:t>由罐车拉运至普光3井等回注站</w:t>
                  </w:r>
                  <w:r>
                    <w:rPr>
                      <w:rFonts w:hint="default" w:ascii="Times New Roman" w:hAnsi="Times New Roman" w:cs="Times New Roman"/>
                      <w:color w:val="auto"/>
                      <w:kern w:val="0"/>
                      <w:sz w:val="21"/>
                      <w:szCs w:val="21"/>
                    </w:rPr>
                    <w:t>回注。</w:t>
                  </w:r>
                </w:p>
              </w:tc>
              <w:tc>
                <w:tcPr>
                  <w:tcW w:w="487" w:type="dxa"/>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247" w:hRule="atLeast"/>
                <w:jc w:val="center"/>
              </w:trPr>
              <w:tc>
                <w:tcPr>
                  <w:tcW w:w="551" w:type="dxa"/>
                  <w:vMerge w:val="restart"/>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2</w:t>
                  </w:r>
                </w:p>
              </w:tc>
              <w:tc>
                <w:tcPr>
                  <w:tcW w:w="4186"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涉及废水回注的，应当论证回注的环境可行性，采取切实可行的地下水污染防治和监控措施，不得回注与油气开采无关的废水，严禁造成地下水污染。在相关行业污染控制标准发布前，回注的开采废水应当经处理并符合《碎屑岩油藏注水水质推荐指标及分析方法》（SY/T5329）等相关标准要求后回注，同步采取切实可行措施防治污染。回注目的层应当为地质构造封闭地层，一般应当回注到现役油气藏或枯竭废弃油气藏。相关部门及油气企业应当加强采出水等污水回注的研究，重点关注回注井井位合理性、过程控制有效性、风险防控系统性等，提出</w:t>
                  </w:r>
                </w:p>
              </w:tc>
              <w:tc>
                <w:tcPr>
                  <w:tcW w:w="2174" w:type="dxa"/>
                  <w:vMerge w:val="restart"/>
                  <w:tcBorders>
                    <w:top w:val="single" w:color="auto" w:sz="4" w:space="0"/>
                    <w:left w:val="single" w:color="auto" w:sz="4" w:space="0"/>
                    <w:bottom w:val="single" w:color="auto" w:sz="4" w:space="0"/>
                    <w:right w:val="single" w:color="auto" w:sz="4" w:space="0"/>
                    <w:tl2br w:val="nil"/>
                    <w:tr2bl w:val="nil"/>
                  </w:tcBorders>
                  <w:vAlign w:val="center"/>
                </w:tcPr>
                <w:p>
                  <w:pPr>
                    <w:pStyle w:val="26"/>
                    <w:keepNext w:val="0"/>
                    <w:keepLines w:val="0"/>
                    <w:suppressLineNumbers w:val="0"/>
                    <w:spacing w:before="0" w:beforeAutospacing="0" w:after="0" w:afterAutospacing="0" w:line="240" w:lineRule="auto"/>
                    <w:ind w:left="0" w:leftChars="0" w:right="0" w:rightChars="0"/>
                    <w:rPr>
                      <w:rFonts w:hint="default" w:ascii="Times New Roman" w:hAnsi="Times New Roman" w:cs="Times New Roman"/>
                      <w:color w:val="auto"/>
                      <w:kern w:val="0"/>
                      <w:sz w:val="21"/>
                      <w:szCs w:val="21"/>
                    </w:rPr>
                  </w:pPr>
                  <w:r>
                    <w:rPr>
                      <w:rFonts w:hint="default" w:ascii="Times New Roman" w:hAnsi="Times New Roman" w:cs="Times New Roman"/>
                      <w:color w:val="auto"/>
                      <w:kern w:val="0"/>
                      <w:sz w:val="21"/>
                      <w:szCs w:val="21"/>
                    </w:rPr>
                    <w:t>本项目属于气田的陆地矿产资源地质勘查（含油气资源勘探），本项目属于天然气勘探工程，不涉及天然气开采。钻井废水</w:t>
                  </w:r>
                  <w:r>
                    <w:rPr>
                      <w:rFonts w:hint="eastAsia" w:cs="Times New Roman"/>
                      <w:color w:val="auto"/>
                      <w:kern w:val="0"/>
                      <w:sz w:val="21"/>
                      <w:szCs w:val="21"/>
                      <w:lang w:val="en-US" w:eastAsia="zh-CN"/>
                    </w:rPr>
                    <w:t>不能回用时</w:t>
                  </w:r>
                  <w:r>
                    <w:rPr>
                      <w:rFonts w:hint="default" w:ascii="Times New Roman" w:hAnsi="Times New Roman" w:cs="Times New Roman"/>
                      <w:color w:val="auto"/>
                      <w:kern w:val="0"/>
                      <w:sz w:val="21"/>
                      <w:szCs w:val="21"/>
                    </w:rPr>
                    <w:t>由密闭罐车定期拉运至</w:t>
                  </w:r>
                  <w:r>
                    <w:rPr>
                      <w:rFonts w:hint="eastAsia" w:cs="Times New Roman"/>
                      <w:color w:val="auto"/>
                      <w:kern w:val="0"/>
                      <w:sz w:val="21"/>
                      <w:szCs w:val="21"/>
                      <w:lang w:eastAsia="zh-CN"/>
                    </w:rPr>
                    <w:t>赵家坝污水处理站</w:t>
                  </w:r>
                  <w:r>
                    <w:rPr>
                      <w:rFonts w:hint="default" w:ascii="Times New Roman" w:hAnsi="Times New Roman" w:cs="Times New Roman"/>
                      <w:color w:val="auto"/>
                      <w:kern w:val="0"/>
                      <w:sz w:val="21"/>
                      <w:szCs w:val="21"/>
                    </w:rPr>
                    <w:t>处理达标后</w:t>
                  </w:r>
                  <w:r>
                    <w:rPr>
                      <w:rFonts w:hint="default" w:ascii="Times New Roman" w:hAnsi="Times New Roman" w:cs="Times New Roman"/>
                      <w:color w:val="auto"/>
                      <w:kern w:val="0"/>
                      <w:sz w:val="21"/>
                      <w:szCs w:val="21"/>
                      <w:lang w:eastAsia="zh-CN"/>
                    </w:rPr>
                    <w:t>由罐车拉运至普光3井等回注站</w:t>
                  </w:r>
                  <w:r>
                    <w:rPr>
                      <w:rFonts w:hint="default" w:ascii="Times New Roman" w:hAnsi="Times New Roman" w:cs="Times New Roman"/>
                      <w:color w:val="auto"/>
                      <w:kern w:val="0"/>
                      <w:sz w:val="21"/>
                      <w:szCs w:val="21"/>
                    </w:rPr>
                    <w:t>回注；压裂废水暂存于</w:t>
                  </w:r>
                  <w:r>
                    <w:rPr>
                      <w:rFonts w:hint="default" w:ascii="Times New Roman" w:hAnsi="Times New Roman" w:cs="Times New Roman"/>
                      <w:color w:val="auto"/>
                      <w:kern w:val="0"/>
                      <w:sz w:val="21"/>
                      <w:szCs w:val="21"/>
                      <w:lang w:val="en-US" w:eastAsia="zh-CN"/>
                    </w:rPr>
                    <w:t>放喷池及清水池</w:t>
                  </w:r>
                  <w:r>
                    <w:rPr>
                      <w:rFonts w:hint="default" w:ascii="Times New Roman" w:hAnsi="Times New Roman" w:cs="Times New Roman"/>
                      <w:color w:val="auto"/>
                      <w:kern w:val="0"/>
                      <w:sz w:val="21"/>
                      <w:szCs w:val="21"/>
                    </w:rPr>
                    <w:t>，装车定期拉运至</w:t>
                  </w:r>
                  <w:r>
                    <w:rPr>
                      <w:rFonts w:hint="eastAsia" w:cs="Times New Roman"/>
                      <w:color w:val="auto"/>
                      <w:kern w:val="0"/>
                      <w:sz w:val="21"/>
                      <w:szCs w:val="21"/>
                      <w:lang w:eastAsia="zh-CN"/>
                    </w:rPr>
                    <w:t>赵家坝污水处理站</w:t>
                  </w:r>
                  <w:r>
                    <w:rPr>
                      <w:rFonts w:hint="default" w:ascii="Times New Roman" w:hAnsi="Times New Roman" w:cs="Times New Roman"/>
                      <w:color w:val="auto"/>
                      <w:kern w:val="0"/>
                      <w:sz w:val="21"/>
                      <w:szCs w:val="21"/>
                    </w:rPr>
                    <w:t>处理达标后</w:t>
                  </w:r>
                  <w:r>
                    <w:rPr>
                      <w:rFonts w:hint="eastAsia" w:cs="Times New Roman"/>
                      <w:color w:val="auto"/>
                      <w:kern w:val="0"/>
                      <w:sz w:val="21"/>
                      <w:szCs w:val="21"/>
                      <w:lang w:eastAsia="zh-CN"/>
                    </w:rPr>
                    <w:t>由罐车拉运至普光3井等回注站</w:t>
                  </w:r>
                  <w:r>
                    <w:rPr>
                      <w:rFonts w:hint="default" w:ascii="Times New Roman" w:hAnsi="Times New Roman" w:cs="Times New Roman"/>
                      <w:color w:val="auto"/>
                      <w:kern w:val="0"/>
                      <w:sz w:val="21"/>
                      <w:szCs w:val="21"/>
                    </w:rPr>
                    <w:t>回注。</w:t>
                  </w:r>
                </w:p>
              </w:tc>
              <w:tc>
                <w:tcPr>
                  <w:tcW w:w="487" w:type="dxa"/>
                  <w:vMerge w:val="restart"/>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092" w:hRule="atLeast"/>
                <w:jc w:val="center"/>
              </w:trPr>
              <w:tc>
                <w:tcPr>
                  <w:tcW w:w="551" w:type="dxa"/>
                  <w:vMerge w:val="continue"/>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p>
              </w:tc>
              <w:tc>
                <w:tcPr>
                  <w:tcW w:w="4186"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从源头到末端的全过程生态环境保护及风险防控措施、监控要求。建设项目环评文件中应当包含钻井液、压裂液中重金属等有毒有害物质的相关信息，涉及商业秘 密、技术秘 密等情形的除外。</w:t>
                  </w:r>
                </w:p>
              </w:tc>
              <w:tc>
                <w:tcPr>
                  <w:tcW w:w="2174" w:type="dxa"/>
                  <w:vMerge w:val="continue"/>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szCs w:val="21"/>
                    </w:rPr>
                  </w:pPr>
                </w:p>
              </w:tc>
              <w:tc>
                <w:tcPr>
                  <w:tcW w:w="487" w:type="dxa"/>
                  <w:vMerge w:val="continue"/>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247" w:hRule="atLeast"/>
                <w:jc w:val="center"/>
              </w:trPr>
              <w:tc>
                <w:tcPr>
                  <w:tcW w:w="551" w:type="dxa"/>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3</w:t>
                  </w:r>
                </w:p>
              </w:tc>
              <w:tc>
                <w:tcPr>
                  <w:tcW w:w="4186"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油气开采产生的废弃油基泥浆、含油钻屑及其他固体废物，应当遵循减量化、资源化、无害化原则，按照国家和地方有关固体废物的管理规定进行处置。鼓励企业自建含油污泥集中式处理和综合利用设施，提高废弃油基泥浆和含油钻屑及其处理产物的综合利用率。油气开采项目产生的危险废物，应当按照《建设项目危险废物环境影响评价指南》要求评价。相关部门及油气企业应当加强固体废物处置的研究，重点关注固体废物产生类型、主要污染因子及潜在环境影响，分别提出减量化的源头控制措施、资源化的利用路径、无害化的处理要求，促进固体废物合理利用和妥善处置。</w:t>
                  </w:r>
                </w:p>
              </w:tc>
              <w:tc>
                <w:tcPr>
                  <w:tcW w:w="2174"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auto"/>
                      <w:kern w:val="0"/>
                      <w:szCs w:val="21"/>
                      <w:lang w:val="en-US" w:eastAsia="zh-CN"/>
                    </w:rPr>
                  </w:pPr>
                  <w:r>
                    <w:rPr>
                      <w:rFonts w:hint="default" w:ascii="Times New Roman" w:hAnsi="Times New Roman" w:cs="Times New Roman"/>
                      <w:color w:val="auto"/>
                      <w:kern w:val="0"/>
                      <w:szCs w:val="21"/>
                    </w:rPr>
                    <w:t>本项目</w:t>
                  </w:r>
                  <w:r>
                    <w:rPr>
                      <w:rFonts w:hint="eastAsia" w:cs="Times New Roman"/>
                      <w:color w:val="auto"/>
                      <w:kern w:val="0"/>
                      <w:szCs w:val="21"/>
                      <w:lang w:val="en-US" w:eastAsia="zh-CN"/>
                    </w:rPr>
                    <w:t>一开</w:t>
                  </w:r>
                  <w:r>
                    <w:rPr>
                      <w:rFonts w:hint="default" w:ascii="Times New Roman" w:hAnsi="Times New Roman" w:cs="Times New Roman"/>
                      <w:color w:val="auto"/>
                      <w:kern w:val="0"/>
                      <w:szCs w:val="21"/>
                      <w:lang w:val="en-US" w:eastAsia="zh-CN"/>
                    </w:rPr>
                    <w:t>段采用</w:t>
                  </w:r>
                  <w:r>
                    <w:rPr>
                      <w:rFonts w:hint="default" w:ascii="Times New Roman" w:hAnsi="Times New Roman" w:cs="Times New Roman"/>
                      <w:color w:val="auto"/>
                      <w:kern w:val="0"/>
                      <w:szCs w:val="21"/>
                    </w:rPr>
                    <w:t>清水</w:t>
                  </w:r>
                  <w:r>
                    <w:rPr>
                      <w:rFonts w:hint="default" w:ascii="Times New Roman" w:hAnsi="Times New Roman" w:cs="Times New Roman"/>
                      <w:color w:val="auto"/>
                      <w:kern w:val="0"/>
                      <w:szCs w:val="21"/>
                      <w:lang w:val="en-US" w:eastAsia="zh-CN"/>
                    </w:rPr>
                    <w:t>井，二开段优先采用</w:t>
                  </w:r>
                  <w:r>
                    <w:rPr>
                      <w:rFonts w:hint="default" w:ascii="Times New Roman" w:hAnsi="Times New Roman" w:cs="Times New Roman"/>
                      <w:color w:val="auto"/>
                      <w:kern w:val="0"/>
                      <w:szCs w:val="21"/>
                    </w:rPr>
                    <w:t>气体钻</w:t>
                  </w:r>
                  <w:r>
                    <w:rPr>
                      <w:rFonts w:hint="default" w:ascii="Times New Roman" w:hAnsi="Times New Roman" w:cs="Times New Roman"/>
                      <w:color w:val="auto"/>
                      <w:kern w:val="0"/>
                      <w:szCs w:val="21"/>
                      <w:lang w:val="en-US" w:eastAsia="zh-CN"/>
                    </w:rPr>
                    <w:t>井，当不满足钻井要求时更换为</w:t>
                  </w:r>
                  <w:r>
                    <w:rPr>
                      <w:rFonts w:hint="default" w:ascii="Times New Roman" w:hAnsi="Times New Roman" w:cs="Times New Roman"/>
                      <w:color w:val="auto"/>
                      <w:kern w:val="0"/>
                      <w:szCs w:val="21"/>
                    </w:rPr>
                    <w:t>水基钻井</w:t>
                  </w:r>
                  <w:r>
                    <w:rPr>
                      <w:rFonts w:hint="default" w:ascii="Times New Roman" w:hAnsi="Times New Roman" w:cs="Times New Roman"/>
                      <w:color w:val="auto"/>
                      <w:kern w:val="0"/>
                      <w:szCs w:val="21"/>
                      <w:lang w:val="en-US" w:eastAsia="zh-CN"/>
                    </w:rPr>
                    <w:t>液</w:t>
                  </w:r>
                  <w:r>
                    <w:rPr>
                      <w:rFonts w:hint="default" w:ascii="Times New Roman" w:hAnsi="Times New Roman" w:cs="Times New Roman"/>
                      <w:color w:val="auto"/>
                      <w:kern w:val="0"/>
                      <w:szCs w:val="21"/>
                    </w:rPr>
                    <w:t>钻井，</w:t>
                  </w:r>
                  <w:r>
                    <w:rPr>
                      <w:rFonts w:hint="default" w:ascii="Times New Roman" w:hAnsi="Times New Roman" w:cs="Times New Roman"/>
                      <w:color w:val="auto"/>
                      <w:kern w:val="0"/>
                      <w:szCs w:val="21"/>
                      <w:lang w:val="en-US" w:eastAsia="zh-CN"/>
                    </w:rPr>
                    <w:t>三开采用水基钻井液钻井</w:t>
                  </w:r>
                  <w:r>
                    <w:rPr>
                      <w:rFonts w:hint="default" w:ascii="Times New Roman" w:hAnsi="Times New Roman" w:cs="Times New Roman"/>
                      <w:color w:val="auto"/>
                      <w:kern w:val="0"/>
                      <w:szCs w:val="21"/>
                    </w:rPr>
                    <w:t>，产生的固体废物均按照国家和地方有关固体废物的管理规定进行处置。</w:t>
                  </w:r>
                  <w:r>
                    <w:rPr>
                      <w:rFonts w:hint="eastAsia" w:cs="Times New Roman"/>
                      <w:color w:val="auto"/>
                      <w:kern w:val="0"/>
                      <w:szCs w:val="21"/>
                      <w:lang w:val="en-US" w:eastAsia="zh-CN"/>
                    </w:rPr>
                    <w:t>若三开更换为油基钻井液钻井，则产生的油基岩屑、废油基泥浆收集后交由有资质单位处置。</w:t>
                  </w:r>
                </w:p>
              </w:tc>
              <w:tc>
                <w:tcPr>
                  <w:tcW w:w="487" w:type="dxa"/>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5" w:hRule="atLeast"/>
                <w:jc w:val="center"/>
              </w:trPr>
              <w:tc>
                <w:tcPr>
                  <w:tcW w:w="551" w:type="dxa"/>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4</w:t>
                  </w:r>
                </w:p>
              </w:tc>
              <w:tc>
                <w:tcPr>
                  <w:tcW w:w="4186"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陆地油气开采项目的建设单位应当对挥发性有机物液体储存和装载损失、废水液面逸散、设备与管线组件泄漏、非正常工况等挥发性有机物无组织排放源进行有效管控，通过采取设备密闭、废气有效收集及配套高效末端处理设施等措施，有效控制挥发性有机物和恶臭气体无组织排放。涉及高含硫天然气开采的，应当强化钻井、输送、净化等环节环境风险防范措施。含硫气田回注采出水，应当采取有效措施减少废水处理站和回注井场硫化氢的无组织排放。高含硫天然气净化厂应当采用先进高效硫磺回收工艺，减少二氧化硫排放。井场加热炉、锅炉、压缩机等排放大气污染物的设备，应当优先使用清洁燃料，废气排放应当满足国家和地方大气污染物排放标准要求。</w:t>
                  </w:r>
                </w:p>
              </w:tc>
              <w:tc>
                <w:tcPr>
                  <w:tcW w:w="2174"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本井目的层不涉及挥发性有机物液体储存，同时加强钻井期间钻井、输送、净化等环节环境风险防范措施。</w:t>
                  </w:r>
                </w:p>
              </w:tc>
              <w:tc>
                <w:tcPr>
                  <w:tcW w:w="487" w:type="dxa"/>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707" w:hRule="atLeast"/>
                <w:jc w:val="center"/>
              </w:trPr>
              <w:tc>
                <w:tcPr>
                  <w:tcW w:w="551" w:type="dxa"/>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5</w:t>
                  </w:r>
                </w:p>
              </w:tc>
              <w:tc>
                <w:tcPr>
                  <w:tcW w:w="4186"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施工期应当尽量减少施工占地、缩短施工时间、选择合理施工方式、落实环境敏感区管控要求以及其他生态环境保护措施，降低生态环境影响。钻井和压裂设备应当优先使用网电、高标准清洁燃油，减少废气排放。选用低噪声设备，避免噪声扰民。施工结束后，应当及时落实环评提出的生态保护措施。</w:t>
                  </w:r>
                </w:p>
              </w:tc>
              <w:tc>
                <w:tcPr>
                  <w:tcW w:w="2174"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本项目钻井过程优先使用网电进行钻井，压裂设备动力来源于柴油发电机，使用优质柴油，废气满足排放标准。选用低噪声设备，避免噪声扰民。施工结束后，及时落实环评提出的生态保护措施。</w:t>
                  </w:r>
                </w:p>
              </w:tc>
              <w:tc>
                <w:tcPr>
                  <w:tcW w:w="487" w:type="dxa"/>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628" w:hRule="atLeast"/>
                <w:jc w:val="center"/>
              </w:trPr>
              <w:tc>
                <w:tcPr>
                  <w:tcW w:w="551" w:type="dxa"/>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6</w:t>
                  </w:r>
                </w:p>
              </w:tc>
              <w:tc>
                <w:tcPr>
                  <w:tcW w:w="4186"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陆地油气长输管道项目，原则上应当单独编制环评文件。油气长输管道及油气田内部集输管道应当优先避让环境敏感区，并从穿越位置、穿越方式、施工场地设置、管线工艺设计、环境风险防范等方面进行深入论证。高度关注项目安全事故带来的环境风险，尽量远离沿线居民。</w:t>
                  </w:r>
                </w:p>
              </w:tc>
              <w:tc>
                <w:tcPr>
                  <w:tcW w:w="2174"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本项目属于气田的陆地矿产资源地质勘查（含油气资源勘探），暂不涉及油气长输管道。</w:t>
                  </w:r>
                </w:p>
              </w:tc>
              <w:tc>
                <w:tcPr>
                  <w:tcW w:w="487" w:type="dxa"/>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628" w:hRule="atLeast"/>
                <w:jc w:val="center"/>
              </w:trPr>
              <w:tc>
                <w:tcPr>
                  <w:tcW w:w="551" w:type="dxa"/>
                  <w:tcBorders>
                    <w:top w:val="single" w:color="auto" w:sz="4" w:space="0"/>
                    <w:left w:val="single" w:color="auto" w:sz="12"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7</w:t>
                  </w:r>
                </w:p>
              </w:tc>
              <w:tc>
                <w:tcPr>
                  <w:tcW w:w="4186"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油气储存项目，选址尽量远离环境敏感区。加强甲烷及挥发性有机物的泄漏检测，落实地下水污染防治和跟踪监测要求，采取有效措施做好环境风险防范与环境应急管理；盐穴储气库项目还应当严格落实采卤造腔期和管道施工期的生态环境保护措施，妥善处理采出水。</w:t>
                  </w:r>
                </w:p>
              </w:tc>
              <w:tc>
                <w:tcPr>
                  <w:tcW w:w="2174" w:type="dxa"/>
                  <w:tcBorders>
                    <w:top w:val="single" w:color="auto" w:sz="4" w:space="0"/>
                    <w:left w:val="single" w:color="auto" w:sz="4" w:space="0"/>
                    <w:bottom w:val="single" w:color="auto" w:sz="4"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本项目属于气田的陆地矿产资源地质勘查（含油气资源勘探），不属于油气储存项目。</w:t>
                  </w:r>
                </w:p>
              </w:tc>
              <w:tc>
                <w:tcPr>
                  <w:tcW w:w="487" w:type="dxa"/>
                  <w:tcBorders>
                    <w:top w:val="single" w:color="auto" w:sz="4" w:space="0"/>
                    <w:left w:val="single" w:color="auto" w:sz="4" w:space="0"/>
                    <w:bottom w:val="single" w:color="auto" w:sz="4"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1647" w:hRule="atLeast"/>
                <w:jc w:val="center"/>
              </w:trPr>
              <w:tc>
                <w:tcPr>
                  <w:tcW w:w="551" w:type="dxa"/>
                  <w:tcBorders>
                    <w:top w:val="single" w:color="auto" w:sz="4" w:space="0"/>
                    <w:left w:val="single" w:color="auto" w:sz="12" w:space="0"/>
                    <w:bottom w:val="single" w:color="auto" w:sz="12"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8</w:t>
                  </w:r>
                </w:p>
              </w:tc>
              <w:tc>
                <w:tcPr>
                  <w:tcW w:w="4186" w:type="dxa"/>
                  <w:tcBorders>
                    <w:top w:val="single" w:color="auto" w:sz="4" w:space="0"/>
                    <w:left w:val="single" w:color="auto" w:sz="4" w:space="0"/>
                    <w:bottom w:val="single" w:color="auto" w:sz="12"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油气企业应当加强风险防控，按规定编制突发环境事件应急预案，报所在地生态环境主管部门备案。海洋油气勘探开发溢油应急计划报相关海域生态环境监督管理局备案。</w:t>
                  </w:r>
                </w:p>
              </w:tc>
              <w:tc>
                <w:tcPr>
                  <w:tcW w:w="2174" w:type="dxa"/>
                  <w:tcBorders>
                    <w:top w:val="single" w:color="auto" w:sz="4" w:space="0"/>
                    <w:left w:val="single" w:color="auto" w:sz="4" w:space="0"/>
                    <w:bottom w:val="single" w:color="auto" w:sz="12" w:space="0"/>
                    <w:right w:val="single" w:color="auto" w:sz="4" w:space="0"/>
                    <w:tl2br w:val="nil"/>
                    <w:tr2bl w:val="nil"/>
                  </w:tcBorders>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建设单位严格按照相关要求编制突发环境事件应急预案，并报所在地生态环境主管部门备案。</w:t>
                  </w:r>
                </w:p>
              </w:tc>
              <w:tc>
                <w:tcPr>
                  <w:tcW w:w="487" w:type="dxa"/>
                  <w:tcBorders>
                    <w:top w:val="single" w:color="auto" w:sz="4" w:space="0"/>
                    <w:left w:val="single" w:color="auto" w:sz="4" w:space="0"/>
                    <w:bottom w:val="single" w:color="auto" w:sz="12" w:space="0"/>
                    <w:right w:val="single" w:color="auto" w:sz="12" w:space="0"/>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符合</w:t>
                  </w:r>
                </w:p>
              </w:tc>
            </w:tr>
          </w:tbl>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cs="Times New Roman"/>
                <w:b/>
                <w:color w:val="auto"/>
              </w:rPr>
            </w:pPr>
            <w:r>
              <w:rPr>
                <w:rFonts w:hint="default" w:ascii="Times New Roman" w:hAnsi="Times New Roman" w:cs="Times New Roman"/>
                <w:b/>
                <w:color w:val="auto"/>
              </w:rPr>
              <w:t>《陆上石油天然气开采水基钻井废弃物处理处置及资源化利用技术规范》（SY/T 7466-2020）符合性分析</w:t>
            </w:r>
          </w:p>
          <w:p>
            <w:pPr>
              <w:pStyle w:val="345"/>
              <w:keepNext w:val="0"/>
              <w:keepLines w:val="0"/>
              <w:suppressLineNumbers w:val="0"/>
              <w:spacing w:before="0" w:beforeAutospacing="0" w:after="0" w:afterAutospacing="0"/>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本项目与《陆上石油天然气开采水基钻井废弃物处理处置及资源化利用技术规范》（SY/T 7466-2020）对比分析详见下表。</w:t>
            </w: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b/>
                <w:color w:val="auto"/>
                <w:sz w:val="24"/>
              </w:rPr>
            </w:pPr>
            <w:r>
              <w:rPr>
                <w:rFonts w:hint="default" w:ascii="Times New Roman" w:hAnsi="Times New Roman" w:cs="Times New Roman"/>
                <w:b/>
                <w:color w:val="auto"/>
                <w:sz w:val="24"/>
              </w:rPr>
              <w:t>表1-8 与《陆上石油天然气开采水基钻井废弃物处理处置及资源化利用技术规范》（SY/T 7466-2020）对比分析表（摘录）</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652"/>
              <w:gridCol w:w="3477"/>
              <w:gridCol w:w="2468"/>
              <w:gridCol w:w="84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98" w:hRule="atLeast"/>
                <w:jc w:val="center"/>
              </w:trPr>
              <w:tc>
                <w:tcPr>
                  <w:tcW w:w="652" w:type="dxa"/>
                  <w:tcBorders>
                    <w:top w:val="single" w:color="auto" w:sz="12" w:space="0"/>
                    <w:left w:val="single" w:color="auto" w:sz="12"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序号</w:t>
                  </w:r>
                </w:p>
              </w:tc>
              <w:tc>
                <w:tcPr>
                  <w:tcW w:w="3477" w:type="dxa"/>
                  <w:tcBorders>
                    <w:top w:val="single" w:color="auto" w:sz="12"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技术规范要求</w:t>
                  </w:r>
                </w:p>
              </w:tc>
              <w:tc>
                <w:tcPr>
                  <w:tcW w:w="2468" w:type="dxa"/>
                  <w:tcBorders>
                    <w:top w:val="single" w:color="auto" w:sz="12"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本工程内容</w:t>
                  </w:r>
                </w:p>
              </w:tc>
              <w:tc>
                <w:tcPr>
                  <w:tcW w:w="841" w:type="dxa"/>
                  <w:tcBorders>
                    <w:top w:val="single" w:color="auto" w:sz="12" w:space="0"/>
                    <w:left w:val="single" w:color="auto" w:sz="4" w:space="0"/>
                    <w:bottom w:val="single" w:color="auto" w:sz="4"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652" w:type="dxa"/>
                  <w:tcBorders>
                    <w:top w:val="single" w:color="auto" w:sz="4" w:space="0"/>
                    <w:left w:val="single" w:color="auto" w:sz="12"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4</w:t>
                  </w:r>
                </w:p>
              </w:tc>
              <w:tc>
                <w:tcPr>
                  <w:tcW w:w="6786" w:type="dxa"/>
                  <w:gridSpan w:val="3"/>
                  <w:tcBorders>
                    <w:top w:val="single" w:color="auto" w:sz="4" w:space="0"/>
                    <w:left w:val="single" w:color="auto" w:sz="4" w:space="0"/>
                    <w:bottom w:val="single" w:color="auto" w:sz="4"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一般要求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83" w:hRule="atLeast"/>
                <w:jc w:val="center"/>
              </w:trPr>
              <w:tc>
                <w:tcPr>
                  <w:tcW w:w="652" w:type="dxa"/>
                  <w:tcBorders>
                    <w:top w:val="single" w:color="auto" w:sz="4" w:space="0"/>
                    <w:left w:val="single" w:color="auto" w:sz="12"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4.1</w:t>
                  </w:r>
                </w:p>
              </w:tc>
              <w:tc>
                <w:tcPr>
                  <w:tcW w:w="3477"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根据井位分布、井区地貌等条件确定随钻处理模式、集中建站处理模式或随钻一集中相结合模式，对水基钻井废弃物进行不落地收集、处理、处置。</w:t>
                  </w:r>
                </w:p>
              </w:tc>
              <w:tc>
                <w:tcPr>
                  <w:tcW w:w="2468"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本项目水基泥浆钻井作业阶段采用现场清洁化生产方案，在振动筛排砂口、离心机下方安装螺旋传送装置，与清洁生产区域的收集区相连，实行随钻处理，达到了“废弃物不落地”的目的。</w:t>
                  </w:r>
                </w:p>
              </w:tc>
              <w:tc>
                <w:tcPr>
                  <w:tcW w:w="841" w:type="dxa"/>
                  <w:tcBorders>
                    <w:top w:val="single" w:color="auto" w:sz="4" w:space="0"/>
                    <w:left w:val="single" w:color="auto" w:sz="4" w:space="0"/>
                    <w:bottom w:val="single" w:color="auto" w:sz="4"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83" w:hRule="atLeast"/>
                <w:jc w:val="center"/>
              </w:trPr>
              <w:tc>
                <w:tcPr>
                  <w:tcW w:w="652" w:type="dxa"/>
                  <w:tcBorders>
                    <w:top w:val="single" w:color="auto" w:sz="4" w:space="0"/>
                    <w:left w:val="single" w:color="auto" w:sz="12"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4.2</w:t>
                  </w:r>
                </w:p>
              </w:tc>
              <w:tc>
                <w:tcPr>
                  <w:tcW w:w="3477"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对收集的水基钻井废弃物采用固液分离以实现钻井废弃物减量化。水基钻井废弃物进行固液分离或无害化处理后，进一步资源化处理或安全处置。资源化处理符合6.1的要求。</w:t>
                  </w:r>
                </w:p>
              </w:tc>
              <w:tc>
                <w:tcPr>
                  <w:tcW w:w="2468"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本工程产生的水基岩屑、废水基泥浆选择振动筛、离心机等设备进行减量化处理，并拟做资源化利用。</w:t>
                  </w:r>
                </w:p>
              </w:tc>
              <w:tc>
                <w:tcPr>
                  <w:tcW w:w="841" w:type="dxa"/>
                  <w:tcBorders>
                    <w:top w:val="single" w:color="auto" w:sz="4" w:space="0"/>
                    <w:left w:val="single" w:color="auto" w:sz="4" w:space="0"/>
                    <w:bottom w:val="single" w:color="auto" w:sz="4"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652" w:type="dxa"/>
                  <w:tcBorders>
                    <w:top w:val="single" w:color="auto" w:sz="4" w:space="0"/>
                    <w:left w:val="single" w:color="auto" w:sz="12"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5.2</w:t>
                  </w:r>
                </w:p>
              </w:tc>
              <w:tc>
                <w:tcPr>
                  <w:tcW w:w="6786" w:type="dxa"/>
                  <w:gridSpan w:val="3"/>
                  <w:tcBorders>
                    <w:top w:val="single" w:color="auto" w:sz="4" w:space="0"/>
                    <w:left w:val="single" w:color="auto" w:sz="4" w:space="0"/>
                    <w:bottom w:val="single" w:color="auto" w:sz="4"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固液分离技术要求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652" w:type="dxa"/>
                  <w:tcBorders>
                    <w:top w:val="single" w:color="auto" w:sz="4" w:space="0"/>
                    <w:left w:val="single" w:color="auto" w:sz="12"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5.2.1</w:t>
                  </w:r>
                </w:p>
              </w:tc>
              <w:tc>
                <w:tcPr>
                  <w:tcW w:w="3477"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水基钻井废弃物根据其现场要求选择化-机械固液分离技术进行减量化处置</w:t>
                  </w:r>
                </w:p>
              </w:tc>
              <w:tc>
                <w:tcPr>
                  <w:tcW w:w="2468"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本工程产生的水基岩屑、废水基泥浆选择振动筛、离心机等设备进行减量化处理后资源化利用。</w:t>
                  </w:r>
                </w:p>
              </w:tc>
              <w:tc>
                <w:tcPr>
                  <w:tcW w:w="841" w:type="dxa"/>
                  <w:tcBorders>
                    <w:top w:val="single" w:color="auto" w:sz="4" w:space="0"/>
                    <w:left w:val="single" w:color="auto" w:sz="4" w:space="0"/>
                    <w:bottom w:val="single" w:color="auto" w:sz="4"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652" w:type="dxa"/>
                  <w:tcBorders>
                    <w:top w:val="single" w:color="auto" w:sz="4" w:space="0"/>
                    <w:left w:val="single" w:color="auto" w:sz="12"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p>
              </w:tc>
              <w:tc>
                <w:tcPr>
                  <w:tcW w:w="3477"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固液分离后产生的固体废物含水率宜不大于60%且不呈流动态。固液分离产生的固体废物应首先考虑资源化利用，资源化处理及其产品应符合6.1资源化技术要求。不能资源化利用的应进行安全处置，达到GB18599的要求</w:t>
                  </w:r>
                </w:p>
              </w:tc>
              <w:tc>
                <w:tcPr>
                  <w:tcW w:w="2468"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本工程产生的水基岩屑、废水基泥浆经固液分离至含水率小于60%后，外运资源化利用。</w:t>
                  </w:r>
                </w:p>
              </w:tc>
              <w:tc>
                <w:tcPr>
                  <w:tcW w:w="841" w:type="dxa"/>
                  <w:tcBorders>
                    <w:top w:val="single" w:color="auto" w:sz="4" w:space="0"/>
                    <w:left w:val="single" w:color="auto" w:sz="4" w:space="0"/>
                    <w:bottom w:val="single" w:color="auto" w:sz="4"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652" w:type="dxa"/>
                  <w:tcBorders>
                    <w:top w:val="single" w:color="auto" w:sz="4" w:space="0"/>
                    <w:left w:val="single" w:color="auto" w:sz="12"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6.1</w:t>
                  </w:r>
                </w:p>
              </w:tc>
              <w:tc>
                <w:tcPr>
                  <w:tcW w:w="6786" w:type="dxa"/>
                  <w:gridSpan w:val="3"/>
                  <w:tcBorders>
                    <w:top w:val="single" w:color="auto" w:sz="4" w:space="0"/>
                    <w:left w:val="single" w:color="auto" w:sz="4" w:space="0"/>
                    <w:bottom w:val="single" w:color="auto" w:sz="4"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液相资源化利用要求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652" w:type="dxa"/>
                  <w:tcBorders>
                    <w:top w:val="single" w:color="auto" w:sz="4" w:space="0"/>
                    <w:left w:val="single" w:color="auto" w:sz="12"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6.1.1</w:t>
                  </w:r>
                </w:p>
              </w:tc>
              <w:tc>
                <w:tcPr>
                  <w:tcW w:w="3477"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固液分离技术分离后的液相 相关指标达到井队钻井液配浆要求，宜首先考虑钻井液配浆。</w:t>
                  </w:r>
                </w:p>
              </w:tc>
              <w:tc>
                <w:tcPr>
                  <w:tcW w:w="2468"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本工程固液分离后的钻井废水</w:t>
                  </w:r>
                  <w:r>
                    <w:rPr>
                      <w:rFonts w:hint="default" w:ascii="Times New Roman" w:hAnsi="Times New Roman" w:cs="Times New Roman"/>
                      <w:color w:val="auto"/>
                      <w:sz w:val="21"/>
                      <w:szCs w:val="21"/>
                      <w:lang w:val="en-US" w:eastAsia="zh-CN"/>
                    </w:rPr>
                    <w:t>优先回用于钻井过程，不能回用时由密闭罐车定期拉运至</w:t>
                  </w:r>
                  <w:r>
                    <w:rPr>
                      <w:rFonts w:hint="eastAsia" w:cs="Times New Roman"/>
                      <w:color w:val="auto"/>
                      <w:sz w:val="21"/>
                      <w:szCs w:val="21"/>
                      <w:lang w:val="en-US" w:eastAsia="zh-CN"/>
                    </w:rPr>
                    <w:t>赵家坝污水处理站</w:t>
                  </w:r>
                  <w:r>
                    <w:rPr>
                      <w:rFonts w:hint="default" w:ascii="Times New Roman" w:hAnsi="Times New Roman" w:cs="Times New Roman"/>
                      <w:color w:val="auto"/>
                      <w:sz w:val="21"/>
                      <w:szCs w:val="21"/>
                      <w:lang w:val="en-US" w:eastAsia="zh-CN"/>
                    </w:rPr>
                    <w:t>处理达标后由罐车拉运至普光3井等回注站回注</w:t>
                  </w:r>
                  <w:r>
                    <w:rPr>
                      <w:rFonts w:hint="default" w:ascii="Times New Roman" w:hAnsi="Times New Roman" w:cs="Times New Roman"/>
                      <w:color w:val="auto"/>
                      <w:sz w:val="21"/>
                      <w:szCs w:val="21"/>
                    </w:rPr>
                    <w:t>。</w:t>
                  </w:r>
                </w:p>
              </w:tc>
              <w:tc>
                <w:tcPr>
                  <w:tcW w:w="841" w:type="dxa"/>
                  <w:tcBorders>
                    <w:top w:val="single" w:color="auto" w:sz="4" w:space="0"/>
                    <w:left w:val="single" w:color="auto" w:sz="4" w:space="0"/>
                    <w:bottom w:val="single" w:color="auto" w:sz="4"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652" w:type="dxa"/>
                  <w:tcBorders>
                    <w:top w:val="single" w:color="auto" w:sz="4" w:space="0"/>
                    <w:left w:val="single" w:color="auto" w:sz="12"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6.2</w:t>
                  </w:r>
                </w:p>
              </w:tc>
              <w:tc>
                <w:tcPr>
                  <w:tcW w:w="6786" w:type="dxa"/>
                  <w:gridSpan w:val="3"/>
                  <w:tcBorders>
                    <w:top w:val="single" w:color="auto" w:sz="4" w:space="0"/>
                    <w:left w:val="single" w:color="auto" w:sz="4" w:space="0"/>
                    <w:bottom w:val="single" w:color="auto" w:sz="4"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固相资源化利用要求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87" w:hRule="atLeast"/>
                <w:jc w:val="center"/>
              </w:trPr>
              <w:tc>
                <w:tcPr>
                  <w:tcW w:w="652" w:type="dxa"/>
                  <w:tcBorders>
                    <w:top w:val="single" w:color="auto" w:sz="4" w:space="0"/>
                    <w:left w:val="single" w:color="auto" w:sz="12"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6.2.1</w:t>
                  </w:r>
                </w:p>
              </w:tc>
              <w:tc>
                <w:tcPr>
                  <w:tcW w:w="3477"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清水钻井、空气钻或达到环保要求的水基钻井液产生的废弃物，宜物理固液分离后制备铺路基土用于铺垫井场，或作为免烧砖骨料等产品；聚合物钻井液废弃物、聚璜钻井液废弃物等其他体系的水基钻井废弃物，固液分离处理后无害化处理后宜制备免烧砖、免烧砌块、免烧陶粒、免烧砖等产品。</w:t>
                  </w:r>
                </w:p>
              </w:tc>
              <w:tc>
                <w:tcPr>
                  <w:tcW w:w="2468" w:type="dxa"/>
                  <w:tcBorders>
                    <w:top w:val="single" w:color="auto" w:sz="4" w:space="0"/>
                    <w:left w:val="single" w:color="auto" w:sz="4" w:space="0"/>
                    <w:bottom w:val="single" w:color="auto" w:sz="4"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本工程产生的水基岩屑、废水基泥浆外运资源化利用。</w:t>
                  </w:r>
                </w:p>
              </w:tc>
              <w:tc>
                <w:tcPr>
                  <w:tcW w:w="841" w:type="dxa"/>
                  <w:tcBorders>
                    <w:top w:val="single" w:color="auto" w:sz="4" w:space="0"/>
                    <w:left w:val="single" w:color="auto" w:sz="4" w:space="0"/>
                    <w:bottom w:val="single" w:color="auto" w:sz="4"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6" w:hRule="atLeast"/>
                <w:jc w:val="center"/>
              </w:trPr>
              <w:tc>
                <w:tcPr>
                  <w:tcW w:w="652" w:type="dxa"/>
                  <w:tcBorders>
                    <w:top w:val="single" w:color="auto" w:sz="4" w:space="0"/>
                    <w:left w:val="single" w:color="auto" w:sz="12" w:space="0"/>
                    <w:bottom w:val="single" w:color="auto" w:sz="12"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6.2.2</w:t>
                  </w:r>
                </w:p>
              </w:tc>
              <w:tc>
                <w:tcPr>
                  <w:tcW w:w="3477" w:type="dxa"/>
                  <w:tcBorders>
                    <w:top w:val="single" w:color="auto" w:sz="4" w:space="0"/>
                    <w:left w:val="single" w:color="auto" w:sz="4" w:space="0"/>
                    <w:bottom w:val="single" w:color="auto" w:sz="12"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水基钻井废弃物经固液分离后，可作为水泥窑协同处置的原料。</w:t>
                  </w:r>
                </w:p>
              </w:tc>
              <w:tc>
                <w:tcPr>
                  <w:tcW w:w="2468" w:type="dxa"/>
                  <w:tcBorders>
                    <w:top w:val="single" w:color="auto" w:sz="4" w:space="0"/>
                    <w:left w:val="single" w:color="auto" w:sz="4" w:space="0"/>
                    <w:bottom w:val="single" w:color="auto" w:sz="12" w:space="0"/>
                    <w:right w:val="single" w:color="auto" w:sz="4"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本工程产生的水基岩屑、废水基泥浆外运资源化利用。</w:t>
                  </w:r>
                </w:p>
              </w:tc>
              <w:tc>
                <w:tcPr>
                  <w:tcW w:w="841" w:type="dxa"/>
                  <w:tcBorders>
                    <w:top w:val="single" w:color="auto" w:sz="4" w:space="0"/>
                    <w:left w:val="single" w:color="auto" w:sz="4" w:space="0"/>
                    <w:bottom w:val="single" w:color="auto" w:sz="12" w:space="0"/>
                    <w:right w:val="single" w:color="auto" w:sz="12" w:space="0"/>
                    <w:tl2br w:val="nil"/>
                    <w:tr2bl w:val="nil"/>
                  </w:tcBorders>
                  <w:vAlign w:val="center"/>
                </w:tcPr>
                <w:p>
                  <w:pPr>
                    <w:pStyle w:val="345"/>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符合</w:t>
                  </w:r>
                </w:p>
              </w:tc>
            </w:tr>
          </w:tbl>
          <w:p>
            <w:pPr>
              <w:pStyle w:val="345"/>
              <w:keepNext w:val="0"/>
              <w:keepLines w:val="0"/>
              <w:suppressLineNumbers w:val="0"/>
              <w:spacing w:before="0" w:beforeAutospacing="0" w:after="0" w:afterAutospacing="0"/>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由上表可知，本项目建设符合《陆上石油天然气开采水基钻井废弃物处理处置及资源化利用技术规范》（SY/T 7466-2020）要求。</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eastAsia="宋体" w:cs="Times New Roman"/>
                <w:b/>
                <w:color w:val="auto"/>
              </w:rPr>
            </w:pPr>
            <w:r>
              <w:rPr>
                <w:rFonts w:hint="default" w:ascii="Times New Roman" w:hAnsi="Times New Roman" w:eastAsia="宋体" w:cs="Times New Roman"/>
                <w:b/>
                <w:color w:val="auto"/>
                <w:lang w:val="en-US" w:eastAsia="zh-CN"/>
              </w:rPr>
              <w:t>与</w:t>
            </w:r>
            <w:r>
              <w:rPr>
                <w:rFonts w:hint="default" w:ascii="Times New Roman" w:hAnsi="Times New Roman" w:eastAsia="宋体" w:cs="Times New Roman"/>
                <w:b/>
                <w:color w:val="auto"/>
              </w:rPr>
              <w:t>《四川省空气质量持续改善行动计划实施方案》</w:t>
            </w:r>
            <w:r>
              <w:rPr>
                <w:rFonts w:hint="default" w:ascii="Times New Roman" w:hAnsi="Times New Roman" w:eastAsia="宋体" w:cs="Times New Roman"/>
                <w:b/>
                <w:color w:val="auto"/>
                <w:lang w:eastAsia="zh-CN"/>
              </w:rPr>
              <w:t>（川府发〔2024〕15号）</w:t>
            </w:r>
            <w:r>
              <w:rPr>
                <w:rFonts w:hint="default" w:ascii="Times New Roman" w:hAnsi="Times New Roman" w:eastAsia="宋体" w:cs="Times New Roman"/>
                <w:b/>
                <w:color w:val="auto"/>
                <w:lang w:val="en-US" w:eastAsia="zh-CN"/>
              </w:rPr>
              <w:t>符合性分析</w:t>
            </w:r>
          </w:p>
          <w:p>
            <w:pPr>
              <w:pStyle w:val="345"/>
              <w:keepNext w:val="0"/>
              <w:keepLines w:val="0"/>
              <w:suppressLineNumbers w:val="0"/>
              <w:spacing w:before="0" w:beforeAutospacing="0" w:after="0" w:afterAutospacing="0"/>
              <w:ind w:left="0" w:right="0" w:firstLine="480"/>
              <w:rPr>
                <w:rFonts w:hint="default" w:ascii="Times New Roman" w:hAnsi="Times New Roman" w:cs="Times New Roman"/>
                <w:color w:val="auto"/>
                <w:szCs w:val="24"/>
                <w:lang w:eastAsia="zh-CN"/>
              </w:rPr>
            </w:pPr>
            <w:r>
              <w:rPr>
                <w:rFonts w:hint="default" w:ascii="Times New Roman" w:hAnsi="Times New Roman" w:cs="Times New Roman"/>
                <w:color w:val="auto"/>
                <w:szCs w:val="24"/>
                <w:lang w:val="en-US" w:eastAsia="zh-CN"/>
              </w:rPr>
              <w:t>根据</w:t>
            </w:r>
            <w:r>
              <w:rPr>
                <w:rFonts w:hint="default" w:ascii="Times New Roman" w:hAnsi="Times New Roman" w:cs="Times New Roman"/>
                <w:color w:val="auto"/>
                <w:szCs w:val="24"/>
              </w:rPr>
              <w:t>《四川省空气质量持续改善行动计划实施方案》</w:t>
            </w:r>
            <w:r>
              <w:rPr>
                <w:rFonts w:hint="default" w:ascii="Times New Roman" w:hAnsi="Times New Roman" w:cs="Times New Roman"/>
                <w:color w:val="auto"/>
                <w:szCs w:val="24"/>
                <w:lang w:eastAsia="zh-CN"/>
              </w:rPr>
              <w:t>（川府发〔2024〕15号）</w:t>
            </w:r>
            <w:r>
              <w:rPr>
                <w:rFonts w:hint="default" w:ascii="Times New Roman" w:hAnsi="Times New Roman" w:cs="Times New Roman"/>
                <w:color w:val="auto"/>
                <w:szCs w:val="24"/>
                <w:lang w:val="en-US" w:eastAsia="zh-CN"/>
              </w:rPr>
              <w:t>提出：</w:t>
            </w:r>
            <w:r>
              <w:rPr>
                <w:rFonts w:hint="eastAsia" w:cs="Times New Roman"/>
                <w:color w:val="auto"/>
                <w:szCs w:val="24"/>
                <w:lang w:val="en-US" w:eastAsia="zh-CN"/>
              </w:rPr>
              <w:t>（</w:t>
            </w:r>
            <w:r>
              <w:rPr>
                <w:rFonts w:hint="default" w:ascii="Times New Roman" w:hAnsi="Times New Roman" w:cs="Times New Roman"/>
                <w:color w:val="auto"/>
                <w:szCs w:val="24"/>
              </w:rPr>
              <w:t>六</w:t>
            </w:r>
            <w:r>
              <w:rPr>
                <w:rFonts w:hint="eastAsia" w:cs="Times New Roman"/>
                <w:color w:val="auto"/>
                <w:szCs w:val="24"/>
                <w:lang w:eastAsia="zh-CN"/>
              </w:rPr>
              <w:t>）</w:t>
            </w:r>
            <w:r>
              <w:rPr>
                <w:rFonts w:hint="default" w:ascii="Times New Roman" w:hAnsi="Times New Roman" w:cs="Times New Roman"/>
                <w:color w:val="auto"/>
                <w:szCs w:val="24"/>
              </w:rPr>
              <w:t>大力发展清洁能源</w:t>
            </w:r>
            <w:r>
              <w:rPr>
                <w:rFonts w:hint="default" w:ascii="Times New Roman" w:hAnsi="Times New Roman" w:cs="Times New Roman"/>
                <w:color w:val="auto"/>
                <w:szCs w:val="24"/>
                <w:lang w:eastAsia="zh-CN"/>
              </w:rPr>
              <w:t>。</w:t>
            </w:r>
            <w:r>
              <w:rPr>
                <w:rFonts w:hint="default" w:ascii="Times New Roman" w:hAnsi="Times New Roman" w:cs="Times New Roman"/>
                <w:color w:val="auto"/>
                <w:szCs w:val="24"/>
              </w:rPr>
              <w:t>持续加大非化石能源供给</w:t>
            </w:r>
            <w:r>
              <w:rPr>
                <w:rFonts w:hint="default" w:ascii="Times New Roman" w:hAnsi="Times New Roman" w:cs="Times New Roman"/>
                <w:color w:val="auto"/>
                <w:szCs w:val="24"/>
                <w:lang w:eastAsia="zh-CN"/>
              </w:rPr>
              <w:t>，</w:t>
            </w:r>
            <w:r>
              <w:rPr>
                <w:rFonts w:hint="default" w:ascii="Times New Roman" w:hAnsi="Times New Roman" w:cs="Times New Roman"/>
                <w:color w:val="auto"/>
                <w:szCs w:val="24"/>
              </w:rPr>
              <w:t>促进水风光氢天然气等多能互补发展</w:t>
            </w:r>
            <w:r>
              <w:rPr>
                <w:rFonts w:hint="default" w:ascii="Times New Roman" w:hAnsi="Times New Roman" w:cs="Times New Roman"/>
                <w:color w:val="auto"/>
                <w:szCs w:val="24"/>
                <w:lang w:eastAsia="zh-CN"/>
              </w:rPr>
              <w:t>。</w:t>
            </w:r>
            <w:r>
              <w:rPr>
                <w:rFonts w:hint="default" w:ascii="Times New Roman" w:hAnsi="Times New Roman" w:cs="Times New Roman"/>
                <w:color w:val="auto"/>
                <w:szCs w:val="24"/>
              </w:rPr>
              <w:t>加快推进工业、农业、建筑、交通、生活服务５大领域电能替代</w:t>
            </w:r>
            <w:r>
              <w:rPr>
                <w:rFonts w:hint="default" w:ascii="Times New Roman" w:hAnsi="Times New Roman" w:cs="Times New Roman"/>
                <w:color w:val="auto"/>
                <w:szCs w:val="24"/>
                <w:lang w:eastAsia="zh-CN"/>
              </w:rPr>
              <w:t>。</w:t>
            </w:r>
            <w:r>
              <w:rPr>
                <w:rFonts w:hint="default" w:ascii="Times New Roman" w:hAnsi="Times New Roman" w:cs="Times New Roman"/>
                <w:color w:val="auto"/>
                <w:szCs w:val="24"/>
              </w:rPr>
              <w:t>到</w:t>
            </w:r>
            <w:r>
              <w:rPr>
                <w:rFonts w:hint="default" w:ascii="Times New Roman" w:hAnsi="Times New Roman" w:cs="Times New Roman"/>
                <w:color w:val="auto"/>
                <w:szCs w:val="24"/>
                <w:lang w:val="en-US" w:eastAsia="zh-CN"/>
              </w:rPr>
              <w:t>2025</w:t>
            </w:r>
            <w:r>
              <w:rPr>
                <w:rFonts w:hint="default" w:ascii="Times New Roman" w:hAnsi="Times New Roman" w:cs="Times New Roman"/>
                <w:color w:val="auto"/>
                <w:szCs w:val="24"/>
              </w:rPr>
              <w:t>年</w:t>
            </w:r>
            <w:r>
              <w:rPr>
                <w:rFonts w:hint="default" w:ascii="Times New Roman" w:hAnsi="Times New Roman" w:cs="Times New Roman"/>
                <w:color w:val="auto"/>
                <w:szCs w:val="24"/>
                <w:lang w:eastAsia="zh-CN"/>
              </w:rPr>
              <w:t>，</w:t>
            </w:r>
            <w:r>
              <w:rPr>
                <w:rFonts w:hint="default" w:ascii="Times New Roman" w:hAnsi="Times New Roman" w:cs="Times New Roman"/>
                <w:color w:val="auto"/>
                <w:szCs w:val="24"/>
              </w:rPr>
              <w:t>全省非化石能源电力装机比重达</w:t>
            </w:r>
            <w:r>
              <w:rPr>
                <w:rFonts w:hint="default" w:ascii="Times New Roman" w:hAnsi="Times New Roman" w:cs="Times New Roman"/>
                <w:color w:val="auto"/>
                <w:szCs w:val="24"/>
                <w:lang w:val="en-US" w:eastAsia="zh-CN"/>
              </w:rPr>
              <w:t>83.3</w:t>
            </w:r>
            <w:r>
              <w:rPr>
                <w:rFonts w:hint="default" w:ascii="Times New Roman" w:hAnsi="Times New Roman" w:cs="Times New Roman"/>
                <w:color w:val="auto"/>
                <w:szCs w:val="24"/>
              </w:rPr>
              <w:t>％</w:t>
            </w:r>
            <w:r>
              <w:rPr>
                <w:rFonts w:hint="default" w:ascii="Times New Roman" w:hAnsi="Times New Roman" w:cs="Times New Roman"/>
                <w:color w:val="auto"/>
                <w:szCs w:val="24"/>
                <w:lang w:eastAsia="zh-CN"/>
              </w:rPr>
              <w:t>，</w:t>
            </w:r>
            <w:r>
              <w:rPr>
                <w:rFonts w:hint="default" w:ascii="Times New Roman" w:hAnsi="Times New Roman" w:cs="Times New Roman"/>
                <w:color w:val="auto"/>
                <w:szCs w:val="24"/>
              </w:rPr>
              <w:t>非化石能源消费比重达</w:t>
            </w:r>
            <w:r>
              <w:rPr>
                <w:rFonts w:hint="default" w:ascii="Times New Roman" w:hAnsi="Times New Roman" w:cs="Times New Roman"/>
                <w:color w:val="auto"/>
                <w:szCs w:val="24"/>
                <w:lang w:val="en-US" w:eastAsia="zh-CN"/>
              </w:rPr>
              <w:t>41.5</w:t>
            </w:r>
            <w:r>
              <w:rPr>
                <w:rFonts w:hint="default" w:ascii="Times New Roman" w:hAnsi="Times New Roman" w:cs="Times New Roman"/>
                <w:color w:val="auto"/>
                <w:szCs w:val="24"/>
              </w:rPr>
              <w:t>％左右</w:t>
            </w:r>
            <w:r>
              <w:rPr>
                <w:rFonts w:hint="default" w:ascii="Times New Roman" w:hAnsi="Times New Roman" w:cs="Times New Roman"/>
                <w:color w:val="auto"/>
                <w:szCs w:val="24"/>
                <w:lang w:eastAsia="zh-CN"/>
              </w:rPr>
              <w:t>，</w:t>
            </w:r>
            <w:r>
              <w:rPr>
                <w:rFonts w:hint="default" w:ascii="Times New Roman" w:hAnsi="Times New Roman" w:cs="Times New Roman"/>
                <w:color w:val="auto"/>
                <w:szCs w:val="24"/>
              </w:rPr>
              <w:t>电能占终端能源消费比重达</w:t>
            </w:r>
            <w:r>
              <w:rPr>
                <w:rFonts w:hint="default" w:ascii="Times New Roman" w:hAnsi="Times New Roman" w:cs="Times New Roman"/>
                <w:color w:val="auto"/>
                <w:szCs w:val="24"/>
                <w:lang w:val="en-US" w:eastAsia="zh-CN"/>
              </w:rPr>
              <w:t>30</w:t>
            </w:r>
            <w:r>
              <w:rPr>
                <w:rFonts w:hint="default" w:ascii="Times New Roman" w:hAnsi="Times New Roman" w:cs="Times New Roman"/>
                <w:color w:val="auto"/>
                <w:szCs w:val="24"/>
              </w:rPr>
              <w:t>％左右</w:t>
            </w:r>
            <w:r>
              <w:rPr>
                <w:rFonts w:hint="default" w:ascii="Times New Roman" w:hAnsi="Times New Roman" w:cs="Times New Roman"/>
                <w:color w:val="auto"/>
                <w:szCs w:val="24"/>
                <w:lang w:eastAsia="zh-CN"/>
              </w:rPr>
              <w:t>。</w:t>
            </w:r>
            <w:r>
              <w:rPr>
                <w:rFonts w:hint="default" w:ascii="Times New Roman" w:hAnsi="Times New Roman" w:cs="Times New Roman"/>
                <w:color w:val="auto"/>
                <w:szCs w:val="24"/>
              </w:rPr>
              <w:t>持续增加天然气生产供应</w:t>
            </w:r>
            <w:r>
              <w:rPr>
                <w:rFonts w:hint="default" w:ascii="Times New Roman" w:hAnsi="Times New Roman" w:cs="Times New Roman"/>
                <w:color w:val="auto"/>
                <w:szCs w:val="24"/>
                <w:lang w:eastAsia="zh-CN"/>
              </w:rPr>
              <w:t>，</w:t>
            </w:r>
            <w:r>
              <w:rPr>
                <w:rFonts w:hint="default" w:ascii="Times New Roman" w:hAnsi="Times New Roman" w:cs="Times New Roman"/>
                <w:color w:val="auto"/>
                <w:szCs w:val="24"/>
              </w:rPr>
              <w:t>推进“国家天然气</w:t>
            </w:r>
            <w:r>
              <w:rPr>
                <w:rFonts w:hint="eastAsia" w:cs="Times New Roman"/>
                <w:color w:val="auto"/>
                <w:szCs w:val="24"/>
                <w:lang w:eastAsia="zh-CN"/>
              </w:rPr>
              <w:t>（</w:t>
            </w:r>
            <w:r>
              <w:rPr>
                <w:rFonts w:hint="default" w:ascii="Times New Roman" w:hAnsi="Times New Roman" w:cs="Times New Roman"/>
                <w:color w:val="auto"/>
                <w:szCs w:val="24"/>
              </w:rPr>
              <w:t>页岩气</w:t>
            </w:r>
            <w:r>
              <w:rPr>
                <w:rFonts w:hint="eastAsia" w:cs="Times New Roman"/>
                <w:color w:val="auto"/>
                <w:szCs w:val="24"/>
                <w:lang w:eastAsia="zh-CN"/>
              </w:rPr>
              <w:t>）</w:t>
            </w:r>
            <w:r>
              <w:rPr>
                <w:rFonts w:hint="default" w:ascii="Times New Roman" w:hAnsi="Times New Roman" w:cs="Times New Roman"/>
                <w:color w:val="auto"/>
                <w:szCs w:val="24"/>
              </w:rPr>
              <w:t>千亿立方米级产能基地”建设</w:t>
            </w:r>
            <w:r>
              <w:rPr>
                <w:rFonts w:hint="default" w:ascii="Times New Roman" w:hAnsi="Times New Roman" w:cs="Times New Roman"/>
                <w:color w:val="auto"/>
                <w:szCs w:val="24"/>
                <w:lang w:eastAsia="zh-CN"/>
              </w:rPr>
              <w:t>。</w:t>
            </w:r>
          </w:p>
          <w:p>
            <w:pPr>
              <w:pStyle w:val="345"/>
              <w:keepNext w:val="0"/>
              <w:keepLines w:val="0"/>
              <w:suppressLineNumbers w:val="0"/>
              <w:spacing w:before="0" w:beforeAutospacing="0" w:after="0" w:afterAutospacing="0"/>
              <w:ind w:left="0" w:right="0" w:firstLine="480"/>
              <w:rPr>
                <w:rFonts w:hint="default" w:ascii="Times New Roman" w:hAnsi="Times New Roman" w:cs="Times New Roman"/>
                <w:color w:val="auto"/>
                <w:szCs w:val="24"/>
                <w:lang w:val="en-US" w:eastAsia="zh-CN"/>
              </w:rPr>
            </w:pPr>
            <w:r>
              <w:rPr>
                <w:rFonts w:hint="default" w:ascii="Times New Roman" w:hAnsi="Times New Roman" w:cs="Times New Roman"/>
                <w:color w:val="auto"/>
                <w:szCs w:val="24"/>
                <w:lang w:val="en-US" w:eastAsia="zh-CN"/>
              </w:rPr>
              <w:t>项目属于陆地矿产资源地质勘查（含油气资源勘探），勘查对象为天然气，符合行动方案中提出促进天然气发展。</w:t>
            </w:r>
          </w:p>
          <w:p>
            <w:pPr>
              <w:pStyle w:val="38"/>
              <w:keepNext w:val="0"/>
              <w:keepLines w:val="0"/>
              <w:numPr>
                <w:ilvl w:val="1"/>
                <w:numId w:val="3"/>
              </w:numPr>
              <w:suppressLineNumbers w:val="0"/>
              <w:spacing w:before="0" w:beforeAutospacing="0" w:after="0" w:afterAutospacing="0" w:line="360" w:lineRule="auto"/>
              <w:ind w:left="0" w:right="0" w:firstLine="0"/>
              <w:rPr>
                <w:rFonts w:hint="default" w:ascii="Times New Roman" w:hAnsi="Times New Roman" w:eastAsia="宋体" w:cs="Times New Roman"/>
                <w:b/>
                <w:color w:val="auto"/>
                <w:lang w:val="en-US" w:eastAsia="zh-CN"/>
              </w:rPr>
            </w:pPr>
            <w:r>
              <w:rPr>
                <w:rFonts w:hint="default" w:ascii="Times New Roman" w:hAnsi="Times New Roman" w:eastAsia="宋体" w:cs="Times New Roman"/>
                <w:b/>
                <w:color w:val="auto"/>
                <w:lang w:val="en-US" w:eastAsia="zh-CN"/>
              </w:rPr>
              <w:t>与《四川省土壤污染防治条例》符合性分析</w:t>
            </w:r>
          </w:p>
          <w:p>
            <w:pPr>
              <w:pStyle w:val="345"/>
              <w:keepNext w:val="0"/>
              <w:keepLines w:val="0"/>
              <w:suppressLineNumbers w:val="0"/>
              <w:spacing w:before="0" w:beforeAutospacing="0" w:after="0" w:afterAutospacing="0"/>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lang w:val="en-US" w:eastAsia="zh-CN"/>
              </w:rPr>
              <w:t>根据《四川省土壤污染防治条例》提出：</w:t>
            </w:r>
            <w:r>
              <w:rPr>
                <w:rFonts w:hint="default" w:ascii="Times New Roman" w:hAnsi="Times New Roman" w:cs="Times New Roman"/>
                <w:color w:val="auto"/>
                <w:szCs w:val="24"/>
              </w:rPr>
              <w:t>页岩气勘探开发单位应当采用先进清洁生产技术，减少勘探、开采、封井、回注等环节中污染物的产生和排放；开展页岩气开发区域土壤及地表水、地下水污染状况监测，对产生的废弃钻井液、废水、岩屑、污油等污染物进行无害化处置和资源化利用，防止有毒有害物质污染土壤及地表水、地下水。</w:t>
            </w:r>
          </w:p>
          <w:p>
            <w:pPr>
              <w:pStyle w:val="345"/>
              <w:keepNext w:val="0"/>
              <w:keepLines w:val="0"/>
              <w:suppressLineNumbers w:val="0"/>
              <w:spacing w:before="0" w:beforeAutospacing="0" w:after="0" w:afterAutospacing="0"/>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lang w:val="en-US" w:eastAsia="zh-CN"/>
              </w:rPr>
              <w:t>项目实施过程中导管段采用清水钻井，一开段采用清水井，二开段优先采用气体钻井，当不满足钻井要求时更换为水基钻井液钻井，三开段采用水基钻井液钻井，若三开常规水基钻井液不能满足安全钻井要求，则更换为白油基钻井液体系，属于清洁生产技术。钻井过程中水基岩屑、水基泥浆经泥浆不落地平台收集，最终交由四川光隆环保科技有限公司等具备处理资质的单位进行处理，若产生油基泥浆、油基岩屑收集后交由有资质单位处置；钻井废水优先回用于钻井过程，不能回用时由罐车拉运至</w:t>
            </w:r>
            <w:r>
              <w:rPr>
                <w:rFonts w:hint="eastAsia" w:cs="Times New Roman"/>
                <w:color w:val="auto"/>
                <w:szCs w:val="24"/>
                <w:lang w:val="en-US" w:eastAsia="zh-CN"/>
              </w:rPr>
              <w:t>赵家坝污水处理站</w:t>
            </w:r>
            <w:r>
              <w:rPr>
                <w:rFonts w:hint="default" w:ascii="Times New Roman" w:hAnsi="Times New Roman" w:cs="Times New Roman"/>
                <w:color w:val="auto"/>
                <w:szCs w:val="24"/>
                <w:lang w:val="en-US" w:eastAsia="zh-CN"/>
              </w:rPr>
              <w:t>处理后运至普光3井等回注站回注处理；压裂返排液收集后由罐车拉运至</w:t>
            </w:r>
            <w:r>
              <w:rPr>
                <w:rFonts w:hint="eastAsia" w:cs="Times New Roman"/>
                <w:color w:val="auto"/>
                <w:szCs w:val="24"/>
                <w:lang w:val="en-US" w:eastAsia="zh-CN"/>
              </w:rPr>
              <w:t>赵家坝污水处理站</w:t>
            </w:r>
            <w:r>
              <w:rPr>
                <w:rFonts w:hint="default" w:ascii="Times New Roman" w:hAnsi="Times New Roman" w:cs="Times New Roman"/>
                <w:color w:val="auto"/>
                <w:szCs w:val="24"/>
                <w:lang w:val="en-US" w:eastAsia="zh-CN"/>
              </w:rPr>
              <w:t>处理后运至普光3井等回注站回注处理。以上污染物处理措施符合条例中提出对污染物进行无害化处置和资源化利用。因此项目的实施符合《四川省土壤污染防治条例》。</w:t>
            </w:r>
          </w:p>
        </w:tc>
      </w:tr>
    </w:tbl>
    <w:p>
      <w:pPr>
        <w:pStyle w:val="38"/>
        <w:jc w:val="center"/>
        <w:rPr>
          <w:rFonts w:hint="default" w:ascii="Times New Roman" w:hAnsi="Times New Roman" w:eastAsia="黑体" w:cs="Times New Roman"/>
          <w:snapToGrid w:val="0"/>
          <w:color w:val="auto"/>
          <w:sz w:val="21"/>
          <w:szCs w:val="21"/>
        </w:rPr>
      </w:pPr>
    </w:p>
    <w:p>
      <w:pPr>
        <w:pStyle w:val="38"/>
        <w:jc w:val="center"/>
        <w:rPr>
          <w:rFonts w:hint="default" w:ascii="Times New Roman" w:hAnsi="Times New Roman" w:eastAsia="黑体" w:cs="Times New Roman"/>
          <w:snapToGrid w:val="0"/>
          <w:color w:val="auto"/>
          <w:sz w:val="21"/>
          <w:szCs w:val="21"/>
        </w:rPr>
        <w:sectPr>
          <w:pgSz w:w="11906" w:h="16838"/>
          <w:pgMar w:top="1417" w:right="1417" w:bottom="1417" w:left="1701" w:header="851" w:footer="1077" w:gutter="0"/>
          <w:pgBorders>
            <w:top w:val="none" w:sz="0" w:space="0"/>
            <w:left w:val="none" w:sz="0" w:space="0"/>
            <w:bottom w:val="none" w:sz="0" w:space="0"/>
            <w:right w:val="none" w:sz="0" w:space="0"/>
          </w:pgBorders>
          <w:cols w:space="720" w:num="1"/>
          <w:docGrid w:linePitch="312" w:charSpace="0"/>
        </w:sectPr>
      </w:pPr>
    </w:p>
    <w:p>
      <w:pPr>
        <w:pStyle w:val="38"/>
        <w:jc w:val="center"/>
        <w:outlineLvl w:val="0"/>
        <w:rPr>
          <w:rFonts w:hint="default" w:ascii="Times New Roman" w:hAnsi="Times New Roman" w:eastAsia="黑体" w:cs="Times New Roman"/>
          <w:snapToGrid w:val="0"/>
          <w:color w:val="auto"/>
          <w:sz w:val="30"/>
          <w:szCs w:val="30"/>
        </w:rPr>
      </w:pPr>
      <w:r>
        <w:rPr>
          <w:rFonts w:hint="default" w:ascii="Times New Roman" w:hAnsi="Times New Roman" w:eastAsia="黑体" w:cs="Times New Roman"/>
          <w:snapToGrid w:val="0"/>
          <w:color w:val="auto"/>
          <w:sz w:val="30"/>
          <w:szCs w:val="30"/>
        </w:rPr>
        <w:t>二、建设内容</w:t>
      </w:r>
    </w:p>
    <w:tbl>
      <w:tblPr>
        <w:tblStyle w:val="44"/>
        <w:tblW w:w="878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770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97" w:hRule="atLeast"/>
          <w:jc w:val="center"/>
        </w:trPr>
        <w:tc>
          <w:tcPr>
            <w:tcW w:w="1124"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地理位置</w:t>
            </w:r>
          </w:p>
        </w:tc>
        <w:tc>
          <w:tcPr>
            <w:tcW w:w="8098" w:type="dxa"/>
            <w:vAlign w:val="center"/>
          </w:tcPr>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Cs w:val="21"/>
              </w:rPr>
            </w:pPr>
            <w:r>
              <w:rPr>
                <w:rFonts w:hint="default" w:ascii="Times New Roman" w:hAnsi="Times New Roman" w:cs="Times New Roman"/>
                <w:color w:val="auto"/>
                <w:kern w:val="0"/>
                <w:sz w:val="24"/>
              </w:rPr>
              <w:t>项目位</w:t>
            </w:r>
            <w:r>
              <w:rPr>
                <w:rFonts w:hint="eastAsia" w:cs="Times New Roman"/>
                <w:color w:val="auto"/>
                <w:kern w:val="0"/>
                <w:sz w:val="24"/>
                <w:lang w:eastAsia="zh-CN"/>
              </w:rPr>
              <w:t>于四川省达州市宣汉县普光镇双河社区石垭村</w:t>
            </w:r>
            <w:r>
              <w:rPr>
                <w:rFonts w:hint="default" w:ascii="Times New Roman" w:hAnsi="Times New Roman" w:cs="Times New Roman"/>
                <w:color w:val="auto"/>
                <w:kern w:val="0"/>
                <w:sz w:val="24"/>
              </w:rPr>
              <w:t>，距达州市区直线距离约</w:t>
            </w:r>
            <w:r>
              <w:rPr>
                <w:rFonts w:hint="eastAsia" w:cs="Times New Roman"/>
                <w:color w:val="auto"/>
                <w:kern w:val="0"/>
                <w:sz w:val="24"/>
                <w:lang w:val="en-US" w:eastAsia="zh-CN"/>
              </w:rPr>
              <w:t>31.4</w:t>
            </w:r>
            <w:r>
              <w:rPr>
                <w:rFonts w:hint="default" w:ascii="Times New Roman" w:hAnsi="Times New Roman" w:cs="Times New Roman"/>
                <w:color w:val="auto"/>
                <w:kern w:val="0"/>
                <w:sz w:val="24"/>
              </w:rPr>
              <w:t>km，距宣汉城区直线距离约</w:t>
            </w:r>
            <w:r>
              <w:rPr>
                <w:rFonts w:hint="eastAsia" w:cs="Times New Roman"/>
                <w:color w:val="auto"/>
                <w:kern w:val="0"/>
                <w:sz w:val="24"/>
                <w:lang w:val="en-US" w:eastAsia="zh-CN"/>
              </w:rPr>
              <w:t>16.4</w:t>
            </w:r>
            <w:r>
              <w:rPr>
                <w:rFonts w:hint="default" w:ascii="Times New Roman" w:hAnsi="Times New Roman" w:cs="Times New Roman"/>
                <w:color w:val="auto"/>
                <w:kern w:val="0"/>
                <w:sz w:val="24"/>
              </w:rPr>
              <w:t>km，项目所在地交通较为方便。项目地理位置示意图见附图1。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 w:hRule="atLeast"/>
          <w:jc w:val="center"/>
        </w:trPr>
        <w:tc>
          <w:tcPr>
            <w:tcW w:w="1124"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项目组成及规模</w:t>
            </w:r>
          </w:p>
        </w:tc>
        <w:tc>
          <w:tcPr>
            <w:tcW w:w="8098" w:type="dxa"/>
            <w:vAlign w:val="center"/>
          </w:tcPr>
          <w:p>
            <w:pPr>
              <w:pStyle w:val="38"/>
              <w:keepNext w:val="0"/>
              <w:keepLines w:val="0"/>
              <w:numPr>
                <w:ilvl w:val="1"/>
                <w:numId w:val="4"/>
              </w:numPr>
              <w:suppressLineNumbers w:val="0"/>
              <w:spacing w:before="0" w:beforeAutospacing="0" w:after="0" w:afterAutospacing="0" w:line="360" w:lineRule="auto"/>
              <w:ind w:right="0"/>
              <w:rPr>
                <w:rFonts w:hint="default" w:ascii="Times New Roman" w:hAnsi="Times New Roman" w:cs="Times New Roman"/>
                <w:b/>
                <w:color w:val="auto"/>
              </w:rPr>
            </w:pPr>
            <w:r>
              <w:rPr>
                <w:rFonts w:hint="default" w:ascii="Times New Roman" w:hAnsi="Times New Roman" w:cs="Times New Roman"/>
                <w:b/>
                <w:color w:val="auto"/>
              </w:rPr>
              <w:t>项目由来</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lang w:val="zh-CN"/>
              </w:rPr>
            </w:pPr>
            <w:r>
              <w:rPr>
                <w:rFonts w:hint="default" w:ascii="Times New Roman" w:hAnsi="Times New Roman" w:cs="Times New Roman"/>
                <w:color w:val="auto"/>
                <w:sz w:val="24"/>
                <w:lang w:val="zh-CN"/>
              </w:rPr>
              <w:t>目前川东北、川东南多口井在侏罗系千佛崖组/凉高山组致密砂岩取得突破，展示了侏罗系良好的勘探前景</w:t>
            </w:r>
            <w:r>
              <w:rPr>
                <w:rFonts w:hint="eastAsia" w:cs="Times New Roman"/>
                <w:color w:val="auto"/>
                <w:sz w:val="24"/>
                <w:lang w:val="zh-CN"/>
              </w:rPr>
              <w:t>。</w:t>
            </w:r>
            <w:r>
              <w:rPr>
                <w:rFonts w:hint="default" w:ascii="Times New Roman" w:hAnsi="Times New Roman" w:cs="Times New Roman"/>
                <w:color w:val="auto"/>
                <w:sz w:val="24"/>
                <w:lang w:val="zh-CN"/>
              </w:rPr>
              <w:t>类比邻区致密气藏，普光探区</w:t>
            </w:r>
            <w:r>
              <w:rPr>
                <w:rFonts w:hint="eastAsia" w:cs="Times New Roman"/>
                <w:color w:val="auto"/>
                <w:szCs w:val="21"/>
                <w:lang w:val="en-US" w:eastAsia="zh-CN"/>
              </w:rPr>
              <w:t>***********</w:t>
            </w:r>
            <w:r>
              <w:rPr>
                <w:rFonts w:hint="default" w:ascii="Times New Roman" w:hAnsi="Times New Roman" w:cs="Times New Roman"/>
                <w:color w:val="auto"/>
                <w:sz w:val="24"/>
                <w:lang w:val="zh-CN"/>
              </w:rPr>
              <w:t>。</w:t>
            </w:r>
          </w:p>
          <w:p>
            <w:pPr>
              <w:pStyle w:val="38"/>
              <w:keepNext w:val="0"/>
              <w:keepLines w:val="0"/>
              <w:numPr>
                <w:ilvl w:val="1"/>
                <w:numId w:val="4"/>
              </w:numPr>
              <w:suppressLineNumbers w:val="0"/>
              <w:spacing w:before="0" w:beforeAutospacing="0" w:after="0" w:afterAutospacing="0" w:line="360" w:lineRule="auto"/>
              <w:ind w:right="0"/>
              <w:rPr>
                <w:rFonts w:hint="default" w:ascii="Times New Roman" w:hAnsi="Times New Roman" w:cs="Times New Roman"/>
                <w:b/>
                <w:color w:val="auto"/>
              </w:rPr>
            </w:pPr>
            <w:r>
              <w:rPr>
                <w:rFonts w:hint="default" w:ascii="Times New Roman" w:hAnsi="Times New Roman" w:cs="Times New Roman"/>
                <w:b/>
                <w:color w:val="auto"/>
              </w:rPr>
              <w:t>建设内容</w:t>
            </w:r>
          </w:p>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Fonts w:hint="default" w:ascii="Times New Roman" w:hAnsi="Times New Roman" w:cs="Times New Roman"/>
                <w:bCs/>
                <w:color w:val="auto"/>
                <w:sz w:val="24"/>
                <w:szCs w:val="24"/>
              </w:rPr>
            </w:pPr>
            <w:bookmarkStart w:id="6" w:name="_Hlk86168201"/>
            <w:bookmarkStart w:id="7" w:name="_Hlk80690965"/>
            <w:r>
              <w:rPr>
                <w:rFonts w:hint="default" w:ascii="Times New Roman" w:hAnsi="Times New Roman" w:cs="Times New Roman"/>
                <w:bCs/>
                <w:color w:val="auto"/>
                <w:sz w:val="24"/>
                <w:szCs w:val="24"/>
              </w:rPr>
              <w:t>项目名称：</w:t>
            </w:r>
            <w:r>
              <w:rPr>
                <w:rFonts w:hint="eastAsia" w:cs="Times New Roman"/>
                <w:bCs/>
                <w:color w:val="auto"/>
                <w:sz w:val="24"/>
                <w:szCs w:val="24"/>
                <w:lang w:eastAsia="zh-CN"/>
              </w:rPr>
              <w:t>普陆12HF井工程</w:t>
            </w:r>
          </w:p>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Fonts w:hint="default" w:ascii="Times New Roman" w:hAnsi="Times New Roman" w:cs="Times New Roman"/>
                <w:bCs/>
                <w:color w:val="auto"/>
                <w:sz w:val="24"/>
                <w:szCs w:val="24"/>
              </w:rPr>
            </w:pPr>
            <w:r>
              <w:rPr>
                <w:rFonts w:hint="default" w:ascii="Times New Roman" w:hAnsi="Times New Roman" w:cs="Times New Roman"/>
                <w:bCs/>
                <w:color w:val="auto"/>
                <w:sz w:val="24"/>
                <w:szCs w:val="24"/>
              </w:rPr>
              <w:t>建设单位：中国石油化工股份有限公司中原油田普光分公司</w:t>
            </w:r>
          </w:p>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Fonts w:hint="default" w:ascii="Times New Roman" w:hAnsi="Times New Roman" w:cs="Times New Roman"/>
                <w:bCs/>
                <w:color w:val="auto"/>
                <w:sz w:val="24"/>
                <w:szCs w:val="24"/>
              </w:rPr>
            </w:pPr>
            <w:r>
              <w:rPr>
                <w:rFonts w:hint="default" w:ascii="Times New Roman" w:hAnsi="Times New Roman" w:cs="Times New Roman"/>
                <w:bCs/>
                <w:color w:val="auto"/>
                <w:sz w:val="24"/>
                <w:szCs w:val="24"/>
              </w:rPr>
              <w:t>建设性质：新建</w:t>
            </w:r>
          </w:p>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Fonts w:hint="default" w:ascii="Times New Roman" w:hAnsi="Times New Roman" w:cs="Times New Roman"/>
                <w:bCs/>
                <w:color w:val="auto"/>
                <w:sz w:val="24"/>
                <w:szCs w:val="24"/>
              </w:rPr>
            </w:pPr>
            <w:r>
              <w:rPr>
                <w:rFonts w:hint="default" w:ascii="Times New Roman" w:hAnsi="Times New Roman" w:cs="Times New Roman"/>
                <w:bCs/>
                <w:color w:val="auto"/>
                <w:sz w:val="24"/>
                <w:szCs w:val="24"/>
              </w:rPr>
              <w:t>项目总投资：</w:t>
            </w:r>
            <w:r>
              <w:rPr>
                <w:rFonts w:hint="eastAsia" w:cs="Times New Roman"/>
                <w:color w:val="auto"/>
                <w:szCs w:val="21"/>
                <w:lang w:val="en-US" w:eastAsia="zh-CN"/>
              </w:rPr>
              <w:t>***</w:t>
            </w:r>
            <w:r>
              <w:rPr>
                <w:rFonts w:hint="default" w:ascii="Times New Roman" w:hAnsi="Times New Roman" w:cs="Times New Roman"/>
                <w:bCs/>
                <w:color w:val="auto"/>
                <w:sz w:val="24"/>
                <w:szCs w:val="24"/>
              </w:rPr>
              <w:t>万元，环保投资</w:t>
            </w:r>
            <w:r>
              <w:rPr>
                <w:rFonts w:hint="eastAsia" w:cs="Times New Roman"/>
                <w:color w:val="auto"/>
                <w:szCs w:val="21"/>
                <w:lang w:val="en-US" w:eastAsia="zh-CN"/>
              </w:rPr>
              <w:t>***</w:t>
            </w:r>
            <w:r>
              <w:rPr>
                <w:rFonts w:hint="default" w:ascii="Times New Roman" w:hAnsi="Times New Roman" w:cs="Times New Roman"/>
                <w:bCs/>
                <w:color w:val="auto"/>
                <w:sz w:val="24"/>
                <w:szCs w:val="24"/>
              </w:rPr>
              <w:t>万元，占比</w:t>
            </w:r>
            <w:r>
              <w:rPr>
                <w:rFonts w:hint="eastAsia" w:cs="Times New Roman"/>
                <w:color w:val="auto"/>
                <w:szCs w:val="21"/>
                <w:lang w:val="en-US" w:eastAsia="zh-CN"/>
              </w:rPr>
              <w:t>***</w:t>
            </w:r>
            <w:r>
              <w:rPr>
                <w:rFonts w:hint="default" w:ascii="Times New Roman" w:hAnsi="Times New Roman" w:cs="Times New Roman"/>
                <w:bCs/>
                <w:color w:val="auto"/>
                <w:sz w:val="24"/>
                <w:szCs w:val="24"/>
              </w:rPr>
              <w:t>%</w:t>
            </w:r>
          </w:p>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Fonts w:hint="default" w:ascii="Times New Roman" w:hAnsi="Times New Roman" w:cs="Times New Roman"/>
                <w:bCs/>
                <w:color w:val="auto"/>
                <w:sz w:val="24"/>
                <w:szCs w:val="24"/>
              </w:rPr>
            </w:pPr>
            <w:r>
              <w:rPr>
                <w:rFonts w:hint="default" w:ascii="Times New Roman" w:hAnsi="Times New Roman" w:cs="Times New Roman"/>
                <w:bCs/>
                <w:color w:val="auto"/>
                <w:sz w:val="24"/>
                <w:szCs w:val="24"/>
              </w:rPr>
              <w:t>建设内容</w:t>
            </w:r>
            <w:bookmarkStart w:id="8" w:name="_Hlk79354512"/>
            <w:bookmarkStart w:id="9" w:name="_Hlk98357504"/>
            <w:r>
              <w:rPr>
                <w:rFonts w:hint="default" w:ascii="Times New Roman" w:hAnsi="Times New Roman" w:cs="Times New Roman"/>
                <w:bCs/>
                <w:color w:val="auto"/>
                <w:sz w:val="24"/>
                <w:szCs w:val="24"/>
              </w:rPr>
              <w:t>：新建</w:t>
            </w:r>
            <w:r>
              <w:rPr>
                <w:rFonts w:hint="eastAsia" w:cs="Times New Roman"/>
                <w:bCs/>
                <w:color w:val="auto"/>
                <w:sz w:val="24"/>
                <w:szCs w:val="24"/>
                <w:lang w:eastAsia="zh-CN"/>
              </w:rPr>
              <w:t>普陆12HF井</w:t>
            </w:r>
            <w:r>
              <w:rPr>
                <w:rFonts w:hint="default" w:ascii="Times New Roman" w:hAnsi="Times New Roman" w:cs="Times New Roman"/>
                <w:bCs/>
                <w:color w:val="auto"/>
                <w:sz w:val="24"/>
                <w:szCs w:val="24"/>
              </w:rPr>
              <w:t>井场，井场总体呈规格矩形，大小为11</w:t>
            </w:r>
            <w:r>
              <w:rPr>
                <w:rFonts w:hint="eastAsia" w:cs="Times New Roman"/>
                <w:bCs/>
                <w:color w:val="auto"/>
                <w:sz w:val="24"/>
                <w:szCs w:val="24"/>
                <w:lang w:val="en-US" w:eastAsia="zh-CN"/>
              </w:rPr>
              <w:t>4</w:t>
            </w:r>
            <w:r>
              <w:rPr>
                <w:rFonts w:hint="default" w:ascii="Times New Roman" w:hAnsi="Times New Roman" w:cs="Times New Roman"/>
                <w:bCs/>
                <w:color w:val="auto"/>
                <w:sz w:val="24"/>
                <w:szCs w:val="24"/>
              </w:rPr>
              <w:t>*</w:t>
            </w:r>
            <w:r>
              <w:rPr>
                <w:rFonts w:hint="eastAsia" w:cs="Times New Roman"/>
                <w:bCs/>
                <w:color w:val="auto"/>
                <w:sz w:val="24"/>
                <w:szCs w:val="24"/>
                <w:lang w:val="en-US" w:eastAsia="zh-CN"/>
              </w:rPr>
              <w:t>50</w:t>
            </w:r>
            <w:r>
              <w:rPr>
                <w:rFonts w:hint="default" w:ascii="Times New Roman" w:hAnsi="Times New Roman" w:cs="Times New Roman"/>
                <w:bCs/>
                <w:color w:val="auto"/>
                <w:sz w:val="24"/>
                <w:szCs w:val="24"/>
              </w:rPr>
              <w:t>m，</w:t>
            </w:r>
            <w:r>
              <w:rPr>
                <w:rFonts w:hint="eastAsia" w:cs="Times New Roman"/>
                <w:bCs/>
                <w:color w:val="auto"/>
                <w:sz w:val="24"/>
                <w:szCs w:val="24"/>
                <w:lang w:val="en-US" w:eastAsia="zh-CN"/>
              </w:rPr>
              <w:t>井型为导眼井+水平井，</w:t>
            </w:r>
            <w:r>
              <w:rPr>
                <w:rFonts w:hint="default" w:ascii="Times New Roman" w:hAnsi="Times New Roman" w:cs="Times New Roman"/>
                <w:bCs/>
                <w:color w:val="auto"/>
                <w:sz w:val="24"/>
                <w:szCs w:val="24"/>
              </w:rPr>
              <w:t>设计井深为</w:t>
            </w:r>
            <w:r>
              <w:rPr>
                <w:rFonts w:hint="eastAsia" w:cs="Times New Roman"/>
                <w:color w:val="auto"/>
                <w:szCs w:val="21"/>
                <w:lang w:val="en-US" w:eastAsia="zh-CN"/>
              </w:rPr>
              <w:t>****</w:t>
            </w:r>
            <w:r>
              <w:rPr>
                <w:rFonts w:hint="default" w:ascii="Times New Roman" w:hAnsi="Times New Roman" w:cs="Times New Roman"/>
                <w:bCs/>
                <w:color w:val="auto"/>
                <w:sz w:val="24"/>
                <w:szCs w:val="24"/>
              </w:rPr>
              <w:t>。</w:t>
            </w:r>
            <w:r>
              <w:rPr>
                <w:rFonts w:hint="eastAsia" w:cs="Times New Roman"/>
                <w:bCs/>
                <w:color w:val="auto"/>
                <w:sz w:val="24"/>
                <w:szCs w:val="24"/>
                <w:lang w:val="en-US" w:eastAsia="zh-CN"/>
              </w:rPr>
              <w:t>采用导管+三开井身结构。</w:t>
            </w:r>
            <w:r>
              <w:rPr>
                <w:rFonts w:hint="default" w:ascii="Times New Roman" w:hAnsi="Times New Roman" w:cs="Times New Roman"/>
                <w:bCs/>
                <w:color w:val="auto"/>
                <w:sz w:val="24"/>
                <w:szCs w:val="24"/>
              </w:rPr>
              <w:t>目的层位为</w:t>
            </w:r>
            <w:r>
              <w:rPr>
                <w:rFonts w:hint="eastAsia" w:cs="Times New Roman"/>
                <w:bCs/>
                <w:color w:val="auto"/>
                <w:sz w:val="24"/>
                <w:szCs w:val="24"/>
                <w:lang w:eastAsia="zh-CN"/>
              </w:rPr>
              <w:t>*****</w:t>
            </w:r>
            <w:r>
              <w:rPr>
                <w:rFonts w:hint="default" w:ascii="Times New Roman" w:hAnsi="Times New Roman" w:cs="Times New Roman"/>
                <w:bCs/>
                <w:color w:val="auto"/>
                <w:sz w:val="24"/>
                <w:szCs w:val="24"/>
              </w:rPr>
              <w:t>。</w:t>
            </w:r>
            <w:r>
              <w:rPr>
                <w:rFonts w:hint="eastAsia" w:cs="Times New Roman"/>
                <w:bCs/>
                <w:color w:val="auto"/>
                <w:sz w:val="24"/>
                <w:szCs w:val="24"/>
                <w:lang w:val="en-US" w:eastAsia="zh-CN"/>
              </w:rPr>
              <w:t>钻井目的********</w:t>
            </w:r>
            <w:r>
              <w:rPr>
                <w:rFonts w:hint="default" w:ascii="Times New Roman" w:hAnsi="Times New Roman" w:cs="Times New Roman"/>
                <w:bCs/>
                <w:color w:val="auto"/>
                <w:sz w:val="24"/>
                <w:szCs w:val="24"/>
              </w:rPr>
              <w:t>。</w:t>
            </w:r>
            <w:bookmarkEnd w:id="8"/>
            <w:bookmarkEnd w:id="9"/>
          </w:p>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Fonts w:hint="default" w:ascii="Times New Roman" w:hAnsi="Times New Roman" w:cs="Times New Roman"/>
                <w:bCs/>
                <w:color w:val="auto"/>
                <w:sz w:val="24"/>
                <w:szCs w:val="24"/>
              </w:rPr>
            </w:pPr>
            <w:r>
              <w:rPr>
                <w:rFonts w:hint="default" w:ascii="Times New Roman" w:hAnsi="Times New Roman" w:cs="Times New Roman"/>
                <w:bCs/>
                <w:color w:val="auto"/>
                <w:sz w:val="24"/>
                <w:szCs w:val="24"/>
              </w:rPr>
              <w:t>根据项目的工程特点，可将项目实施分为三个阶段：钻前工程、钻井工程、试气工程。工程为评价井项目，本次评价不涉及工程的运营期；如项目勘探完成后有工业开采价值，则需要另行评价。</w:t>
            </w:r>
          </w:p>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Fonts w:hint="default" w:ascii="Times New Roman" w:hAnsi="Times New Roman" w:cs="Times New Roman"/>
                <w:bCs/>
                <w:color w:val="auto"/>
                <w:sz w:val="24"/>
                <w:szCs w:val="24"/>
              </w:rPr>
            </w:pPr>
            <w:r>
              <w:rPr>
                <w:rFonts w:hint="default" w:ascii="Times New Roman" w:hAnsi="Times New Roman" w:cs="Times New Roman"/>
                <w:bCs/>
                <w:color w:val="auto"/>
                <w:sz w:val="24"/>
                <w:szCs w:val="24"/>
              </w:rPr>
              <w:t>（1）钻前工程</w:t>
            </w:r>
          </w:p>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Fonts w:hint="default" w:ascii="Times New Roman" w:hAnsi="Times New Roman" w:cs="Times New Roman"/>
                <w:bCs/>
                <w:color w:val="auto"/>
                <w:sz w:val="24"/>
                <w:szCs w:val="24"/>
              </w:rPr>
            </w:pPr>
            <w:r>
              <w:rPr>
                <w:rFonts w:hint="default" w:ascii="Times New Roman" w:hAnsi="Times New Roman" w:cs="Times New Roman"/>
                <w:bCs/>
                <w:color w:val="auto"/>
                <w:sz w:val="24"/>
                <w:szCs w:val="24"/>
              </w:rPr>
              <w:t>项目</w:t>
            </w:r>
            <w:r>
              <w:rPr>
                <w:rFonts w:hint="eastAsia" w:cs="Times New Roman"/>
                <w:bCs/>
                <w:color w:val="auto"/>
                <w:sz w:val="24"/>
                <w:szCs w:val="24"/>
                <w:lang w:val="en-US" w:eastAsia="zh-CN"/>
              </w:rPr>
              <w:t>位于达州市</w:t>
            </w:r>
            <w:r>
              <w:rPr>
                <w:rFonts w:hint="default" w:ascii="Times New Roman" w:hAnsi="Times New Roman" w:cs="Times New Roman"/>
                <w:bCs/>
                <w:color w:val="auto"/>
                <w:sz w:val="24"/>
                <w:szCs w:val="24"/>
              </w:rPr>
              <w:t>宣汉县</w:t>
            </w:r>
            <w:r>
              <w:rPr>
                <w:rFonts w:hint="eastAsia" w:cs="Times New Roman"/>
                <w:bCs/>
                <w:color w:val="auto"/>
                <w:sz w:val="24"/>
                <w:szCs w:val="24"/>
                <w:lang w:eastAsia="zh-CN"/>
              </w:rPr>
              <w:t>普光镇</w:t>
            </w:r>
            <w:r>
              <w:rPr>
                <w:rFonts w:hint="eastAsia" w:cs="Times New Roman"/>
                <w:bCs/>
                <w:color w:val="auto"/>
                <w:sz w:val="24"/>
                <w:szCs w:val="24"/>
                <w:lang w:val="en-US" w:eastAsia="zh-CN"/>
              </w:rPr>
              <w:t>双河社区石垭村1组</w:t>
            </w:r>
            <w:r>
              <w:rPr>
                <w:rFonts w:hint="default" w:ascii="Times New Roman" w:hAnsi="Times New Roman" w:cs="Times New Roman"/>
                <w:bCs/>
                <w:color w:val="auto"/>
                <w:sz w:val="24"/>
                <w:szCs w:val="24"/>
              </w:rPr>
              <w:t>，新增临时占地面积为</w:t>
            </w:r>
            <w:r>
              <w:rPr>
                <w:rFonts w:hint="eastAsia" w:cs="Times New Roman"/>
                <w:bCs/>
                <w:color w:val="auto"/>
                <w:sz w:val="24"/>
                <w:szCs w:val="24"/>
                <w:lang w:eastAsia="zh-CN"/>
              </w:rPr>
              <w:t>22420</w:t>
            </w:r>
            <w:r>
              <w:rPr>
                <w:rFonts w:hint="default" w:ascii="Times New Roman" w:hAnsi="Times New Roman" w:cs="Times New Roman"/>
                <w:bCs/>
                <w:color w:val="auto"/>
                <w:sz w:val="24"/>
                <w:szCs w:val="24"/>
              </w:rPr>
              <w:t>m</w:t>
            </w:r>
            <w:r>
              <w:rPr>
                <w:rFonts w:hint="default" w:ascii="Times New Roman" w:hAnsi="Times New Roman" w:cs="Times New Roman"/>
                <w:bCs/>
                <w:color w:val="auto"/>
                <w:sz w:val="24"/>
                <w:szCs w:val="24"/>
                <w:vertAlign w:val="superscript"/>
              </w:rPr>
              <w:t>2</w:t>
            </w:r>
            <w:r>
              <w:rPr>
                <w:rFonts w:hint="default" w:ascii="Times New Roman" w:hAnsi="Times New Roman" w:cs="Times New Roman"/>
                <w:bCs/>
                <w:color w:val="auto"/>
                <w:sz w:val="24"/>
                <w:szCs w:val="24"/>
              </w:rPr>
              <w:t>，井场</w:t>
            </w:r>
            <w:r>
              <w:rPr>
                <w:rFonts w:hint="eastAsia" w:cs="Times New Roman"/>
                <w:bCs/>
                <w:color w:val="auto"/>
                <w:sz w:val="24"/>
                <w:szCs w:val="24"/>
                <w:lang w:val="en-US" w:eastAsia="zh-CN"/>
              </w:rPr>
              <w:t>西</w:t>
            </w:r>
            <w:r>
              <w:rPr>
                <w:rFonts w:hint="default" w:ascii="Times New Roman" w:hAnsi="Times New Roman" w:cs="Times New Roman"/>
                <w:bCs/>
                <w:color w:val="auto"/>
                <w:sz w:val="24"/>
                <w:szCs w:val="24"/>
              </w:rPr>
              <w:t>侧新建清水池，清水池容积为500m</w:t>
            </w:r>
            <w:r>
              <w:rPr>
                <w:rFonts w:hint="default" w:ascii="Times New Roman" w:hAnsi="Times New Roman" w:cs="Times New Roman"/>
                <w:bCs/>
                <w:color w:val="auto"/>
                <w:sz w:val="24"/>
                <w:szCs w:val="24"/>
                <w:vertAlign w:val="superscript"/>
              </w:rPr>
              <w:t>3</w:t>
            </w:r>
            <w:r>
              <w:rPr>
                <w:rFonts w:hint="default" w:ascii="Times New Roman" w:hAnsi="Times New Roman" w:cs="Times New Roman"/>
                <w:bCs/>
                <w:color w:val="auto"/>
                <w:sz w:val="24"/>
                <w:szCs w:val="24"/>
              </w:rPr>
              <w:t>，新建</w:t>
            </w:r>
            <w:r>
              <w:rPr>
                <w:rFonts w:hint="eastAsia" w:cs="Times New Roman"/>
                <w:bCs/>
                <w:color w:val="auto"/>
                <w:sz w:val="24"/>
                <w:szCs w:val="24"/>
                <w:lang w:val="en-US" w:eastAsia="zh-CN"/>
              </w:rPr>
              <w:t>1</w:t>
            </w:r>
            <w:r>
              <w:rPr>
                <w:rFonts w:hint="default" w:ascii="Times New Roman" w:hAnsi="Times New Roman" w:cs="Times New Roman"/>
                <w:bCs/>
                <w:color w:val="auto"/>
                <w:sz w:val="24"/>
                <w:szCs w:val="24"/>
              </w:rPr>
              <w:t>座放喷池，位于井场</w:t>
            </w:r>
            <w:r>
              <w:rPr>
                <w:rFonts w:hint="eastAsia" w:cs="Times New Roman"/>
                <w:bCs/>
                <w:color w:val="auto"/>
                <w:sz w:val="24"/>
                <w:szCs w:val="24"/>
                <w:lang w:val="en-US" w:eastAsia="zh-CN"/>
              </w:rPr>
              <w:t>东</w:t>
            </w:r>
            <w:r>
              <w:rPr>
                <w:rFonts w:hint="default" w:ascii="Times New Roman" w:hAnsi="Times New Roman" w:cs="Times New Roman"/>
                <w:bCs/>
                <w:color w:val="auto"/>
                <w:sz w:val="24"/>
                <w:szCs w:val="24"/>
              </w:rPr>
              <w:t>侧，容积为300m</w:t>
            </w:r>
            <w:r>
              <w:rPr>
                <w:rFonts w:hint="default" w:ascii="Times New Roman" w:hAnsi="Times New Roman" w:cs="Times New Roman"/>
                <w:bCs/>
                <w:color w:val="auto"/>
                <w:sz w:val="24"/>
                <w:szCs w:val="24"/>
                <w:vertAlign w:val="superscript"/>
              </w:rPr>
              <w:t>3</w:t>
            </w:r>
            <w:r>
              <w:rPr>
                <w:rFonts w:hint="default" w:ascii="Times New Roman" w:hAnsi="Times New Roman" w:cs="Times New Roman"/>
                <w:bCs/>
                <w:color w:val="auto"/>
                <w:sz w:val="24"/>
                <w:szCs w:val="24"/>
              </w:rPr>
              <w:t>，新建井队临时板房生活区1套，生态一体化厕所1座以及钻井临时房屋、钻井设备基础、给排水、供配电等辅助工程。</w:t>
            </w:r>
          </w:p>
          <w:p>
            <w:pPr>
              <w:pStyle w:val="38"/>
              <w:keepNext w:val="0"/>
              <w:keepLines w:val="0"/>
              <w:widowControl/>
              <w:suppressLineNumbers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bCs/>
                <w:color w:val="auto"/>
                <w:kern w:val="0"/>
                <w:sz w:val="24"/>
                <w:szCs w:val="24"/>
              </w:rPr>
            </w:pPr>
            <w:r>
              <w:rPr>
                <w:rFonts w:hint="default" w:ascii="Times New Roman" w:hAnsi="Times New Roman" w:eastAsia="宋体" w:cs="Times New Roman"/>
                <w:bCs/>
                <w:color w:val="auto"/>
                <w:kern w:val="0"/>
                <w:sz w:val="24"/>
                <w:szCs w:val="24"/>
                <w:lang w:val="en-US" w:eastAsia="zh-CN" w:bidi="ar"/>
              </w:rPr>
              <w:t>钻前工程主要工程内容及工程量见下表。</w:t>
            </w:r>
          </w:p>
          <w:p>
            <w:pPr>
              <w:pStyle w:val="38"/>
              <w:keepNext w:val="0"/>
              <w:keepLines w:val="0"/>
              <w:widowControl/>
              <w:numPr>
                <w:ilvl w:val="0"/>
                <w:numId w:val="5"/>
              </w:numPr>
              <w:suppressLineNumbers w:val="0"/>
              <w:snapToGrid w:val="0"/>
              <w:spacing w:before="0" w:beforeAutospacing="0" w:after="0" w:afterAutospacing="0" w:line="360" w:lineRule="auto"/>
              <w:ind w:left="0" w:right="0" w:firstLine="0"/>
              <w:jc w:val="center"/>
              <w:rPr>
                <w:rFonts w:hint="default" w:ascii="Times New Roman" w:hAnsi="Times New Roman" w:eastAsia="宋体" w:cs="Times New Roman"/>
                <w:b/>
                <w:bCs/>
                <w:color w:val="auto"/>
                <w:kern w:val="0"/>
                <w:sz w:val="24"/>
                <w:szCs w:val="24"/>
              </w:rPr>
            </w:pPr>
            <w:r>
              <w:rPr>
                <w:rFonts w:hint="default" w:ascii="Times New Roman" w:hAnsi="Times New Roman" w:eastAsia="宋体" w:cs="Times New Roman"/>
                <w:b/>
                <w:bCs/>
                <w:color w:val="auto"/>
                <w:kern w:val="0"/>
                <w:sz w:val="24"/>
                <w:szCs w:val="24"/>
                <w:lang w:val="en-US" w:eastAsia="zh-CN" w:bidi="ar"/>
              </w:rPr>
              <w:t xml:space="preserve">  项目钻前工程主要建设内容和工程量表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auto"/>
              <w:tblLayout w:type="fixed"/>
              <w:tblCellMar>
                <w:top w:w="0" w:type="dxa"/>
                <w:left w:w="57" w:type="dxa"/>
                <w:bottom w:w="0" w:type="dxa"/>
                <w:right w:w="57" w:type="dxa"/>
              </w:tblCellMar>
            </w:tblPr>
            <w:tblGrid>
              <w:gridCol w:w="558"/>
              <w:gridCol w:w="812"/>
              <w:gridCol w:w="1623"/>
              <w:gridCol w:w="781"/>
              <w:gridCol w:w="921"/>
              <w:gridCol w:w="276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auto"/>
                <w:tblCellMar>
                  <w:top w:w="0" w:type="dxa"/>
                  <w:left w:w="57" w:type="dxa"/>
                  <w:bottom w:w="0" w:type="dxa"/>
                  <w:right w:w="57" w:type="dxa"/>
                </w:tblCellMar>
              </w:tblPrEx>
              <w:trPr>
                <w:trHeight w:val="369" w:hRule="atLeast"/>
                <w:jc w:val="center"/>
              </w:trPr>
              <w:tc>
                <w:tcPr>
                  <w:tcW w:w="558"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序号</w:t>
                  </w:r>
                </w:p>
              </w:tc>
              <w:tc>
                <w:tcPr>
                  <w:tcW w:w="2435" w:type="dxa"/>
                  <w:gridSpan w:val="2"/>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名称</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单位</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数量</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69" w:hRule="atLeast"/>
                <w:jc w:val="center"/>
              </w:trPr>
              <w:tc>
                <w:tcPr>
                  <w:tcW w:w="558"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1</w:t>
                  </w:r>
                </w:p>
              </w:tc>
              <w:tc>
                <w:tcPr>
                  <w:tcW w:w="812"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道路工程</w:t>
                  </w:r>
                </w:p>
              </w:tc>
              <w:tc>
                <w:tcPr>
                  <w:tcW w:w="1623"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新建道路</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km</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lang w:val="en-US"/>
                    </w:rPr>
                  </w:pPr>
                  <w:r>
                    <w:rPr>
                      <w:rFonts w:hint="eastAsia" w:ascii="Times New Roman" w:hAnsi="Times New Roman" w:cs="Times New Roman"/>
                      <w:bCs/>
                      <w:color w:val="auto"/>
                      <w:kern w:val="0"/>
                      <w:sz w:val="21"/>
                      <w:szCs w:val="21"/>
                      <w:lang w:val="en-US" w:eastAsia="zh-CN" w:bidi="ar"/>
                    </w:rPr>
                    <w:t>0.32</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路基宽度4m，路面结构为：路20cm级配碎石+20cm厚6%水泥稳定碎石+20cmC30混凝土。</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69" w:hRule="atLeast"/>
                <w:jc w:val="center"/>
              </w:trPr>
              <w:tc>
                <w:tcPr>
                  <w:tcW w:w="558" w:type="dxa"/>
                  <w:vMerge w:val="restart"/>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2</w:t>
                  </w:r>
                </w:p>
              </w:tc>
              <w:tc>
                <w:tcPr>
                  <w:tcW w:w="812" w:type="dxa"/>
                  <w:vMerge w:val="restart"/>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井场工程</w:t>
                  </w:r>
                </w:p>
              </w:tc>
              <w:tc>
                <w:tcPr>
                  <w:tcW w:w="1623"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平整井场</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m</w:t>
                  </w:r>
                  <w:r>
                    <w:rPr>
                      <w:rFonts w:hint="default" w:ascii="Times New Roman" w:hAnsi="Times New Roman" w:eastAsia="宋体" w:cs="Times New Roman"/>
                      <w:bCs/>
                      <w:color w:val="auto"/>
                      <w:kern w:val="0"/>
                      <w:sz w:val="21"/>
                      <w:szCs w:val="21"/>
                      <w:vertAlign w:val="superscript"/>
                      <w:lang w:val="en-US" w:eastAsia="zh-CN" w:bidi="ar"/>
                    </w:rPr>
                    <w:t>2</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lang w:val="en-US" w:eastAsia="zh-CN"/>
                    </w:rPr>
                  </w:pPr>
                  <w:r>
                    <w:rPr>
                      <w:rFonts w:hint="eastAsia" w:ascii="Times New Roman" w:hAnsi="Times New Roman" w:cs="Times New Roman"/>
                      <w:bCs/>
                      <w:color w:val="auto"/>
                      <w:kern w:val="0"/>
                      <w:sz w:val="21"/>
                      <w:szCs w:val="21"/>
                      <w:lang w:val="en-US" w:eastAsia="zh-CN"/>
                    </w:rPr>
                    <w:t>5700</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井场规格为11</w:t>
                  </w:r>
                  <w:r>
                    <w:rPr>
                      <w:rFonts w:hint="eastAsia" w:ascii="Times New Roman" w:hAnsi="Times New Roman" w:cs="Times New Roman"/>
                      <w:bCs/>
                      <w:color w:val="auto"/>
                      <w:kern w:val="0"/>
                      <w:sz w:val="21"/>
                      <w:szCs w:val="21"/>
                      <w:lang w:val="en-US" w:eastAsia="zh-CN" w:bidi="ar"/>
                    </w:rPr>
                    <w:t>4</w:t>
                  </w:r>
                  <w:r>
                    <w:rPr>
                      <w:rFonts w:hint="default" w:ascii="Times New Roman" w:hAnsi="Times New Roman" w:eastAsia="宋体" w:cs="Times New Roman"/>
                      <w:bCs/>
                      <w:color w:val="auto"/>
                      <w:kern w:val="0"/>
                      <w:sz w:val="21"/>
                      <w:szCs w:val="21"/>
                      <w:lang w:val="en-US" w:eastAsia="zh-CN" w:bidi="ar"/>
                    </w:rPr>
                    <w:t>m×</w:t>
                  </w:r>
                  <w:r>
                    <w:rPr>
                      <w:rFonts w:hint="eastAsia" w:ascii="Times New Roman" w:hAnsi="Times New Roman" w:cs="Times New Roman"/>
                      <w:bCs/>
                      <w:color w:val="auto"/>
                      <w:kern w:val="0"/>
                      <w:sz w:val="21"/>
                      <w:szCs w:val="21"/>
                      <w:lang w:val="en-US" w:eastAsia="zh-CN" w:bidi="ar"/>
                    </w:rPr>
                    <w:t>50</w:t>
                  </w:r>
                  <w:r>
                    <w:rPr>
                      <w:rFonts w:hint="default" w:ascii="Times New Roman" w:hAnsi="Times New Roman" w:eastAsia="宋体" w:cs="Times New Roman"/>
                      <w:bCs/>
                      <w:color w:val="auto"/>
                      <w:kern w:val="0"/>
                      <w:sz w:val="21"/>
                      <w:szCs w:val="21"/>
                      <w:lang w:val="en-US" w:eastAsia="zh-CN" w:bidi="ar"/>
                    </w:rPr>
                    <w:t>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69" w:hRule="atLeast"/>
                <w:jc w:val="center"/>
              </w:trPr>
              <w:tc>
                <w:tcPr>
                  <w:tcW w:w="558"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rPr>
                  </w:pPr>
                </w:p>
              </w:tc>
              <w:tc>
                <w:tcPr>
                  <w:tcW w:w="812"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rPr>
                  </w:pPr>
                </w:p>
              </w:tc>
              <w:tc>
                <w:tcPr>
                  <w:tcW w:w="1623"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泥浆储备罐基础</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个</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12</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每个储备罐容积为40m</w:t>
                  </w:r>
                  <w:r>
                    <w:rPr>
                      <w:rFonts w:hint="default" w:ascii="Times New Roman" w:hAnsi="Times New Roman" w:eastAsia="宋体" w:cs="Times New Roman"/>
                      <w:bCs/>
                      <w:color w:val="auto"/>
                      <w:kern w:val="0"/>
                      <w:sz w:val="21"/>
                      <w:szCs w:val="21"/>
                      <w:vertAlign w:val="superscript"/>
                      <w:lang w:val="en-US" w:eastAsia="zh-CN" w:bidi="ar"/>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69" w:hRule="atLeast"/>
                <w:jc w:val="center"/>
              </w:trPr>
              <w:tc>
                <w:tcPr>
                  <w:tcW w:w="558"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rPr>
                  </w:pPr>
                </w:p>
              </w:tc>
              <w:tc>
                <w:tcPr>
                  <w:tcW w:w="812"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rPr>
                  </w:pPr>
                </w:p>
              </w:tc>
              <w:tc>
                <w:tcPr>
                  <w:tcW w:w="1623"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钻机基础</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套</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1</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ZJ50型钻机基础</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69" w:hRule="atLeast"/>
                <w:jc w:val="center"/>
              </w:trPr>
              <w:tc>
                <w:tcPr>
                  <w:tcW w:w="558"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rPr>
                  </w:pPr>
                </w:p>
              </w:tc>
              <w:tc>
                <w:tcPr>
                  <w:tcW w:w="812"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rPr>
                  </w:pPr>
                </w:p>
              </w:tc>
              <w:tc>
                <w:tcPr>
                  <w:tcW w:w="1623"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lang w:val="en-US" w:eastAsia="zh-CN"/>
                    </w:rPr>
                  </w:pPr>
                  <w:r>
                    <w:rPr>
                      <w:rFonts w:hint="eastAsia" w:ascii="Times New Roman" w:hAnsi="Times New Roman" w:cs="Times New Roman"/>
                      <w:bCs/>
                      <w:color w:val="auto"/>
                      <w:kern w:val="0"/>
                      <w:sz w:val="21"/>
                      <w:szCs w:val="21"/>
                      <w:lang w:val="en-US" w:eastAsia="zh-CN"/>
                    </w:rPr>
                    <w:t>泥浆不落地平台</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m</w:t>
                  </w:r>
                  <w:r>
                    <w:rPr>
                      <w:rFonts w:hint="default" w:ascii="Times New Roman" w:hAnsi="Times New Roman" w:eastAsia="宋体" w:cs="Times New Roman"/>
                      <w:bCs/>
                      <w:color w:val="auto"/>
                      <w:kern w:val="0"/>
                      <w:sz w:val="21"/>
                      <w:szCs w:val="21"/>
                      <w:vertAlign w:val="superscript"/>
                      <w:lang w:val="en-US" w:eastAsia="zh-CN" w:bidi="ar"/>
                    </w:rPr>
                    <w:t>2</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450</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按标准配置，操作平台上设置危废</w:t>
                  </w:r>
                  <w:r>
                    <w:rPr>
                      <w:rFonts w:hint="default" w:ascii="Times New Roman" w:hAnsi="Times New Roman" w:cs="Times New Roman"/>
                      <w:bCs/>
                      <w:color w:val="auto"/>
                      <w:kern w:val="0"/>
                      <w:sz w:val="21"/>
                      <w:szCs w:val="21"/>
                      <w:lang w:val="en-US" w:eastAsia="zh-CN" w:bidi="ar"/>
                    </w:rPr>
                    <w:t>贮存点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69" w:hRule="atLeast"/>
                <w:jc w:val="center"/>
              </w:trPr>
              <w:tc>
                <w:tcPr>
                  <w:tcW w:w="558"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rPr>
                  </w:pPr>
                </w:p>
              </w:tc>
              <w:tc>
                <w:tcPr>
                  <w:tcW w:w="812"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rPr>
                  </w:pPr>
                </w:p>
              </w:tc>
              <w:tc>
                <w:tcPr>
                  <w:tcW w:w="1623"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油水罐基础</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个</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1</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按标准配置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69" w:hRule="atLeast"/>
                <w:jc w:val="center"/>
              </w:trPr>
              <w:tc>
                <w:tcPr>
                  <w:tcW w:w="558" w:type="dxa"/>
                  <w:vMerge w:val="restart"/>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3</w:t>
                  </w:r>
                </w:p>
              </w:tc>
              <w:tc>
                <w:tcPr>
                  <w:tcW w:w="812" w:type="dxa"/>
                  <w:vMerge w:val="restart"/>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池体工程</w:t>
                  </w:r>
                </w:p>
              </w:tc>
              <w:tc>
                <w:tcPr>
                  <w:tcW w:w="1623"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清水池</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m</w:t>
                  </w:r>
                  <w:r>
                    <w:rPr>
                      <w:rFonts w:hint="default" w:ascii="Times New Roman" w:hAnsi="Times New Roman" w:eastAsia="宋体" w:cs="Times New Roman"/>
                      <w:bCs/>
                      <w:color w:val="auto"/>
                      <w:kern w:val="0"/>
                      <w:sz w:val="21"/>
                      <w:szCs w:val="21"/>
                      <w:vertAlign w:val="superscript"/>
                      <w:lang w:val="en-US" w:eastAsia="zh-CN" w:bidi="ar"/>
                    </w:rPr>
                    <w:t>3</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500</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钻井阶段作为钻井液配置用水暂存池，试气工程作为压裂液配置清水暂存池。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69" w:hRule="atLeast"/>
                <w:jc w:val="center"/>
              </w:trPr>
              <w:tc>
                <w:tcPr>
                  <w:tcW w:w="558"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rPr>
                  </w:pPr>
                </w:p>
              </w:tc>
              <w:tc>
                <w:tcPr>
                  <w:tcW w:w="812"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rPr>
                  </w:pPr>
                </w:p>
              </w:tc>
              <w:tc>
                <w:tcPr>
                  <w:tcW w:w="1623"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放喷池</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cs="Times New Roman"/>
                      <w:bCs/>
                      <w:color w:val="auto"/>
                      <w:kern w:val="0"/>
                      <w:sz w:val="21"/>
                      <w:szCs w:val="21"/>
                      <w:lang w:val="en-US" w:eastAsia="zh-CN" w:bidi="ar"/>
                    </w:rPr>
                    <w:t>座</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eastAsia" w:ascii="Times New Roman" w:hAnsi="Times New Roman" w:cs="Times New Roman"/>
                      <w:bCs/>
                      <w:color w:val="auto"/>
                      <w:kern w:val="0"/>
                      <w:sz w:val="21"/>
                      <w:szCs w:val="21"/>
                      <w:lang w:val="en-US" w:eastAsia="zh-CN" w:bidi="ar"/>
                    </w:rPr>
                    <w:t>1</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修建A类放喷池</w:t>
                  </w:r>
                  <w:r>
                    <w:rPr>
                      <w:rFonts w:hint="eastAsia" w:ascii="Times New Roman" w:hAnsi="Times New Roman" w:cs="Times New Roman"/>
                      <w:bCs/>
                      <w:color w:val="auto"/>
                      <w:kern w:val="0"/>
                      <w:sz w:val="21"/>
                      <w:szCs w:val="21"/>
                      <w:lang w:val="en-US" w:eastAsia="zh-CN" w:bidi="ar"/>
                    </w:rPr>
                    <w:t>1</w:t>
                  </w:r>
                  <w:r>
                    <w:rPr>
                      <w:rFonts w:hint="default" w:ascii="Times New Roman" w:hAnsi="Times New Roman" w:eastAsia="宋体" w:cs="Times New Roman"/>
                      <w:bCs/>
                      <w:color w:val="auto"/>
                      <w:kern w:val="0"/>
                      <w:sz w:val="21"/>
                      <w:szCs w:val="21"/>
                      <w:lang w:val="en-US" w:eastAsia="zh-CN" w:bidi="ar"/>
                    </w:rPr>
                    <w:t>座，规格均为13m×7m×3.5m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69" w:hRule="atLeast"/>
                <w:jc w:val="center"/>
              </w:trPr>
              <w:tc>
                <w:tcPr>
                  <w:tcW w:w="558"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rPr>
                  </w:pPr>
                </w:p>
              </w:tc>
              <w:tc>
                <w:tcPr>
                  <w:tcW w:w="812"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rPr>
                  </w:pPr>
                </w:p>
              </w:tc>
              <w:tc>
                <w:tcPr>
                  <w:tcW w:w="1623"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环境监测池</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个</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2</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每个5m</w:t>
                  </w:r>
                  <w:r>
                    <w:rPr>
                      <w:rFonts w:hint="default" w:ascii="Times New Roman" w:hAnsi="Times New Roman" w:eastAsia="宋体" w:cs="Times New Roman"/>
                      <w:bCs/>
                      <w:color w:val="auto"/>
                      <w:kern w:val="0"/>
                      <w:sz w:val="21"/>
                      <w:szCs w:val="21"/>
                      <w:vertAlign w:val="superscript"/>
                      <w:lang w:val="en-US" w:eastAsia="zh-CN" w:bidi="ar"/>
                    </w:rPr>
                    <w:t>3</w:t>
                  </w:r>
                  <w:r>
                    <w:rPr>
                      <w:rFonts w:hint="default" w:ascii="Times New Roman" w:hAnsi="Times New Roman" w:eastAsia="宋体" w:cs="Times New Roman"/>
                      <w:bCs/>
                      <w:color w:val="auto"/>
                      <w:kern w:val="0"/>
                      <w:sz w:val="21"/>
                      <w:szCs w:val="21"/>
                      <w:lang w:val="en-US" w:eastAsia="zh-CN" w:bidi="ar"/>
                    </w:rPr>
                    <w:t>，环境监测池共三格，分别为隔油池、沉淀池、排水池，于井场</w:t>
                  </w:r>
                  <w:r>
                    <w:rPr>
                      <w:rFonts w:hint="eastAsia" w:ascii="Times New Roman" w:hAnsi="Times New Roman" w:cs="Times New Roman"/>
                      <w:bCs/>
                      <w:color w:val="auto"/>
                      <w:kern w:val="0"/>
                      <w:sz w:val="21"/>
                      <w:szCs w:val="21"/>
                      <w:lang w:val="en-US" w:eastAsia="zh-CN" w:bidi="ar"/>
                    </w:rPr>
                    <w:t>西侧、南侧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69" w:hRule="atLeast"/>
                <w:jc w:val="center"/>
              </w:trPr>
              <w:tc>
                <w:tcPr>
                  <w:tcW w:w="558" w:type="dxa"/>
                  <w:vMerge w:val="restart"/>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4</w:t>
                  </w:r>
                </w:p>
              </w:tc>
              <w:tc>
                <w:tcPr>
                  <w:tcW w:w="812" w:type="dxa"/>
                  <w:vMerge w:val="restart"/>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公用工程</w:t>
                  </w:r>
                </w:p>
              </w:tc>
              <w:tc>
                <w:tcPr>
                  <w:tcW w:w="1623"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活动房基础</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座</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21</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1个钻井队，含厨房、食堂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cantSplit/>
                <w:trHeight w:val="369" w:hRule="atLeast"/>
                <w:jc w:val="center"/>
              </w:trPr>
              <w:tc>
                <w:tcPr>
                  <w:tcW w:w="558"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rPr>
                  </w:pPr>
                </w:p>
              </w:tc>
              <w:tc>
                <w:tcPr>
                  <w:tcW w:w="812"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 w:val="20"/>
                      <w:szCs w:val="20"/>
                    </w:rPr>
                  </w:pPr>
                </w:p>
              </w:tc>
              <w:tc>
                <w:tcPr>
                  <w:tcW w:w="1623"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环保厕所</w:t>
                  </w:r>
                </w:p>
              </w:tc>
              <w:tc>
                <w:tcPr>
                  <w:tcW w:w="78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套</w:t>
                  </w:r>
                </w:p>
              </w:tc>
              <w:tc>
                <w:tcPr>
                  <w:tcW w:w="921"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2</w:t>
                  </w:r>
                </w:p>
              </w:tc>
              <w:tc>
                <w:tcPr>
                  <w:tcW w:w="2767" w:type="dxa"/>
                  <w:tcBorders>
                    <w:tl2br w:val="nil"/>
                    <w:tr2bl w:val="nil"/>
                  </w:tcBorders>
                  <w:shd w:val="clear" w:color="auto" w:fill="auto"/>
                  <w:vAlign w:val="center"/>
                </w:tcPr>
                <w:p>
                  <w:pPr>
                    <w:pStyle w:val="38"/>
                    <w:keepNext w:val="0"/>
                    <w:keepLines w:val="0"/>
                    <w:widowControl/>
                    <w:suppressLineNumbers w:val="0"/>
                    <w:snapToGrid w:val="0"/>
                    <w:spacing w:before="0" w:beforeAutospacing="0" w:after="0" w:afterAutospacing="0" w:line="256" w:lineRule="auto"/>
                    <w:ind w:left="0" w:right="0"/>
                    <w:jc w:val="center"/>
                    <w:rPr>
                      <w:rFonts w:hint="default" w:ascii="Times New Roman" w:hAnsi="Times New Roman" w:eastAsia="宋体" w:cs="Times New Roman"/>
                      <w:bCs/>
                      <w:color w:val="auto"/>
                      <w:kern w:val="0"/>
                      <w:sz w:val="21"/>
                      <w:szCs w:val="21"/>
                    </w:rPr>
                  </w:pPr>
                  <w:r>
                    <w:rPr>
                      <w:rFonts w:hint="default" w:ascii="Times New Roman" w:hAnsi="Times New Roman" w:eastAsia="宋体" w:cs="Times New Roman"/>
                      <w:bCs/>
                      <w:color w:val="auto"/>
                      <w:kern w:val="0"/>
                      <w:sz w:val="21"/>
                      <w:szCs w:val="21"/>
                      <w:lang w:val="en-US" w:eastAsia="zh-CN" w:bidi="ar"/>
                    </w:rPr>
                    <w:t>/</w:t>
                  </w:r>
                </w:p>
              </w:tc>
            </w:tr>
          </w:tbl>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Fonts w:hint="default" w:ascii="Times New Roman" w:hAnsi="Times New Roman" w:cs="Times New Roman"/>
                <w:bCs/>
                <w:color w:val="auto"/>
                <w:sz w:val="24"/>
                <w:szCs w:val="24"/>
              </w:rPr>
            </w:pPr>
            <w:r>
              <w:rPr>
                <w:rFonts w:hint="default" w:ascii="Times New Roman" w:hAnsi="Times New Roman" w:cs="Times New Roman"/>
                <w:bCs/>
                <w:color w:val="auto"/>
                <w:sz w:val="24"/>
                <w:szCs w:val="24"/>
              </w:rPr>
              <w:t>（2）钻井工程</w:t>
            </w:r>
          </w:p>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Fonts w:hint="default" w:ascii="Times New Roman" w:hAnsi="Times New Roman" w:cs="Times New Roman"/>
                <w:bCs/>
                <w:color w:val="auto"/>
                <w:sz w:val="24"/>
                <w:szCs w:val="24"/>
              </w:rPr>
            </w:pPr>
            <w:r>
              <w:rPr>
                <w:rFonts w:hint="eastAsia" w:cs="Times New Roman"/>
                <w:bCs/>
                <w:color w:val="auto"/>
                <w:sz w:val="24"/>
                <w:szCs w:val="24"/>
                <w:lang w:eastAsia="zh-CN"/>
              </w:rPr>
              <w:t>普陆12HF井</w:t>
            </w:r>
            <w:r>
              <w:rPr>
                <w:rFonts w:hint="default" w:ascii="Times New Roman" w:hAnsi="Times New Roman" w:cs="Times New Roman"/>
                <w:bCs/>
                <w:color w:val="auto"/>
                <w:sz w:val="24"/>
                <w:szCs w:val="24"/>
              </w:rPr>
              <w:t>井别参数如下表所示：</w:t>
            </w:r>
          </w:p>
          <w:p>
            <w:pPr>
              <w:pStyle w:val="19"/>
              <w:keepNext w:val="0"/>
              <w:keepLines w:val="0"/>
              <w:numPr>
                <w:ilvl w:val="0"/>
                <w:numId w:val="6"/>
              </w:numPr>
              <w:suppressLineNumbers w:val="0"/>
              <w:tabs>
                <w:tab w:val="left" w:pos="0"/>
                <w:tab w:val="left" w:pos="833"/>
              </w:tabs>
              <w:spacing w:before="0" w:beforeAutospacing="0" w:after="0" w:afterAutospacing="0" w:line="360" w:lineRule="auto"/>
              <w:ind w:left="0" w:right="0" w:firstLine="0"/>
              <w:jc w:val="center"/>
              <w:rPr>
                <w:rFonts w:hint="default" w:ascii="Times New Roman" w:hAnsi="Times New Roman" w:cs="Times New Roman"/>
                <w:bCs/>
                <w:color w:val="auto"/>
                <w:sz w:val="24"/>
                <w:szCs w:val="24"/>
              </w:rPr>
            </w:pPr>
            <w:r>
              <w:rPr>
                <w:rFonts w:hint="eastAsia" w:cs="Times New Roman"/>
                <w:b/>
                <w:bCs/>
                <w:color w:val="auto"/>
                <w:sz w:val="24"/>
                <w:szCs w:val="24"/>
                <w:lang w:eastAsia="zh-CN"/>
              </w:rPr>
              <w:t>普陆12HF井工程</w:t>
            </w:r>
            <w:r>
              <w:rPr>
                <w:rFonts w:hint="default" w:ascii="Times New Roman" w:hAnsi="Times New Roman" w:cs="Times New Roman"/>
                <w:b/>
                <w:bCs/>
                <w:color w:val="auto"/>
                <w:sz w:val="24"/>
                <w:szCs w:val="24"/>
              </w:rPr>
              <w:t>井型一览表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56"/>
              <w:gridCol w:w="848"/>
              <w:gridCol w:w="883"/>
              <w:gridCol w:w="1313"/>
              <w:gridCol w:w="920"/>
              <w:gridCol w:w="664"/>
              <w:gridCol w:w="814"/>
              <w:gridCol w:w="1263"/>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756" w:type="dxa"/>
                  <w:vMerge w:val="restart"/>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井位名称</w:t>
                  </w:r>
                </w:p>
              </w:tc>
              <w:tc>
                <w:tcPr>
                  <w:tcW w:w="1731" w:type="dxa"/>
                  <w:gridSpan w:val="2"/>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井位坐标</w:t>
                  </w:r>
                </w:p>
              </w:tc>
              <w:tc>
                <w:tcPr>
                  <w:tcW w:w="1313" w:type="dxa"/>
                  <w:vMerge w:val="restart"/>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设计井深</w:t>
                  </w:r>
                </w:p>
              </w:tc>
              <w:tc>
                <w:tcPr>
                  <w:tcW w:w="920" w:type="dxa"/>
                  <w:vMerge w:val="restart"/>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井型</w:t>
                  </w:r>
                </w:p>
              </w:tc>
              <w:tc>
                <w:tcPr>
                  <w:tcW w:w="664" w:type="dxa"/>
                  <w:vMerge w:val="restart"/>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井别</w:t>
                  </w:r>
                </w:p>
              </w:tc>
              <w:tc>
                <w:tcPr>
                  <w:tcW w:w="814" w:type="dxa"/>
                  <w:vMerge w:val="restart"/>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目的层</w:t>
                  </w:r>
                </w:p>
              </w:tc>
              <w:tc>
                <w:tcPr>
                  <w:tcW w:w="1263" w:type="dxa"/>
                  <w:vMerge w:val="restart"/>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完井方法</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756" w:type="dxa"/>
                  <w:vMerge w:val="continue"/>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color w:val="auto"/>
                    </w:rPr>
                  </w:pPr>
                </w:p>
              </w:tc>
              <w:tc>
                <w:tcPr>
                  <w:tcW w:w="848" w:type="dxa"/>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X坐标</w:t>
                  </w:r>
                </w:p>
              </w:tc>
              <w:tc>
                <w:tcPr>
                  <w:tcW w:w="883" w:type="dxa"/>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Y坐标</w:t>
                  </w:r>
                </w:p>
              </w:tc>
              <w:tc>
                <w:tcPr>
                  <w:tcW w:w="1313" w:type="dxa"/>
                  <w:vMerge w:val="continue"/>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p>
              </w:tc>
              <w:tc>
                <w:tcPr>
                  <w:tcW w:w="920" w:type="dxa"/>
                  <w:vMerge w:val="continue"/>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p>
              </w:tc>
              <w:tc>
                <w:tcPr>
                  <w:tcW w:w="664" w:type="dxa"/>
                  <w:vMerge w:val="continue"/>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p>
              </w:tc>
              <w:tc>
                <w:tcPr>
                  <w:tcW w:w="814" w:type="dxa"/>
                  <w:vMerge w:val="continue"/>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p>
              </w:tc>
              <w:tc>
                <w:tcPr>
                  <w:tcW w:w="1263" w:type="dxa"/>
                  <w:vMerge w:val="continue"/>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Cs/>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756" w:type="dxa"/>
                  <w:vAlign w:val="center"/>
                </w:tcPr>
                <w:p>
                  <w:pPr>
                    <w:pStyle w:val="19"/>
                    <w:keepNext w:val="0"/>
                    <w:keepLines w:val="0"/>
                    <w:suppressLineNumbers w:val="0"/>
                    <w:tabs>
                      <w:tab w:val="left" w:pos="0"/>
                      <w:tab w:val="left" w:pos="833"/>
                    </w:tabs>
                    <w:spacing w:before="0" w:beforeAutospacing="0" w:after="0" w:afterAutospacing="0" w:line="240" w:lineRule="auto"/>
                    <w:ind w:left="0" w:right="0"/>
                    <w:jc w:val="center"/>
                    <w:rPr>
                      <w:rFonts w:hint="eastAsia" w:ascii="Times New Roman" w:hAnsi="Times New Roman" w:eastAsia="宋体" w:cs="Times New Roman"/>
                      <w:bCs/>
                      <w:color w:val="auto"/>
                      <w:sz w:val="21"/>
                      <w:szCs w:val="21"/>
                      <w:lang w:eastAsia="zh-CN"/>
                    </w:rPr>
                  </w:pPr>
                  <w:r>
                    <w:rPr>
                      <w:rFonts w:hint="eastAsia" w:cs="Times New Roman"/>
                      <w:bCs/>
                      <w:color w:val="auto"/>
                      <w:sz w:val="21"/>
                      <w:szCs w:val="21"/>
                      <w:lang w:eastAsia="zh-CN"/>
                    </w:rPr>
                    <w:t>普陆12HF井</w:t>
                  </w:r>
                </w:p>
              </w:tc>
              <w:tc>
                <w:tcPr>
                  <w:tcW w:w="848"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Cs/>
                      <w:color w:val="auto"/>
                      <w:sz w:val="21"/>
                      <w:szCs w:val="21"/>
                      <w:lang w:val="en-US" w:eastAsia="zh-CN"/>
                    </w:rPr>
                  </w:pPr>
                  <w:r>
                    <w:rPr>
                      <w:rFonts w:hint="eastAsia" w:cs="Times New Roman"/>
                      <w:bCs/>
                      <w:color w:val="auto"/>
                      <w:sz w:val="21"/>
                      <w:szCs w:val="21"/>
                      <w:lang w:val="en-US" w:eastAsia="zh-CN"/>
                    </w:rPr>
                    <w:t>*</w:t>
                  </w:r>
                </w:p>
              </w:tc>
              <w:tc>
                <w:tcPr>
                  <w:tcW w:w="883"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Cs/>
                      <w:color w:val="auto"/>
                      <w:sz w:val="21"/>
                      <w:szCs w:val="21"/>
                      <w:lang w:val="en-US" w:eastAsia="zh-CN"/>
                    </w:rPr>
                  </w:pPr>
                  <w:r>
                    <w:rPr>
                      <w:rFonts w:hint="eastAsia" w:cs="Times New Roman"/>
                      <w:bCs/>
                      <w:color w:val="auto"/>
                      <w:sz w:val="21"/>
                      <w:szCs w:val="21"/>
                      <w:lang w:val="en-US" w:eastAsia="zh-CN"/>
                    </w:rPr>
                    <w:t>*</w:t>
                  </w:r>
                </w:p>
              </w:tc>
              <w:tc>
                <w:tcPr>
                  <w:tcW w:w="1313"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Cs/>
                      <w:color w:val="auto"/>
                      <w:sz w:val="21"/>
                      <w:szCs w:val="21"/>
                      <w:lang w:val="en-US" w:eastAsia="zh-CN"/>
                    </w:rPr>
                  </w:pPr>
                  <w:r>
                    <w:rPr>
                      <w:rFonts w:hint="eastAsia" w:cs="Times New Roman"/>
                      <w:bCs/>
                      <w:color w:val="auto"/>
                      <w:sz w:val="21"/>
                      <w:szCs w:val="21"/>
                      <w:lang w:val="en-US" w:eastAsia="zh-CN"/>
                    </w:rPr>
                    <w:t>*</w:t>
                  </w:r>
                </w:p>
              </w:tc>
              <w:tc>
                <w:tcPr>
                  <w:tcW w:w="920"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Cs/>
                      <w:color w:val="auto"/>
                      <w:sz w:val="21"/>
                      <w:szCs w:val="21"/>
                      <w:lang w:val="en-US" w:eastAsia="zh-CN"/>
                    </w:rPr>
                  </w:pPr>
                  <w:r>
                    <w:rPr>
                      <w:rFonts w:hint="eastAsia" w:cs="Times New Roman"/>
                      <w:bCs/>
                      <w:color w:val="auto"/>
                      <w:sz w:val="21"/>
                      <w:szCs w:val="21"/>
                      <w:lang w:val="en-US" w:eastAsia="zh-CN"/>
                    </w:rPr>
                    <w:t>*</w:t>
                  </w:r>
                </w:p>
              </w:tc>
              <w:tc>
                <w:tcPr>
                  <w:tcW w:w="664"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bCs/>
                      <w:color w:val="auto"/>
                      <w:sz w:val="21"/>
                      <w:szCs w:val="21"/>
                      <w:lang w:val="en-US"/>
                    </w:rPr>
                  </w:pPr>
                  <w:r>
                    <w:rPr>
                      <w:rFonts w:hint="eastAsia" w:cs="Times New Roman"/>
                      <w:bCs/>
                      <w:color w:val="auto"/>
                      <w:sz w:val="21"/>
                      <w:szCs w:val="21"/>
                      <w:lang w:val="en-US" w:eastAsia="zh-CN"/>
                    </w:rPr>
                    <w:t>*</w:t>
                  </w:r>
                </w:p>
              </w:tc>
              <w:tc>
                <w:tcPr>
                  <w:tcW w:w="814"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bCs/>
                      <w:color w:val="auto"/>
                      <w:sz w:val="21"/>
                      <w:szCs w:val="21"/>
                      <w:lang w:val="en-US" w:eastAsia="zh-CN"/>
                    </w:rPr>
                  </w:pPr>
                  <w:r>
                    <w:rPr>
                      <w:rFonts w:hint="eastAsia" w:cs="Times New Roman"/>
                      <w:bCs/>
                      <w:color w:val="auto"/>
                      <w:sz w:val="21"/>
                      <w:szCs w:val="21"/>
                      <w:lang w:val="en-US" w:eastAsia="zh-CN"/>
                    </w:rPr>
                    <w:t>*</w:t>
                  </w:r>
                </w:p>
              </w:tc>
              <w:tc>
                <w:tcPr>
                  <w:tcW w:w="1263" w:type="dxa"/>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bCs/>
                      <w:color w:val="auto"/>
                      <w:sz w:val="21"/>
                      <w:szCs w:val="21"/>
                      <w:lang w:val="en-US"/>
                    </w:rPr>
                  </w:pPr>
                  <w:r>
                    <w:rPr>
                      <w:rFonts w:hint="eastAsia" w:cs="Times New Roman"/>
                      <w:bCs/>
                      <w:color w:val="auto"/>
                      <w:sz w:val="21"/>
                      <w:szCs w:val="21"/>
                      <w:lang w:val="en-US" w:eastAsia="zh-CN"/>
                    </w:rPr>
                    <w:t>*</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szCs w:val="32"/>
              </w:rPr>
            </w:pPr>
            <w:r>
              <w:rPr>
                <w:rFonts w:hint="default" w:ascii="Times New Roman" w:hAnsi="Times New Roman" w:cs="Times New Roman"/>
                <w:color w:val="auto"/>
                <w:sz w:val="24"/>
                <w:szCs w:val="32"/>
                <w:lang w:val="en-US" w:eastAsia="zh-CN"/>
              </w:rPr>
              <w:t>井别为预探井，设计井型为导眼井+水平井，导眼井完钻层位</w:t>
            </w:r>
            <w:r>
              <w:rPr>
                <w:rFonts w:hint="eastAsia" w:cs="Times New Roman"/>
                <w:bCs/>
                <w:color w:val="auto"/>
                <w:sz w:val="21"/>
                <w:szCs w:val="21"/>
                <w:lang w:val="en-US" w:eastAsia="zh-CN"/>
              </w:rPr>
              <w:t>*****</w:t>
            </w:r>
            <w:r>
              <w:rPr>
                <w:rFonts w:hint="default" w:ascii="Times New Roman" w:hAnsi="Times New Roman" w:cs="Times New Roman"/>
                <w:color w:val="auto"/>
                <w:sz w:val="24"/>
                <w:szCs w:val="32"/>
                <w:lang w:val="en-US" w:eastAsia="zh-CN"/>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eastAsia="宋体" w:cs="Times New Roman"/>
                <w:color w:val="auto"/>
                <w:sz w:val="24"/>
                <w:szCs w:val="32"/>
                <w:lang w:val="en-US" w:eastAsia="zh-CN"/>
              </w:rPr>
            </w:pPr>
            <w:r>
              <w:rPr>
                <w:rFonts w:hint="eastAsia" w:cs="Times New Roman"/>
                <w:color w:val="auto"/>
                <w:sz w:val="24"/>
                <w:szCs w:val="32"/>
                <w:lang w:val="en-US" w:eastAsia="zh-CN"/>
              </w:rPr>
              <w:t>本项目一开段采用清水钻井，二开优先采用气体钻井，当不满足钻井要求时更换为常规水基钻井，三开采用常规水基钻井液钻井，若三开常规水基钻井液不能满足安全钻井要求，则更换为白油基钻井液体系。</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szCs w:val="32"/>
              </w:rPr>
            </w:pPr>
            <w:r>
              <w:rPr>
                <w:rFonts w:hint="default" w:ascii="Times New Roman" w:hAnsi="Times New Roman" w:cs="Times New Roman"/>
                <w:color w:val="auto"/>
                <w:sz w:val="24"/>
                <w:szCs w:val="32"/>
              </w:rPr>
              <w:t>（3）试气工程</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szCs w:val="32"/>
              </w:rPr>
            </w:pPr>
            <w:r>
              <w:rPr>
                <w:rFonts w:hint="default" w:ascii="Times New Roman" w:hAnsi="Times New Roman" w:cs="Times New Roman"/>
                <w:color w:val="auto"/>
                <w:sz w:val="24"/>
                <w:szCs w:val="32"/>
              </w:rPr>
              <w:t>试气工程主要包括洗井、射孔、压裂、测试及设备搬迁。</w:t>
            </w:r>
            <w:r>
              <w:rPr>
                <w:rFonts w:hint="default" w:ascii="Times New Roman" w:hAnsi="Times New Roman" w:cs="Times New Roman"/>
                <w:color w:val="auto"/>
                <w:sz w:val="24"/>
                <w:szCs w:val="32"/>
                <w:lang w:val="en-US" w:eastAsia="zh-CN"/>
              </w:rPr>
              <w:t>采用桥塞分段、套管注入体积压裂工艺，对千一段试气。设计分12段压裂改造，施工压力76.62兆帕，施工排量21—22方/分钟，总液量19250方，总砂量1560方。设计开展面微地震人工裂缝监测，各压裂段开展分段改造产能评价</w:t>
            </w:r>
            <w:r>
              <w:rPr>
                <w:rFonts w:hint="default" w:ascii="Times New Roman" w:hAnsi="Times New Roman" w:cs="Times New Roman"/>
                <w:color w:val="auto"/>
                <w:sz w:val="24"/>
                <w:szCs w:val="32"/>
              </w:rPr>
              <w:t>。</w:t>
            </w:r>
          </w:p>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Style w:val="47"/>
                <w:rFonts w:hint="default" w:ascii="Times New Roman" w:hAnsi="Times New Roman" w:cs="Times New Roman"/>
                <w:b w:val="0"/>
                <w:color w:val="auto"/>
                <w:sz w:val="24"/>
                <w:szCs w:val="24"/>
              </w:rPr>
            </w:pPr>
            <w:r>
              <w:rPr>
                <w:rStyle w:val="47"/>
                <w:rFonts w:hint="default" w:ascii="Times New Roman" w:hAnsi="Times New Roman" w:cs="Times New Roman"/>
                <w:b w:val="0"/>
                <w:color w:val="auto"/>
                <w:sz w:val="24"/>
                <w:szCs w:val="24"/>
              </w:rPr>
              <w:t>（4）组织定员及工程投资</w:t>
            </w:r>
          </w:p>
          <w:p>
            <w:pPr>
              <w:pStyle w:val="19"/>
              <w:keepNext w:val="0"/>
              <w:keepLines w:val="0"/>
              <w:suppressLineNumbers w:val="0"/>
              <w:tabs>
                <w:tab w:val="left" w:pos="0"/>
                <w:tab w:val="left" w:pos="833"/>
              </w:tabs>
              <w:spacing w:before="0" w:beforeAutospacing="0" w:after="0" w:afterAutospacing="0" w:line="360" w:lineRule="auto"/>
              <w:ind w:left="0" w:right="0" w:firstLine="480" w:firstLineChars="200"/>
              <w:rPr>
                <w:rStyle w:val="47"/>
                <w:rFonts w:hint="default" w:ascii="Times New Roman" w:hAnsi="Times New Roman" w:cs="Times New Roman"/>
                <w:b w:val="0"/>
                <w:color w:val="auto"/>
                <w:sz w:val="24"/>
                <w:szCs w:val="24"/>
              </w:rPr>
            </w:pPr>
            <w:r>
              <w:rPr>
                <w:rStyle w:val="47"/>
                <w:rFonts w:hint="default" w:ascii="Times New Roman" w:hAnsi="Times New Roman" w:cs="Times New Roman"/>
                <w:b w:val="0"/>
                <w:color w:val="auto"/>
                <w:sz w:val="24"/>
                <w:szCs w:val="24"/>
              </w:rPr>
              <w:t>工程投资：</w:t>
            </w:r>
            <w:r>
              <w:rPr>
                <w:rStyle w:val="47"/>
                <w:rFonts w:hint="eastAsia" w:cs="Times New Roman"/>
                <w:b w:val="0"/>
                <w:color w:val="auto"/>
                <w:sz w:val="24"/>
                <w:szCs w:val="24"/>
                <w:lang w:eastAsia="zh-CN"/>
              </w:rPr>
              <w:t>7193</w:t>
            </w:r>
            <w:r>
              <w:rPr>
                <w:rStyle w:val="47"/>
                <w:rFonts w:hint="default" w:ascii="Times New Roman" w:hAnsi="Times New Roman" w:cs="Times New Roman"/>
                <w:b w:val="0"/>
                <w:color w:val="auto"/>
                <w:sz w:val="24"/>
                <w:szCs w:val="24"/>
              </w:rPr>
              <w:t>万元</w:t>
            </w:r>
            <w:r>
              <w:rPr>
                <w:rFonts w:hint="default" w:ascii="Times New Roman" w:hAnsi="Times New Roman" w:cs="Times New Roman"/>
                <w:bCs/>
                <w:color w:val="auto"/>
                <w:sz w:val="24"/>
                <w:szCs w:val="24"/>
              </w:rPr>
              <w:t>，</w:t>
            </w:r>
            <w:r>
              <w:rPr>
                <w:rStyle w:val="47"/>
                <w:rFonts w:hint="default" w:ascii="Times New Roman" w:hAnsi="Times New Roman" w:cs="Times New Roman"/>
                <w:b w:val="0"/>
                <w:color w:val="auto"/>
                <w:sz w:val="24"/>
                <w:szCs w:val="24"/>
              </w:rPr>
              <w:t>环保投资</w:t>
            </w:r>
            <w:r>
              <w:rPr>
                <w:rStyle w:val="47"/>
                <w:rFonts w:hint="eastAsia" w:cs="Times New Roman"/>
                <w:b w:val="0"/>
                <w:color w:val="auto"/>
                <w:sz w:val="24"/>
                <w:szCs w:val="24"/>
                <w:lang w:eastAsia="zh-CN"/>
              </w:rPr>
              <w:t>577</w:t>
            </w:r>
            <w:r>
              <w:rPr>
                <w:rStyle w:val="47"/>
                <w:rFonts w:hint="default" w:ascii="Times New Roman" w:hAnsi="Times New Roman" w:cs="Times New Roman"/>
                <w:b w:val="0"/>
                <w:color w:val="auto"/>
                <w:sz w:val="24"/>
                <w:szCs w:val="24"/>
              </w:rPr>
              <w:t>万元，占总投资</w:t>
            </w:r>
            <w:bookmarkEnd w:id="6"/>
            <w:r>
              <w:rPr>
                <w:rStyle w:val="47"/>
                <w:rFonts w:hint="eastAsia" w:cs="Times New Roman"/>
                <w:b w:val="0"/>
                <w:color w:val="auto"/>
                <w:sz w:val="24"/>
                <w:szCs w:val="24"/>
                <w:lang w:eastAsia="zh-CN"/>
              </w:rPr>
              <w:t>8.0</w:t>
            </w:r>
            <w:r>
              <w:rPr>
                <w:rStyle w:val="47"/>
                <w:rFonts w:hint="default" w:ascii="Times New Roman" w:hAnsi="Times New Roman" w:cs="Times New Roman"/>
                <w:b w:val="0"/>
                <w:color w:val="auto"/>
                <w:sz w:val="24"/>
                <w:szCs w:val="24"/>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组织机构及定员、进度：</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钻井工程共1个钻井队，钻井队编制约40人，钻井工程</w:t>
            </w:r>
            <w:r>
              <w:rPr>
                <w:rFonts w:hint="eastAsia" w:cs="Times New Roman"/>
                <w:bCs/>
                <w:color w:val="auto"/>
                <w:sz w:val="24"/>
                <w:lang w:val="en-US" w:eastAsia="zh-CN"/>
              </w:rPr>
              <w:t>为94天</w:t>
            </w:r>
            <w:r>
              <w:rPr>
                <w:rFonts w:hint="default" w:ascii="Times New Roman" w:hAnsi="Times New Roman" w:cs="Times New Roman"/>
                <w:bCs/>
                <w:color w:val="auto"/>
                <w:sz w:val="24"/>
              </w:rPr>
              <w:t>，钻井井队为24h连续工作。</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试气工程施工人数约45人，施工周期</w:t>
            </w:r>
            <w:r>
              <w:rPr>
                <w:rFonts w:hint="eastAsia" w:cs="Times New Roman"/>
                <w:bCs/>
                <w:color w:val="auto"/>
                <w:sz w:val="24"/>
                <w:lang w:val="en-US" w:eastAsia="zh-CN"/>
              </w:rPr>
              <w:t>为98天</w:t>
            </w:r>
            <w:r>
              <w:rPr>
                <w:rFonts w:hint="default" w:ascii="Times New Roman" w:hAnsi="Times New Roman" w:cs="Times New Roman"/>
                <w:bCs/>
                <w:color w:val="auto"/>
                <w:sz w:val="24"/>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设备搬迁、场地清理时间约1个月。</w:t>
            </w:r>
            <w:bookmarkEnd w:id="7"/>
          </w:p>
          <w:p>
            <w:pPr>
              <w:pStyle w:val="38"/>
              <w:keepNext w:val="0"/>
              <w:keepLines w:val="0"/>
              <w:numPr>
                <w:ilvl w:val="1"/>
                <w:numId w:val="4"/>
              </w:numPr>
              <w:suppressLineNumbers w:val="0"/>
              <w:spacing w:before="0" w:beforeAutospacing="0" w:after="0" w:afterAutospacing="0" w:line="360" w:lineRule="auto"/>
              <w:ind w:right="0"/>
              <w:rPr>
                <w:rFonts w:hint="default" w:ascii="Times New Roman" w:hAnsi="Times New Roman" w:cs="Times New Roman"/>
                <w:b/>
                <w:color w:val="auto"/>
              </w:rPr>
            </w:pPr>
            <w:r>
              <w:rPr>
                <w:rFonts w:hint="default" w:ascii="Times New Roman" w:hAnsi="Times New Roman" w:cs="Times New Roman"/>
                <w:b/>
                <w:color w:val="auto"/>
              </w:rPr>
              <w:t>项目组成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color w:val="auto"/>
                <w:kern w:val="0"/>
                <w:sz w:val="24"/>
                <w:lang w:bidi="ar"/>
              </w:rPr>
              <w:t>根据项目的工程特点，可将本项目实施分为钻前工程、钻井工程以及试气工程。工程不涉及运营期进行油气的采输生产问题，因此不对运营期工程进行分析。</w:t>
            </w:r>
            <w:bookmarkStart w:id="10" w:name="_Hlk80691108"/>
            <w:r>
              <w:rPr>
                <w:rFonts w:hint="default" w:ascii="Times New Roman" w:hAnsi="Times New Roman" w:cs="Times New Roman"/>
                <w:color w:val="auto"/>
                <w:kern w:val="0"/>
                <w:sz w:val="24"/>
                <w:lang w:bidi="ar"/>
              </w:rPr>
              <w:t>项目</w:t>
            </w:r>
            <w:r>
              <w:rPr>
                <w:rFonts w:hint="default" w:ascii="Times New Roman" w:hAnsi="Times New Roman" w:cs="Times New Roman"/>
                <w:bCs/>
                <w:color w:val="auto"/>
                <w:sz w:val="24"/>
              </w:rPr>
              <w:t>主要工程内容和工程量见下表。</w:t>
            </w:r>
          </w:p>
          <w:p>
            <w:pPr>
              <w:pStyle w:val="19"/>
              <w:keepNext w:val="0"/>
              <w:keepLines w:val="0"/>
              <w:numPr>
                <w:ilvl w:val="0"/>
                <w:numId w:val="6"/>
              </w:numPr>
              <w:suppressLineNumbers w:val="0"/>
              <w:tabs>
                <w:tab w:val="left" w:pos="0"/>
                <w:tab w:val="left" w:pos="833"/>
              </w:tabs>
              <w:spacing w:before="0" w:beforeAutospacing="0" w:after="0" w:afterAutospacing="0" w:line="360" w:lineRule="auto"/>
              <w:ind w:left="0" w:right="0" w:firstLine="0"/>
              <w:jc w:val="center"/>
              <w:rPr>
                <w:rFonts w:hint="default" w:ascii="Times New Roman" w:hAnsi="Times New Roman" w:cs="Times New Roman"/>
                <w:b/>
                <w:bCs/>
                <w:color w:val="auto"/>
                <w:sz w:val="24"/>
                <w:szCs w:val="24"/>
              </w:rPr>
            </w:pPr>
            <w:r>
              <w:rPr>
                <w:rFonts w:hint="default" w:ascii="Times New Roman" w:hAnsi="Times New Roman" w:cs="Times New Roman"/>
                <w:b/>
                <w:bCs/>
                <w:color w:val="auto"/>
                <w:sz w:val="24"/>
                <w:szCs w:val="24"/>
              </w:rPr>
              <w:t>项目组成及主要环境影响</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98"/>
              <w:gridCol w:w="422"/>
              <w:gridCol w:w="732"/>
              <w:gridCol w:w="4110"/>
              <w:gridCol w:w="648"/>
              <w:gridCol w:w="105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blHeader/>
                <w:jc w:val="center"/>
              </w:trPr>
              <w:tc>
                <w:tcPr>
                  <w:tcW w:w="49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bookmarkStart w:id="11" w:name="_Hlk69130929"/>
                  <w:r>
                    <w:rPr>
                      <w:rFonts w:hint="default" w:ascii="Times New Roman" w:hAnsi="Times New Roman" w:cs="Times New Roman"/>
                      <w:color w:val="auto"/>
                      <w:kern w:val="28"/>
                      <w:szCs w:val="21"/>
                    </w:rPr>
                    <w:t>名称</w:t>
                  </w:r>
                </w:p>
              </w:tc>
              <w:tc>
                <w:tcPr>
                  <w:tcW w:w="1154"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建设内容</w:t>
                  </w:r>
                </w:p>
              </w:tc>
              <w:tc>
                <w:tcPr>
                  <w:tcW w:w="411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建设规模</w:t>
                  </w:r>
                </w:p>
              </w:tc>
              <w:tc>
                <w:tcPr>
                  <w:tcW w:w="64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建设性质</w:t>
                  </w:r>
                </w:p>
              </w:tc>
              <w:tc>
                <w:tcPr>
                  <w:tcW w:w="105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可能产生的环境影响</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主体工程</w:t>
                  </w:r>
                </w:p>
              </w:tc>
              <w:tc>
                <w:tcPr>
                  <w:tcW w:w="422"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jc w:val="center"/>
                    <w:rPr>
                      <w:rFonts w:hint="default" w:ascii="Times New Roman" w:hAnsi="Times New Roman" w:cs="Times New Roman"/>
                      <w:color w:val="auto"/>
                      <w:kern w:val="28"/>
                      <w:sz w:val="21"/>
                      <w:szCs w:val="21"/>
                    </w:rPr>
                  </w:pPr>
                  <w:r>
                    <w:rPr>
                      <w:rFonts w:hint="default" w:ascii="Times New Roman" w:hAnsi="Times New Roman" w:cs="Times New Roman"/>
                      <w:color w:val="auto"/>
                      <w:kern w:val="28"/>
                      <w:sz w:val="21"/>
                      <w:szCs w:val="21"/>
                    </w:rPr>
                    <w:t>钻前工程</w:t>
                  </w:r>
                </w:p>
              </w:tc>
              <w:tc>
                <w:tcPr>
                  <w:tcW w:w="732" w:type="dxa"/>
                  <w:tcBorders>
                    <w:bottom w:val="single" w:color="auto" w:sz="4" w:space="0"/>
                  </w:tcBorders>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jc w:val="center"/>
                    <w:rPr>
                      <w:rFonts w:hint="default" w:ascii="Times New Roman" w:hAnsi="Times New Roman" w:cs="Times New Roman"/>
                      <w:color w:val="auto"/>
                      <w:kern w:val="28"/>
                      <w:sz w:val="21"/>
                      <w:szCs w:val="21"/>
                    </w:rPr>
                  </w:pPr>
                  <w:r>
                    <w:rPr>
                      <w:rFonts w:hint="default" w:ascii="Times New Roman" w:hAnsi="Times New Roman" w:cs="Times New Roman"/>
                      <w:color w:val="auto"/>
                      <w:kern w:val="28"/>
                      <w:sz w:val="21"/>
                      <w:szCs w:val="21"/>
                    </w:rPr>
                    <w:t>井场</w:t>
                  </w:r>
                </w:p>
              </w:tc>
              <w:tc>
                <w:tcPr>
                  <w:tcW w:w="4110"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auto"/>
                      <w:kern w:val="28"/>
                      <w:sz w:val="21"/>
                      <w:szCs w:val="21"/>
                    </w:rPr>
                  </w:pPr>
                  <w:r>
                    <w:rPr>
                      <w:rFonts w:hint="default" w:ascii="Times New Roman" w:hAnsi="Times New Roman" w:cs="Times New Roman"/>
                      <w:color w:val="auto"/>
                      <w:kern w:val="28"/>
                      <w:sz w:val="21"/>
                      <w:szCs w:val="21"/>
                    </w:rPr>
                    <w:t>新建</w:t>
                  </w:r>
                  <w:r>
                    <w:rPr>
                      <w:rFonts w:hint="eastAsia" w:cs="Times New Roman"/>
                      <w:color w:val="auto"/>
                      <w:kern w:val="28"/>
                      <w:sz w:val="21"/>
                      <w:szCs w:val="21"/>
                      <w:lang w:eastAsia="zh-CN"/>
                    </w:rPr>
                    <w:t>普陆12HF井</w:t>
                  </w:r>
                  <w:r>
                    <w:rPr>
                      <w:rFonts w:hint="default" w:ascii="Times New Roman" w:hAnsi="Times New Roman" w:cs="Times New Roman"/>
                      <w:color w:val="auto"/>
                      <w:kern w:val="28"/>
                      <w:sz w:val="21"/>
                      <w:szCs w:val="21"/>
                    </w:rPr>
                    <w:t>平台，井场大小为11</w:t>
                  </w:r>
                  <w:r>
                    <w:rPr>
                      <w:rFonts w:hint="eastAsia" w:cs="Times New Roman"/>
                      <w:color w:val="auto"/>
                      <w:kern w:val="28"/>
                      <w:sz w:val="21"/>
                      <w:szCs w:val="21"/>
                      <w:lang w:val="en-US" w:eastAsia="zh-CN"/>
                    </w:rPr>
                    <w:t>4</w:t>
                  </w:r>
                  <w:r>
                    <w:rPr>
                      <w:rFonts w:hint="default" w:ascii="Times New Roman" w:hAnsi="Times New Roman" w:cs="Times New Roman"/>
                      <w:color w:val="auto"/>
                      <w:kern w:val="28"/>
                      <w:sz w:val="21"/>
                      <w:szCs w:val="21"/>
                    </w:rPr>
                    <w:t>m×</w:t>
                  </w:r>
                  <w:r>
                    <w:rPr>
                      <w:rFonts w:hint="eastAsia" w:cs="Times New Roman"/>
                      <w:color w:val="auto"/>
                      <w:kern w:val="28"/>
                      <w:sz w:val="21"/>
                      <w:szCs w:val="21"/>
                      <w:lang w:val="en-US" w:eastAsia="zh-CN"/>
                    </w:rPr>
                    <w:t>50</w:t>
                  </w:r>
                  <w:r>
                    <w:rPr>
                      <w:rFonts w:hint="default" w:ascii="Times New Roman" w:hAnsi="Times New Roman" w:cs="Times New Roman"/>
                      <w:color w:val="auto"/>
                      <w:kern w:val="28"/>
                      <w:sz w:val="21"/>
                      <w:szCs w:val="21"/>
                    </w:rPr>
                    <w:t>m，钻前工程主要进行场地平整，新建井场内排污沟3</w:t>
                  </w:r>
                  <w:r>
                    <w:rPr>
                      <w:rFonts w:hint="eastAsia" w:cs="Times New Roman"/>
                      <w:color w:val="auto"/>
                      <w:kern w:val="28"/>
                      <w:sz w:val="21"/>
                      <w:szCs w:val="21"/>
                      <w:lang w:val="en-US" w:eastAsia="zh-CN"/>
                    </w:rPr>
                    <w:t>90</w:t>
                  </w:r>
                  <w:r>
                    <w:rPr>
                      <w:rFonts w:hint="default" w:ascii="Times New Roman" w:hAnsi="Times New Roman" w:cs="Times New Roman"/>
                      <w:color w:val="auto"/>
                      <w:kern w:val="28"/>
                      <w:sz w:val="21"/>
                      <w:szCs w:val="21"/>
                    </w:rPr>
                    <w:t>m、场外排水沟380m、</w:t>
                  </w:r>
                  <w:r>
                    <w:rPr>
                      <w:rFonts w:hint="eastAsia" w:cs="Times New Roman"/>
                      <w:color w:val="auto"/>
                      <w:kern w:val="28"/>
                      <w:sz w:val="21"/>
                      <w:szCs w:val="21"/>
                      <w:lang w:val="en-US" w:eastAsia="zh-CN"/>
                    </w:rPr>
                    <w:t>新建1.5m宽坡顶截水沟160m，</w:t>
                  </w:r>
                  <w:r>
                    <w:rPr>
                      <w:rFonts w:hint="default" w:ascii="Times New Roman" w:hAnsi="Times New Roman" w:cs="Times New Roman"/>
                      <w:color w:val="auto"/>
                      <w:kern w:val="28"/>
                      <w:sz w:val="21"/>
                      <w:szCs w:val="21"/>
                    </w:rPr>
                    <w:t>设置</w:t>
                  </w:r>
                  <w:r>
                    <w:rPr>
                      <w:rFonts w:hint="eastAsia" w:cs="Times New Roman"/>
                      <w:color w:val="auto"/>
                      <w:kern w:val="28"/>
                      <w:sz w:val="21"/>
                      <w:szCs w:val="21"/>
                      <w:lang w:val="en-US" w:eastAsia="zh-CN"/>
                    </w:rPr>
                    <w:t>45</w:t>
                  </w:r>
                  <w:r>
                    <w:rPr>
                      <w:rFonts w:hint="default" w:ascii="Times New Roman" w:hAnsi="Times New Roman" w:cs="Times New Roman"/>
                      <w:color w:val="auto"/>
                      <w:kern w:val="28"/>
                      <w:sz w:val="21"/>
                      <w:szCs w:val="21"/>
                      <w:lang w:val="en-US" w:eastAsia="zh-CN"/>
                    </w:rPr>
                    <w:t>0</w:t>
                  </w:r>
                  <w:r>
                    <w:rPr>
                      <w:rFonts w:hint="default" w:ascii="Times New Roman" w:hAnsi="Times New Roman" w:cs="Times New Roman"/>
                      <w:color w:val="auto"/>
                      <w:kern w:val="28"/>
                      <w:sz w:val="21"/>
                      <w:szCs w:val="21"/>
                    </w:rPr>
                    <w:t>m</w:t>
                  </w:r>
                  <w:r>
                    <w:rPr>
                      <w:rFonts w:hint="default" w:ascii="Times New Roman" w:hAnsi="Times New Roman" w:cs="Times New Roman"/>
                      <w:color w:val="auto"/>
                      <w:kern w:val="28"/>
                      <w:sz w:val="21"/>
                      <w:szCs w:val="21"/>
                      <w:vertAlign w:val="superscript"/>
                    </w:rPr>
                    <w:t>2</w:t>
                  </w:r>
                  <w:r>
                    <w:rPr>
                      <w:rFonts w:hint="default" w:ascii="Times New Roman" w:hAnsi="Times New Roman" w:cs="Times New Roman"/>
                      <w:color w:val="auto"/>
                      <w:kern w:val="28"/>
                      <w:sz w:val="21"/>
                      <w:szCs w:val="21"/>
                    </w:rPr>
                    <w:t>泥浆不落地平台、配套完善钻井生活营区、钻井设备基础、给排水、供配电等辅助工程。</w:t>
                  </w:r>
                </w:p>
              </w:tc>
              <w:tc>
                <w:tcPr>
                  <w:tcW w:w="648"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新建</w:t>
                  </w:r>
                </w:p>
              </w:tc>
              <w:tc>
                <w:tcPr>
                  <w:tcW w:w="1051"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jc w:val="center"/>
                    <w:rPr>
                      <w:rFonts w:hint="default" w:ascii="Times New Roman" w:hAnsi="Times New Roman" w:cs="Times New Roman"/>
                      <w:color w:val="auto"/>
                      <w:kern w:val="28"/>
                      <w:sz w:val="21"/>
                      <w:szCs w:val="21"/>
                    </w:rPr>
                  </w:pPr>
                  <w:r>
                    <w:rPr>
                      <w:rFonts w:hint="default" w:ascii="Times New Roman" w:hAnsi="Times New Roman" w:cs="Times New Roman"/>
                      <w:color w:val="auto"/>
                      <w:kern w:val="28"/>
                      <w:sz w:val="21"/>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422" w:type="dxa"/>
                  <w:vMerge w:val="restart"/>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jc w:val="center"/>
                    <w:rPr>
                      <w:rFonts w:hint="default" w:ascii="Times New Roman" w:hAnsi="Times New Roman" w:cs="Times New Roman"/>
                      <w:color w:val="auto"/>
                      <w:kern w:val="28"/>
                      <w:sz w:val="21"/>
                      <w:szCs w:val="21"/>
                    </w:rPr>
                  </w:pPr>
                  <w:r>
                    <w:rPr>
                      <w:rFonts w:hint="default" w:ascii="Times New Roman" w:hAnsi="Times New Roman" w:cs="Times New Roman"/>
                      <w:color w:val="auto"/>
                      <w:kern w:val="28"/>
                      <w:sz w:val="21"/>
                      <w:szCs w:val="21"/>
                    </w:rPr>
                    <w:t>钻井工程</w:t>
                  </w:r>
                </w:p>
              </w:tc>
              <w:tc>
                <w:tcPr>
                  <w:tcW w:w="732" w:type="dxa"/>
                  <w:tcBorders>
                    <w:bottom w:val="single" w:color="auto" w:sz="4" w:space="0"/>
                  </w:tcBorders>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jc w:val="center"/>
                    <w:rPr>
                      <w:rFonts w:hint="default" w:ascii="Times New Roman" w:hAnsi="Times New Roman" w:cs="Times New Roman"/>
                      <w:color w:val="auto"/>
                      <w:kern w:val="28"/>
                      <w:sz w:val="21"/>
                      <w:szCs w:val="21"/>
                    </w:rPr>
                  </w:pPr>
                  <w:r>
                    <w:rPr>
                      <w:rFonts w:hint="default" w:ascii="Times New Roman" w:hAnsi="Times New Roman" w:cs="Times New Roman"/>
                      <w:color w:val="auto"/>
                      <w:kern w:val="28"/>
                      <w:sz w:val="21"/>
                      <w:szCs w:val="21"/>
                    </w:rPr>
                    <w:t>钻井</w:t>
                  </w:r>
                </w:p>
              </w:tc>
              <w:tc>
                <w:tcPr>
                  <w:tcW w:w="4110"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auto"/>
                      <w:sz w:val="21"/>
                      <w:szCs w:val="21"/>
                    </w:rPr>
                  </w:pPr>
                  <w:r>
                    <w:rPr>
                      <w:rFonts w:hint="eastAsia" w:cs="Times New Roman"/>
                      <w:color w:val="auto"/>
                      <w:kern w:val="28"/>
                      <w:sz w:val="21"/>
                      <w:szCs w:val="21"/>
                      <w:lang w:eastAsia="zh-CN"/>
                    </w:rPr>
                    <w:t>普陆12HF井</w:t>
                  </w:r>
                  <w:r>
                    <w:rPr>
                      <w:rFonts w:hint="default" w:ascii="Times New Roman" w:hAnsi="Times New Roman" w:cs="Times New Roman"/>
                      <w:color w:val="auto"/>
                      <w:kern w:val="28"/>
                      <w:sz w:val="21"/>
                      <w:szCs w:val="21"/>
                    </w:rPr>
                    <w:t>为</w:t>
                  </w:r>
                  <w:r>
                    <w:rPr>
                      <w:rFonts w:hint="eastAsia" w:cs="Times New Roman"/>
                      <w:color w:val="auto"/>
                      <w:kern w:val="28"/>
                      <w:sz w:val="21"/>
                      <w:szCs w:val="21"/>
                      <w:lang w:val="en-US" w:eastAsia="zh-CN"/>
                    </w:rPr>
                    <w:t>导眼</w:t>
                  </w:r>
                  <w:r>
                    <w:rPr>
                      <w:rFonts w:hint="default" w:ascii="Times New Roman" w:hAnsi="Times New Roman" w:cs="Times New Roman"/>
                      <w:color w:val="auto"/>
                      <w:kern w:val="28"/>
                      <w:sz w:val="21"/>
                      <w:szCs w:val="21"/>
                    </w:rPr>
                    <w:t>井</w:t>
                  </w:r>
                  <w:r>
                    <w:rPr>
                      <w:rFonts w:hint="eastAsia" w:cs="Times New Roman"/>
                      <w:color w:val="auto"/>
                      <w:kern w:val="28"/>
                      <w:sz w:val="21"/>
                      <w:szCs w:val="21"/>
                      <w:lang w:val="en-US" w:eastAsia="zh-CN"/>
                    </w:rPr>
                    <w:t>+水平井</w:t>
                  </w:r>
                  <w:r>
                    <w:rPr>
                      <w:rFonts w:hint="default" w:ascii="Times New Roman" w:hAnsi="Times New Roman" w:cs="Times New Roman"/>
                      <w:color w:val="auto"/>
                      <w:kern w:val="28"/>
                      <w:sz w:val="21"/>
                      <w:szCs w:val="21"/>
                    </w:rPr>
                    <w:t>，目的层位为</w:t>
                  </w:r>
                  <w:r>
                    <w:rPr>
                      <w:rFonts w:hint="eastAsia" w:cs="Times New Roman"/>
                      <w:color w:val="auto"/>
                      <w:kern w:val="28"/>
                      <w:sz w:val="21"/>
                      <w:szCs w:val="21"/>
                      <w:lang w:val="en-US" w:eastAsia="zh-CN"/>
                    </w:rPr>
                    <w:t>*****</w:t>
                  </w:r>
                  <w:r>
                    <w:rPr>
                      <w:rFonts w:hint="eastAsia" w:cs="Times New Roman"/>
                      <w:bCs/>
                      <w:color w:val="auto"/>
                      <w:sz w:val="21"/>
                      <w:szCs w:val="21"/>
                      <w:lang w:val="en-US" w:eastAsia="zh-CN"/>
                    </w:rPr>
                    <w:t>**</w:t>
                  </w:r>
                  <w:r>
                    <w:rPr>
                      <w:rFonts w:hint="default" w:ascii="Times New Roman" w:hAnsi="Times New Roman" w:cs="Times New Roman"/>
                      <w:color w:val="auto"/>
                      <w:kern w:val="28"/>
                      <w:sz w:val="21"/>
                      <w:szCs w:val="21"/>
                    </w:rPr>
                    <w:t>，</w:t>
                  </w:r>
                  <w:r>
                    <w:rPr>
                      <w:rFonts w:hint="eastAsia" w:cs="Times New Roman"/>
                      <w:color w:val="auto"/>
                      <w:kern w:val="28"/>
                      <w:sz w:val="21"/>
                      <w:szCs w:val="21"/>
                      <w:lang w:val="en-US" w:eastAsia="zh-CN"/>
                    </w:rPr>
                    <w:t>一开</w:t>
                  </w:r>
                  <w:r>
                    <w:rPr>
                      <w:rFonts w:hint="default" w:ascii="Times New Roman" w:hAnsi="Times New Roman" w:cs="Times New Roman"/>
                      <w:color w:val="auto"/>
                      <w:kern w:val="28"/>
                      <w:sz w:val="21"/>
                      <w:szCs w:val="21"/>
                    </w:rPr>
                    <w:t>段采用清水钻井；二开段</w:t>
                  </w:r>
                  <w:r>
                    <w:rPr>
                      <w:rFonts w:hint="default" w:ascii="Times New Roman" w:hAnsi="Times New Roman" w:cs="Times New Roman"/>
                      <w:color w:val="auto"/>
                      <w:kern w:val="28"/>
                      <w:sz w:val="21"/>
                      <w:szCs w:val="21"/>
                      <w:lang w:val="en-US" w:eastAsia="zh-CN"/>
                    </w:rPr>
                    <w:t>优先</w:t>
                  </w:r>
                  <w:r>
                    <w:rPr>
                      <w:rFonts w:hint="default" w:ascii="Times New Roman" w:hAnsi="Times New Roman" w:cs="Times New Roman"/>
                      <w:color w:val="auto"/>
                      <w:kern w:val="28"/>
                      <w:sz w:val="21"/>
                      <w:szCs w:val="21"/>
                    </w:rPr>
                    <w:t>采用气体钻井</w:t>
                  </w:r>
                  <w:r>
                    <w:rPr>
                      <w:rFonts w:hint="default" w:ascii="Times New Roman" w:hAnsi="Times New Roman" w:cs="Times New Roman"/>
                      <w:color w:val="auto"/>
                      <w:kern w:val="28"/>
                      <w:sz w:val="21"/>
                      <w:szCs w:val="21"/>
                      <w:lang w:eastAsia="zh-CN"/>
                    </w:rPr>
                    <w:t>，</w:t>
                  </w:r>
                  <w:r>
                    <w:rPr>
                      <w:rFonts w:hint="default" w:ascii="Times New Roman" w:hAnsi="Times New Roman" w:cs="Times New Roman"/>
                      <w:color w:val="auto"/>
                      <w:kern w:val="28"/>
                      <w:sz w:val="21"/>
                      <w:szCs w:val="21"/>
                      <w:lang w:val="en-US" w:eastAsia="zh-CN"/>
                    </w:rPr>
                    <w:t>当空气钻不满足要求时更换为</w:t>
                  </w:r>
                  <w:r>
                    <w:rPr>
                      <w:rFonts w:hint="default" w:ascii="Times New Roman" w:hAnsi="Times New Roman" w:cs="Times New Roman"/>
                      <w:color w:val="auto"/>
                      <w:kern w:val="28"/>
                      <w:sz w:val="21"/>
                      <w:szCs w:val="21"/>
                    </w:rPr>
                    <w:t>常规水基钻井液钻井，三开段采用水基钻井液钻井</w:t>
                  </w:r>
                  <w:r>
                    <w:rPr>
                      <w:rFonts w:hint="eastAsia" w:cs="Times New Roman"/>
                      <w:color w:val="auto"/>
                      <w:kern w:val="28"/>
                      <w:sz w:val="21"/>
                      <w:szCs w:val="21"/>
                      <w:lang w:eastAsia="zh-CN"/>
                    </w:rPr>
                    <w:t>，</w:t>
                  </w:r>
                  <w:r>
                    <w:rPr>
                      <w:rFonts w:hint="eastAsia" w:cs="Times New Roman"/>
                      <w:color w:val="auto"/>
                      <w:kern w:val="28"/>
                      <w:sz w:val="21"/>
                      <w:szCs w:val="21"/>
                      <w:lang w:val="en-US" w:eastAsia="zh-CN"/>
                    </w:rPr>
                    <w:t>若不能相关安全要求时，更换为油基钻井液钻井。</w:t>
                  </w:r>
                  <w:r>
                    <w:rPr>
                      <w:rFonts w:hint="default" w:ascii="Times New Roman" w:hAnsi="Times New Roman" w:cs="Times New Roman"/>
                      <w:color w:val="auto"/>
                      <w:kern w:val="28"/>
                      <w:sz w:val="21"/>
                      <w:szCs w:val="21"/>
                    </w:rPr>
                    <w:t>本项目钻井采用ZJ</w:t>
                  </w:r>
                  <w:r>
                    <w:rPr>
                      <w:rFonts w:hint="eastAsia" w:cs="Times New Roman"/>
                      <w:color w:val="auto"/>
                      <w:kern w:val="28"/>
                      <w:sz w:val="21"/>
                      <w:szCs w:val="21"/>
                      <w:lang w:val="en-US" w:eastAsia="zh-CN"/>
                    </w:rPr>
                    <w:t>70</w:t>
                  </w:r>
                  <w:r>
                    <w:rPr>
                      <w:rFonts w:hint="default" w:ascii="Times New Roman" w:hAnsi="Times New Roman" w:cs="Times New Roman"/>
                      <w:color w:val="auto"/>
                      <w:kern w:val="28"/>
                      <w:sz w:val="21"/>
                      <w:szCs w:val="21"/>
                    </w:rPr>
                    <w:t>型钻机。</w:t>
                  </w:r>
                </w:p>
              </w:tc>
              <w:tc>
                <w:tcPr>
                  <w:tcW w:w="648"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auto"/>
                      <w:kern w:val="28"/>
                      <w:sz w:val="21"/>
                      <w:szCs w:val="21"/>
                    </w:rPr>
                  </w:pPr>
                  <w:r>
                    <w:rPr>
                      <w:rFonts w:hint="default" w:ascii="Times New Roman" w:hAnsi="Times New Roman" w:cs="Times New Roman"/>
                      <w:color w:val="auto"/>
                      <w:kern w:val="28"/>
                      <w:sz w:val="21"/>
                      <w:szCs w:val="21"/>
                    </w:rPr>
                    <w:t>新建</w:t>
                  </w:r>
                </w:p>
              </w:tc>
              <w:tc>
                <w:tcPr>
                  <w:tcW w:w="1051"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jc w:val="center"/>
                    <w:rPr>
                      <w:rFonts w:hint="default" w:ascii="Times New Roman" w:hAnsi="Times New Roman" w:cs="Times New Roman"/>
                      <w:color w:val="auto"/>
                      <w:kern w:val="28"/>
                      <w:sz w:val="21"/>
                      <w:szCs w:val="21"/>
                    </w:rPr>
                  </w:pPr>
                  <w:r>
                    <w:rPr>
                      <w:rFonts w:hint="default" w:ascii="Times New Roman" w:hAnsi="Times New Roman" w:cs="Times New Roman"/>
                      <w:color w:val="auto"/>
                      <w:kern w:val="28"/>
                      <w:sz w:val="21"/>
                      <w:szCs w:val="21"/>
                    </w:rPr>
                    <w:t>生产废水、固废、设备噪声、废气</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422"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73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测井、取心、录井</w:t>
                  </w:r>
                </w:p>
              </w:tc>
              <w:tc>
                <w:tcPr>
                  <w:tcW w:w="4110"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auto"/>
                      <w:kern w:val="28"/>
                      <w:sz w:val="21"/>
                      <w:szCs w:val="21"/>
                    </w:rPr>
                  </w:pPr>
                  <w:r>
                    <w:rPr>
                      <w:rFonts w:hint="default" w:ascii="Times New Roman" w:hAnsi="Times New Roman" w:cs="Times New Roman"/>
                      <w:color w:val="auto"/>
                      <w:kern w:val="28"/>
                      <w:sz w:val="21"/>
                      <w:szCs w:val="21"/>
                    </w:rPr>
                    <w:t>测井、取心、录井主要为取样分析地质等情况，对可能的油、气层进行的中途测试。</w:t>
                  </w:r>
                </w:p>
              </w:tc>
              <w:tc>
                <w:tcPr>
                  <w:tcW w:w="648"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auto"/>
                      <w:kern w:val="28"/>
                      <w:sz w:val="21"/>
                      <w:szCs w:val="21"/>
                    </w:rPr>
                  </w:pPr>
                  <w:r>
                    <w:rPr>
                      <w:rFonts w:hint="default" w:ascii="Times New Roman" w:hAnsi="Times New Roman" w:cs="Times New Roman"/>
                      <w:color w:val="auto"/>
                      <w:kern w:val="28"/>
                      <w:sz w:val="21"/>
                      <w:szCs w:val="21"/>
                    </w:rPr>
                    <w:t>新建</w:t>
                  </w:r>
                </w:p>
              </w:tc>
              <w:tc>
                <w:tcPr>
                  <w:tcW w:w="105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422"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73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固井作业</w:t>
                  </w:r>
                </w:p>
              </w:tc>
              <w:tc>
                <w:tcPr>
                  <w:tcW w:w="4110"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auto"/>
                      <w:kern w:val="28"/>
                      <w:sz w:val="21"/>
                      <w:szCs w:val="21"/>
                    </w:rPr>
                  </w:pPr>
                  <w:r>
                    <w:rPr>
                      <w:rFonts w:hint="default" w:ascii="Times New Roman" w:hAnsi="Times New Roman" w:cs="Times New Roman"/>
                      <w:color w:val="auto"/>
                      <w:kern w:val="28"/>
                      <w:sz w:val="21"/>
                      <w:szCs w:val="21"/>
                    </w:rPr>
                    <w:t>全井段施套管保护+水泥固井。</w:t>
                  </w:r>
                </w:p>
              </w:tc>
              <w:tc>
                <w:tcPr>
                  <w:tcW w:w="648"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auto"/>
                      <w:kern w:val="28"/>
                      <w:sz w:val="21"/>
                      <w:szCs w:val="21"/>
                    </w:rPr>
                  </w:pPr>
                  <w:r>
                    <w:rPr>
                      <w:rFonts w:hint="default" w:ascii="Times New Roman" w:hAnsi="Times New Roman" w:cs="Times New Roman"/>
                      <w:color w:val="auto"/>
                      <w:kern w:val="28"/>
                      <w:sz w:val="21"/>
                      <w:szCs w:val="21"/>
                    </w:rPr>
                    <w:t>新建</w:t>
                  </w:r>
                </w:p>
              </w:tc>
              <w:tc>
                <w:tcPr>
                  <w:tcW w:w="105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422"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试气工程</w:t>
                  </w:r>
                </w:p>
              </w:tc>
              <w:tc>
                <w:tcPr>
                  <w:tcW w:w="732"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28"/>
                      <w:szCs w:val="21"/>
                      <w:lang w:val="en-US" w:eastAsia="zh-CN"/>
                    </w:rPr>
                  </w:pPr>
                  <w:r>
                    <w:rPr>
                      <w:rFonts w:hint="default" w:ascii="Times New Roman" w:hAnsi="Times New Roman" w:cs="Times New Roman"/>
                      <w:color w:val="auto"/>
                      <w:kern w:val="28"/>
                      <w:szCs w:val="21"/>
                      <w:lang w:val="en-US" w:eastAsia="zh-CN"/>
                    </w:rPr>
                    <w:t>储层改造</w:t>
                  </w:r>
                </w:p>
              </w:tc>
              <w:tc>
                <w:tcPr>
                  <w:tcW w:w="4110"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auto"/>
                      <w:kern w:val="28"/>
                      <w:sz w:val="21"/>
                      <w:szCs w:val="21"/>
                    </w:rPr>
                  </w:pPr>
                  <w:r>
                    <w:rPr>
                      <w:rFonts w:hint="eastAsia" w:cs="Times New Roman"/>
                      <w:color w:val="auto"/>
                      <w:kern w:val="28"/>
                      <w:sz w:val="21"/>
                      <w:szCs w:val="21"/>
                      <w:lang w:eastAsia="zh-CN"/>
                    </w:rPr>
                    <w:t>普陆12HF井</w:t>
                  </w:r>
                  <w:r>
                    <w:rPr>
                      <w:rFonts w:hint="default" w:ascii="Times New Roman" w:hAnsi="Times New Roman" w:cs="Times New Roman"/>
                      <w:color w:val="auto"/>
                      <w:kern w:val="28"/>
                      <w:sz w:val="21"/>
                      <w:szCs w:val="21"/>
                    </w:rPr>
                    <w:t>采用分段射孔，分段酸化压裂，每段之间采用电缆可钻桥塞分层对压裂段进行分段暂闭；总液量</w:t>
                  </w:r>
                  <w:r>
                    <w:rPr>
                      <w:rFonts w:hint="eastAsia" w:cs="Times New Roman"/>
                      <w:color w:val="auto"/>
                      <w:kern w:val="28"/>
                      <w:sz w:val="21"/>
                      <w:szCs w:val="21"/>
                      <w:lang w:val="en-US" w:eastAsia="zh-CN"/>
                    </w:rPr>
                    <w:t>19250</w:t>
                  </w:r>
                  <w:r>
                    <w:rPr>
                      <w:rFonts w:hint="default" w:ascii="Times New Roman" w:hAnsi="Times New Roman" w:cs="Times New Roman"/>
                      <w:color w:val="auto"/>
                      <w:kern w:val="28"/>
                      <w:sz w:val="21"/>
                      <w:szCs w:val="21"/>
                    </w:rPr>
                    <w:t>立方米，砂量</w:t>
                  </w:r>
                  <w:r>
                    <w:rPr>
                      <w:rFonts w:hint="eastAsia" w:cs="Times New Roman"/>
                      <w:color w:val="auto"/>
                      <w:kern w:val="28"/>
                      <w:sz w:val="21"/>
                      <w:szCs w:val="21"/>
                      <w:lang w:val="en-US" w:eastAsia="zh-CN"/>
                    </w:rPr>
                    <w:t>1560</w:t>
                  </w:r>
                  <w:r>
                    <w:rPr>
                      <w:rFonts w:hint="default" w:ascii="Times New Roman" w:hAnsi="Times New Roman" w:cs="Times New Roman"/>
                      <w:color w:val="auto"/>
                      <w:kern w:val="28"/>
                      <w:sz w:val="21"/>
                      <w:szCs w:val="21"/>
                    </w:rPr>
                    <w:t>立方米。</w:t>
                  </w:r>
                </w:p>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auto"/>
                      <w:kern w:val="28"/>
                      <w:sz w:val="21"/>
                      <w:szCs w:val="21"/>
                    </w:rPr>
                  </w:pPr>
                  <w:r>
                    <w:rPr>
                      <w:rFonts w:hint="default" w:ascii="Times New Roman" w:hAnsi="Times New Roman" w:cs="Times New Roman"/>
                      <w:color w:val="auto"/>
                      <w:kern w:val="28"/>
                      <w:sz w:val="21"/>
                      <w:szCs w:val="21"/>
                    </w:rPr>
                    <w:t>射孔：采用电缆分段射孔；</w:t>
                  </w:r>
                </w:p>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auto"/>
                      <w:kern w:val="28"/>
                      <w:sz w:val="21"/>
                      <w:szCs w:val="21"/>
                    </w:rPr>
                  </w:pPr>
                  <w:r>
                    <w:rPr>
                      <w:rFonts w:hint="default" w:ascii="Times New Roman" w:hAnsi="Times New Roman" w:cs="Times New Roman"/>
                      <w:color w:val="auto"/>
                      <w:kern w:val="28"/>
                      <w:sz w:val="21"/>
                      <w:szCs w:val="21"/>
                    </w:rPr>
                    <w:t>酸化压裂：设置12台压裂车，10用2备。</w:t>
                  </w:r>
                </w:p>
              </w:tc>
              <w:tc>
                <w:tcPr>
                  <w:tcW w:w="648"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auto"/>
                      <w:kern w:val="28"/>
                      <w:sz w:val="21"/>
                      <w:szCs w:val="21"/>
                    </w:rPr>
                  </w:pPr>
                  <w:r>
                    <w:rPr>
                      <w:rFonts w:hint="default" w:ascii="Times New Roman" w:hAnsi="Times New Roman" w:cs="Times New Roman"/>
                      <w:color w:val="auto"/>
                      <w:kern w:val="28"/>
                      <w:sz w:val="21"/>
                      <w:szCs w:val="21"/>
                    </w:rPr>
                    <w:t>新建</w:t>
                  </w:r>
                </w:p>
              </w:tc>
              <w:tc>
                <w:tcPr>
                  <w:tcW w:w="105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422"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73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试气作业</w:t>
                  </w:r>
                </w:p>
              </w:tc>
              <w:tc>
                <w:tcPr>
                  <w:tcW w:w="4110"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auto"/>
                      <w:kern w:val="28"/>
                      <w:sz w:val="21"/>
                      <w:szCs w:val="21"/>
                    </w:rPr>
                  </w:pPr>
                  <w:r>
                    <w:rPr>
                      <w:rFonts w:hint="default" w:ascii="Times New Roman" w:hAnsi="Times New Roman" w:cs="Times New Roman"/>
                      <w:color w:val="auto"/>
                      <w:kern w:val="28"/>
                      <w:sz w:val="21"/>
                      <w:szCs w:val="21"/>
                    </w:rPr>
                    <w:t>对目的层的气量、气性质进行测试。</w:t>
                  </w:r>
                </w:p>
              </w:tc>
              <w:tc>
                <w:tcPr>
                  <w:tcW w:w="648"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auto"/>
                      <w:kern w:val="28"/>
                      <w:sz w:val="21"/>
                      <w:szCs w:val="21"/>
                    </w:rPr>
                  </w:pPr>
                  <w:r>
                    <w:rPr>
                      <w:rFonts w:hint="default" w:ascii="Times New Roman" w:hAnsi="Times New Roman" w:cs="Times New Roman"/>
                      <w:color w:val="auto"/>
                      <w:kern w:val="28"/>
                      <w:sz w:val="21"/>
                      <w:szCs w:val="21"/>
                    </w:rPr>
                    <w:t>新建</w:t>
                  </w:r>
                </w:p>
              </w:tc>
              <w:tc>
                <w:tcPr>
                  <w:tcW w:w="105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422"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732"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设备搬迁</w:t>
                  </w:r>
                </w:p>
              </w:tc>
              <w:tc>
                <w:tcPr>
                  <w:tcW w:w="4110"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auto"/>
                      <w:kern w:val="28"/>
                      <w:sz w:val="21"/>
                      <w:szCs w:val="21"/>
                    </w:rPr>
                  </w:pPr>
                  <w:r>
                    <w:rPr>
                      <w:rFonts w:hint="default" w:ascii="Times New Roman" w:hAnsi="Times New Roman" w:cs="Times New Roman"/>
                      <w:color w:val="auto"/>
                      <w:kern w:val="28"/>
                      <w:sz w:val="21"/>
                      <w:szCs w:val="21"/>
                    </w:rPr>
                    <w:t>测试结束后，井队撤离现场，井场内设施设备搬迁，按井场占地类型进行迹地恢复。</w:t>
                  </w:r>
                </w:p>
              </w:tc>
              <w:tc>
                <w:tcPr>
                  <w:tcW w:w="648" w:type="dxa"/>
                  <w:vAlign w:val="center"/>
                </w:tcPr>
                <w:p>
                  <w:pPr>
                    <w:pStyle w:val="26"/>
                    <w:keepNext w:val="0"/>
                    <w:keepLines w:val="0"/>
                    <w:suppressLineNumbers w:val="0"/>
                    <w:tabs>
                      <w:tab w:val="left" w:pos="2321"/>
                    </w:tabs>
                    <w:overflowPunct w:val="0"/>
                    <w:autoSpaceDE w:val="0"/>
                    <w:spacing w:before="0" w:beforeAutospacing="0" w:after="0" w:afterAutospacing="0" w:line="240" w:lineRule="auto"/>
                    <w:ind w:left="0" w:right="0"/>
                    <w:rPr>
                      <w:rFonts w:hint="default" w:ascii="Times New Roman" w:hAnsi="Times New Roman" w:cs="Times New Roman"/>
                      <w:color w:val="auto"/>
                      <w:kern w:val="28"/>
                      <w:sz w:val="21"/>
                      <w:szCs w:val="21"/>
                    </w:rPr>
                  </w:pPr>
                  <w:r>
                    <w:rPr>
                      <w:rFonts w:hint="default" w:ascii="Times New Roman" w:hAnsi="Times New Roman" w:cs="Times New Roman"/>
                      <w:color w:val="auto"/>
                      <w:kern w:val="28"/>
                      <w:sz w:val="21"/>
                      <w:szCs w:val="21"/>
                    </w:rPr>
                    <w:t>/</w:t>
                  </w:r>
                </w:p>
              </w:tc>
              <w:tc>
                <w:tcPr>
                  <w:tcW w:w="105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eastAsia" w:cs="Times New Roman"/>
                      <w:color w:val="auto"/>
                      <w:kern w:val="28"/>
                      <w:szCs w:val="21"/>
                      <w:lang w:val="en-US" w:eastAsia="zh-CN"/>
                    </w:rPr>
                    <w:t>临时</w:t>
                  </w:r>
                  <w:r>
                    <w:rPr>
                      <w:rFonts w:hint="default" w:ascii="Times New Roman" w:hAnsi="Times New Roman" w:cs="Times New Roman"/>
                      <w:color w:val="auto"/>
                      <w:kern w:val="28"/>
                      <w:szCs w:val="21"/>
                    </w:rPr>
                    <w:t>工程</w:t>
                  </w:r>
                </w:p>
              </w:tc>
              <w:tc>
                <w:tcPr>
                  <w:tcW w:w="1154"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循环罐基础</w:t>
                  </w:r>
                </w:p>
              </w:tc>
              <w:tc>
                <w:tcPr>
                  <w:tcW w:w="4110"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共1套泥浆循环系统，含振动筛、除砂器、离心机、液气分离器、除泥除砂一体机、除气器等装置及循环罐组成。</w:t>
                  </w:r>
                </w:p>
              </w:tc>
              <w:tc>
                <w:tcPr>
                  <w:tcW w:w="648"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新建</w:t>
                  </w:r>
                </w:p>
              </w:tc>
              <w:tc>
                <w:tcPr>
                  <w:tcW w:w="105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泥浆跑冒滴漏污染土壤、地下水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泥浆不落地平台基础</w:t>
                  </w:r>
                </w:p>
              </w:tc>
              <w:tc>
                <w:tcPr>
                  <w:tcW w:w="411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50m</w:t>
                  </w:r>
                  <w:r>
                    <w:rPr>
                      <w:rFonts w:hint="default" w:ascii="Times New Roman" w:hAnsi="Times New Roman" w:cs="Times New Roman"/>
                      <w:color w:val="auto"/>
                      <w:kern w:val="0"/>
                      <w:szCs w:val="21"/>
                      <w:vertAlign w:val="superscript"/>
                    </w:rPr>
                    <w:t>3</w:t>
                  </w:r>
                  <w:r>
                    <w:rPr>
                      <w:rFonts w:hint="default" w:ascii="Times New Roman" w:hAnsi="Times New Roman" w:cs="Times New Roman"/>
                      <w:color w:val="auto"/>
                      <w:kern w:val="0"/>
                      <w:szCs w:val="21"/>
                    </w:rPr>
                    <w:t>废水罐4个（位于泥浆不落地平台，分为1个隔油罐、2个沉淀罐、1个回用罐）。</w:t>
                  </w:r>
                </w:p>
              </w:tc>
              <w:tc>
                <w:tcPr>
                  <w:tcW w:w="648" w:type="dxa"/>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新建</w:t>
                  </w:r>
                </w:p>
              </w:tc>
              <w:tc>
                <w:tcPr>
                  <w:tcW w:w="1051"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泄漏污染土壤、地下水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411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40m</w:t>
                  </w:r>
                  <w:r>
                    <w:rPr>
                      <w:rFonts w:hint="default" w:ascii="Times New Roman" w:hAnsi="Times New Roman" w:cs="Times New Roman"/>
                      <w:color w:val="auto"/>
                      <w:kern w:val="0"/>
                      <w:szCs w:val="21"/>
                      <w:vertAlign w:val="superscript"/>
                    </w:rPr>
                    <w:t>3</w:t>
                  </w:r>
                  <w:r>
                    <w:rPr>
                      <w:rFonts w:hint="default" w:ascii="Times New Roman" w:hAnsi="Times New Roman" w:cs="Times New Roman"/>
                      <w:color w:val="auto"/>
                      <w:kern w:val="0"/>
                      <w:szCs w:val="21"/>
                    </w:rPr>
                    <w:t>岩屑收集罐4个，脱稳罐2个，其中1个可用作应急暂存罐</w:t>
                  </w:r>
                </w:p>
              </w:tc>
              <w:tc>
                <w:tcPr>
                  <w:tcW w:w="648" w:type="dxa"/>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新建</w:t>
                  </w:r>
                </w:p>
              </w:tc>
              <w:tc>
                <w:tcPr>
                  <w:tcW w:w="1051"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4110"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化学品存放区：固化材料堆放棚（位于材料区），</w:t>
                  </w:r>
                  <w:r>
                    <w:rPr>
                      <w:rFonts w:hint="default" w:ascii="Times New Roman" w:hAnsi="Times New Roman" w:cs="Times New Roman"/>
                      <w:color w:val="auto"/>
                      <w:szCs w:val="21"/>
                    </w:rPr>
                    <w:t>主要摆放固化材料、水处理药剂等。</w:t>
                  </w:r>
                </w:p>
              </w:tc>
              <w:tc>
                <w:tcPr>
                  <w:tcW w:w="648" w:type="dxa"/>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新建</w:t>
                  </w:r>
                </w:p>
              </w:tc>
              <w:tc>
                <w:tcPr>
                  <w:tcW w:w="1051"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放喷点火系统</w:t>
                  </w:r>
                </w:p>
              </w:tc>
              <w:tc>
                <w:tcPr>
                  <w:tcW w:w="4110"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各放喷池均配备自动、手动点火装置各1套。</w:t>
                  </w:r>
                </w:p>
              </w:tc>
              <w:tc>
                <w:tcPr>
                  <w:tcW w:w="648"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新建</w:t>
                  </w:r>
                </w:p>
              </w:tc>
              <w:tc>
                <w:tcPr>
                  <w:tcW w:w="105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kern w:val="0"/>
                      <w:szCs w:val="21"/>
                      <w:lang w:bidi="ar"/>
                    </w:rPr>
                    <w:t>生活垃圾箱</w:t>
                  </w:r>
                </w:p>
              </w:tc>
              <w:tc>
                <w:tcPr>
                  <w:tcW w:w="4110"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szCs w:val="21"/>
                      <w:lang w:bidi="ar"/>
                    </w:rPr>
                    <w:t>井场区域和生活区各设1个。</w:t>
                  </w:r>
                </w:p>
              </w:tc>
              <w:tc>
                <w:tcPr>
                  <w:tcW w:w="648"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新建</w:t>
                  </w:r>
                </w:p>
              </w:tc>
              <w:tc>
                <w:tcPr>
                  <w:tcW w:w="1051"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渗漏污染土壤、地下水环境。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生活区隔油池</w:t>
                  </w:r>
                </w:p>
              </w:tc>
              <w:tc>
                <w:tcPr>
                  <w:tcW w:w="4110"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lang w:bidi="ar"/>
                    </w:rPr>
                  </w:pPr>
                  <w:r>
                    <w:rPr>
                      <w:rFonts w:hint="default" w:ascii="Times New Roman" w:hAnsi="Times New Roman" w:cs="Times New Roman"/>
                      <w:color w:val="auto"/>
                      <w:kern w:val="0"/>
                      <w:szCs w:val="21"/>
                    </w:rPr>
                    <w:t>厨房废水经污水隔油池处理后同生活污水处置。</w:t>
                  </w:r>
                </w:p>
              </w:tc>
              <w:tc>
                <w:tcPr>
                  <w:tcW w:w="648"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新建</w:t>
                  </w:r>
                </w:p>
              </w:tc>
              <w:tc>
                <w:tcPr>
                  <w:tcW w:w="1051"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28"/>
                      <w:szCs w:val="21"/>
                    </w:rPr>
                    <w:t>生活区活动板房</w:t>
                  </w:r>
                </w:p>
              </w:tc>
              <w:tc>
                <w:tcPr>
                  <w:tcW w:w="4110"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0"/>
                      <w:szCs w:val="21"/>
                    </w:rPr>
                  </w:pPr>
                  <w:r>
                    <w:rPr>
                      <w:rFonts w:hint="eastAsia" w:cs="Times New Roman"/>
                      <w:color w:val="auto"/>
                      <w:szCs w:val="21"/>
                      <w:lang w:val="en-US" w:eastAsia="zh-CN"/>
                    </w:rPr>
                    <w:t>采用</w:t>
                  </w:r>
                  <w:r>
                    <w:rPr>
                      <w:rFonts w:hint="default" w:ascii="Times New Roman" w:hAnsi="Times New Roman" w:cs="Times New Roman"/>
                      <w:color w:val="auto"/>
                      <w:szCs w:val="21"/>
                    </w:rPr>
                    <w:t>现场吊装。共新建1套生活区，占地面积为1400m</w:t>
                  </w:r>
                  <w:r>
                    <w:rPr>
                      <w:rFonts w:hint="default" w:ascii="Times New Roman" w:hAnsi="Times New Roman" w:cs="Times New Roman"/>
                      <w:color w:val="auto"/>
                      <w:szCs w:val="21"/>
                      <w:vertAlign w:val="superscript"/>
                    </w:rPr>
                    <w:t>2</w:t>
                  </w:r>
                  <w:r>
                    <w:rPr>
                      <w:rFonts w:hint="default" w:ascii="Times New Roman" w:hAnsi="Times New Roman" w:cs="Times New Roman"/>
                      <w:color w:val="auto"/>
                      <w:szCs w:val="21"/>
                    </w:rPr>
                    <w:t>，位于井场</w:t>
                  </w:r>
                  <w:r>
                    <w:rPr>
                      <w:rFonts w:hint="eastAsia" w:cs="Times New Roman"/>
                      <w:color w:val="auto"/>
                      <w:szCs w:val="21"/>
                      <w:lang w:val="en-US" w:eastAsia="zh-CN"/>
                    </w:rPr>
                    <w:t>西南</w:t>
                  </w:r>
                  <w:r>
                    <w:rPr>
                      <w:rFonts w:hint="default" w:ascii="Times New Roman" w:hAnsi="Times New Roman" w:cs="Times New Roman"/>
                      <w:color w:val="auto"/>
                      <w:szCs w:val="21"/>
                    </w:rPr>
                    <w:t>侧，生活区设置1座生态一体化厕所。</w:t>
                  </w:r>
                </w:p>
              </w:tc>
              <w:tc>
                <w:tcPr>
                  <w:tcW w:w="648"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新建</w:t>
                  </w:r>
                </w:p>
              </w:tc>
              <w:tc>
                <w:tcPr>
                  <w:tcW w:w="105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公用工程</w:t>
                  </w:r>
                </w:p>
              </w:tc>
              <w:tc>
                <w:tcPr>
                  <w:tcW w:w="1154"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给水</w:t>
                  </w:r>
                </w:p>
              </w:tc>
              <w:tc>
                <w:tcPr>
                  <w:tcW w:w="4110"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①生产用水：采用清洁化生产</w:t>
                  </w:r>
                  <w:r>
                    <w:rPr>
                      <w:rFonts w:hint="default" w:ascii="Times New Roman" w:hAnsi="Times New Roman" w:cs="Times New Roman"/>
                      <w:color w:val="auto"/>
                      <w:kern w:val="28"/>
                      <w:szCs w:val="21"/>
                      <w:lang w:val="en-US" w:eastAsia="zh-CN"/>
                    </w:rPr>
                    <w:t>方案，</w:t>
                  </w:r>
                  <w:r>
                    <w:rPr>
                      <w:rFonts w:hint="default" w:ascii="Times New Roman" w:hAnsi="Times New Roman" w:cs="Times New Roman"/>
                      <w:color w:val="auto"/>
                      <w:kern w:val="28"/>
                      <w:szCs w:val="21"/>
                    </w:rPr>
                    <w:t>采取自井场附近的河流，然后通过罐车拉运至井场；本评价建议建设单位或施工单位在项目施工前办理相关取水许可</w:t>
                  </w:r>
                  <w:r>
                    <w:rPr>
                      <w:rFonts w:hint="default" w:ascii="Times New Roman" w:hAnsi="Times New Roman" w:cs="Times New Roman"/>
                      <w:color w:val="auto"/>
                      <w:kern w:val="28"/>
                      <w:szCs w:val="21"/>
                      <w:lang w:eastAsia="zh-CN"/>
                    </w:rPr>
                    <w:t>，</w:t>
                  </w:r>
                  <w:r>
                    <w:rPr>
                      <w:rFonts w:hint="default" w:ascii="Times New Roman" w:hAnsi="Times New Roman" w:cs="Times New Roman"/>
                      <w:color w:val="auto"/>
                      <w:kern w:val="28"/>
                      <w:szCs w:val="21"/>
                      <w:lang w:val="en-US" w:eastAsia="zh-CN"/>
                    </w:rPr>
                    <w:t>并节约用水</w:t>
                  </w:r>
                  <w:r>
                    <w:rPr>
                      <w:rFonts w:hint="default" w:ascii="Times New Roman" w:hAnsi="Times New Roman" w:cs="Times New Roman"/>
                      <w:color w:val="auto"/>
                      <w:kern w:val="28"/>
                      <w:szCs w:val="21"/>
                    </w:rPr>
                    <w:t>。</w:t>
                  </w:r>
                </w:p>
                <w:p>
                  <w:pPr>
                    <w:keepNext w:val="0"/>
                    <w:keepLines w:val="0"/>
                    <w:suppressLineNumbers w:val="0"/>
                    <w:spacing w:before="0" w:beforeAutospacing="0" w:after="0" w:afterAutospacing="0"/>
                    <w:ind w:left="0" w:right="0"/>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②生活用水：车辆拉运桶装水至场地。</w:t>
                  </w:r>
                </w:p>
              </w:tc>
              <w:tc>
                <w:tcPr>
                  <w:tcW w:w="648"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w:t>
                  </w:r>
                </w:p>
              </w:tc>
              <w:tc>
                <w:tcPr>
                  <w:tcW w:w="105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场外排水</w:t>
                  </w:r>
                </w:p>
              </w:tc>
              <w:tc>
                <w:tcPr>
                  <w:tcW w:w="4110" w:type="dxa"/>
                  <w:vAlign w:val="center"/>
                </w:tcPr>
                <w:p>
                  <w:pPr>
                    <w:keepNext w:val="0"/>
                    <w:keepLines w:val="0"/>
                    <w:suppressLineNumbers w:val="0"/>
                    <w:spacing w:before="0" w:beforeAutospacing="0" w:after="0" w:afterAutospacing="0"/>
                    <w:ind w:left="0" w:right="0"/>
                    <w:rPr>
                      <w:rFonts w:hint="eastAsia" w:ascii="Times New Roman" w:hAnsi="Times New Roman" w:eastAsia="宋体" w:cs="Times New Roman"/>
                      <w:color w:val="auto"/>
                      <w:kern w:val="28"/>
                      <w:szCs w:val="21"/>
                      <w:lang w:val="en-US" w:eastAsia="zh-CN"/>
                    </w:rPr>
                  </w:pPr>
                  <w:r>
                    <w:rPr>
                      <w:rFonts w:hint="default" w:ascii="Times New Roman" w:hAnsi="Times New Roman" w:cs="Times New Roman"/>
                      <w:color w:val="auto"/>
                      <w:kern w:val="28"/>
                      <w:szCs w:val="21"/>
                    </w:rPr>
                    <w:t>新建场外排水沟，呈倒梯形，宽为0.7m，排水沟总长380m。新建1.5m宽坡顶截水沟1</w:t>
                  </w:r>
                  <w:r>
                    <w:rPr>
                      <w:rFonts w:hint="default" w:ascii="Times New Roman" w:hAnsi="Times New Roman" w:cs="Times New Roman"/>
                      <w:color w:val="auto"/>
                      <w:kern w:val="28"/>
                      <w:szCs w:val="21"/>
                      <w:lang w:val="en-US" w:eastAsia="zh-CN"/>
                    </w:rPr>
                    <w:t>6</w:t>
                  </w:r>
                  <w:r>
                    <w:rPr>
                      <w:rFonts w:hint="default" w:ascii="Times New Roman" w:hAnsi="Times New Roman" w:cs="Times New Roman"/>
                      <w:color w:val="auto"/>
                      <w:kern w:val="28"/>
                      <w:szCs w:val="21"/>
                    </w:rPr>
                    <w:t>0m，放坡坡度i=0.2%</w:t>
                  </w:r>
                  <w:r>
                    <w:rPr>
                      <w:rFonts w:hint="eastAsia" w:cs="Times New Roman"/>
                      <w:color w:val="auto"/>
                      <w:kern w:val="28"/>
                      <w:szCs w:val="21"/>
                      <w:lang w:val="en-US" w:eastAsia="zh-CN"/>
                    </w:rPr>
                    <w:t>.</w:t>
                  </w:r>
                </w:p>
              </w:tc>
              <w:tc>
                <w:tcPr>
                  <w:tcW w:w="648"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新建</w:t>
                  </w:r>
                </w:p>
              </w:tc>
              <w:tc>
                <w:tcPr>
                  <w:tcW w:w="105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场内排水</w:t>
                  </w:r>
                </w:p>
              </w:tc>
              <w:tc>
                <w:tcPr>
                  <w:tcW w:w="4110" w:type="dxa"/>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新建场内排水沟350mm宽×200mm深，总长3</w:t>
                  </w:r>
                  <w:r>
                    <w:rPr>
                      <w:rFonts w:hint="eastAsia" w:cs="Times New Roman"/>
                      <w:color w:val="auto"/>
                      <w:kern w:val="0"/>
                      <w:szCs w:val="21"/>
                      <w:lang w:val="en-US" w:eastAsia="zh-CN" w:bidi="ar"/>
                    </w:rPr>
                    <w:t>90</w:t>
                  </w:r>
                  <w:r>
                    <w:rPr>
                      <w:rFonts w:hint="default" w:ascii="Times New Roman" w:hAnsi="Times New Roman" w:cs="Times New Roman"/>
                      <w:color w:val="auto"/>
                      <w:kern w:val="0"/>
                      <w:szCs w:val="21"/>
                      <w:lang w:bidi="ar"/>
                    </w:rPr>
                    <w:t>m环状排污沟，放坡坡度i=0.5%</w:t>
                  </w:r>
                </w:p>
              </w:tc>
              <w:tc>
                <w:tcPr>
                  <w:tcW w:w="648" w:type="dxa"/>
                  <w:vAlign w:val="center"/>
                </w:tcPr>
                <w:p>
                  <w:pPr>
                    <w:keepNext w:val="0"/>
                    <w:keepLines w:val="0"/>
                    <w:suppressLineNumbers w:val="0"/>
                    <w:spacing w:before="0" w:beforeAutospacing="0" w:after="0" w:afterAutospacing="0"/>
                    <w:ind w:left="0" w:right="0"/>
                    <w:jc w:val="left"/>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新建</w:t>
                  </w:r>
                </w:p>
              </w:tc>
              <w:tc>
                <w:tcPr>
                  <w:tcW w:w="1051"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0"/>
                      <w:szCs w:val="21"/>
                    </w:rPr>
                    <w:t>渗漏污染土壤、地下水环境。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4110"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井场清洁区雨水通过排水沟和</w:t>
                  </w:r>
                  <w:r>
                    <w:rPr>
                      <w:rFonts w:hint="eastAsia" w:cs="Times New Roman"/>
                      <w:color w:val="auto"/>
                      <w:kern w:val="0"/>
                      <w:szCs w:val="21"/>
                      <w:lang w:val="en-US" w:eastAsia="zh-CN" w:bidi="ar"/>
                    </w:rPr>
                    <w:t>环境监测</w:t>
                  </w:r>
                  <w:r>
                    <w:rPr>
                      <w:rFonts w:hint="default" w:ascii="Times New Roman" w:hAnsi="Times New Roman" w:cs="Times New Roman"/>
                      <w:color w:val="auto"/>
                      <w:kern w:val="0"/>
                      <w:szCs w:val="21"/>
                      <w:lang w:bidi="ar"/>
                    </w:rPr>
                    <w:t>池处理后排入自然水系。</w:t>
                  </w:r>
                </w:p>
              </w:tc>
              <w:tc>
                <w:tcPr>
                  <w:tcW w:w="648"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新建</w:t>
                  </w:r>
                </w:p>
              </w:tc>
              <w:tc>
                <w:tcPr>
                  <w:tcW w:w="1051"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供电</w:t>
                  </w:r>
                </w:p>
              </w:tc>
              <w:tc>
                <w:tcPr>
                  <w:tcW w:w="4110"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由当地网电供给。</w:t>
                  </w:r>
                </w:p>
              </w:tc>
              <w:tc>
                <w:tcPr>
                  <w:tcW w:w="648"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依托</w:t>
                  </w:r>
                </w:p>
              </w:tc>
              <w:tc>
                <w:tcPr>
                  <w:tcW w:w="105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噪声、废气</w:t>
                  </w:r>
                  <w:r>
                    <w:rPr>
                      <w:rFonts w:hint="default" w:ascii="Times New Roman" w:hAnsi="Times New Roman" w:cs="Times New Roman"/>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0"/>
                      <w:szCs w:val="21"/>
                    </w:rPr>
                    <w:t>柴油罐区</w:t>
                  </w:r>
                </w:p>
              </w:tc>
              <w:tc>
                <w:tcPr>
                  <w:tcW w:w="4110"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共设1个柴油罐，罐区占地30m</w:t>
                  </w:r>
                  <w:r>
                    <w:rPr>
                      <w:rFonts w:hint="default" w:ascii="Times New Roman" w:hAnsi="Times New Roman" w:cs="Times New Roman"/>
                      <w:color w:val="auto"/>
                      <w:kern w:val="0"/>
                      <w:szCs w:val="21"/>
                      <w:vertAlign w:val="superscript"/>
                    </w:rPr>
                    <w:t>2</w:t>
                  </w:r>
                  <w:r>
                    <w:rPr>
                      <w:rFonts w:hint="default" w:ascii="Times New Roman" w:hAnsi="Times New Roman" w:cs="Times New Roman"/>
                      <w:color w:val="auto"/>
                      <w:kern w:val="0"/>
                      <w:szCs w:val="21"/>
                    </w:rPr>
                    <w:t>，容积为20m</w:t>
                  </w:r>
                  <w:r>
                    <w:rPr>
                      <w:rFonts w:hint="default" w:ascii="Times New Roman" w:hAnsi="Times New Roman" w:cs="Times New Roman"/>
                      <w:color w:val="auto"/>
                      <w:kern w:val="0"/>
                      <w:szCs w:val="21"/>
                      <w:vertAlign w:val="superscript"/>
                    </w:rPr>
                    <w:t>3</w:t>
                  </w:r>
                  <w:r>
                    <w:rPr>
                      <w:rFonts w:hint="default" w:ascii="Times New Roman" w:hAnsi="Times New Roman" w:cs="Times New Roman"/>
                      <w:color w:val="auto"/>
                      <w:kern w:val="0"/>
                      <w:szCs w:val="21"/>
                    </w:rPr>
                    <w:t>，最大储存量为10t。地面采取硬化处置，铺设防渗膜并设围堰。</w:t>
                  </w:r>
                </w:p>
              </w:tc>
              <w:tc>
                <w:tcPr>
                  <w:tcW w:w="648"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新建</w:t>
                  </w:r>
                </w:p>
              </w:tc>
              <w:tc>
                <w:tcPr>
                  <w:tcW w:w="105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0"/>
                      <w:szCs w:val="21"/>
                    </w:rPr>
                    <w:t>泄漏污染、火灾爆炸环境风险影响。</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Align w:val="center"/>
                </w:tcPr>
                <w:p>
                  <w:pPr>
                    <w:pStyle w:val="388"/>
                    <w:keepNext w:val="0"/>
                    <w:keepLines w:val="0"/>
                    <w:suppressLineNumbers w:val="0"/>
                    <w:spacing w:before="0" w:beforeAutospacing="0" w:after="0" w:afterAutospacing="0" w:line="240" w:lineRule="auto"/>
                    <w:ind w:left="0" w:right="0"/>
                    <w:rPr>
                      <w:rFonts w:hint="default" w:ascii="Times New Roman" w:hAnsi="Times New Roman" w:cs="Times New Roman"/>
                      <w:color w:val="auto"/>
                      <w:kern w:val="0"/>
                    </w:rPr>
                  </w:pPr>
                  <w:r>
                    <w:rPr>
                      <w:rFonts w:hint="default" w:ascii="Times New Roman" w:hAnsi="Times New Roman" w:eastAsia="宋体" w:cs="Times New Roman"/>
                      <w:color w:val="auto"/>
                    </w:rPr>
                    <w:t>盐酸储罐</w:t>
                  </w:r>
                </w:p>
              </w:tc>
              <w:tc>
                <w:tcPr>
                  <w:tcW w:w="4110" w:type="dxa"/>
                  <w:vAlign w:val="center"/>
                </w:tcPr>
                <w:p>
                  <w:pPr>
                    <w:pStyle w:val="388"/>
                    <w:keepNext w:val="0"/>
                    <w:keepLines w:val="0"/>
                    <w:suppressLineNumbers w:val="0"/>
                    <w:spacing w:before="0" w:beforeAutospacing="0" w:after="0" w:afterAutospacing="0" w:line="240" w:lineRule="auto"/>
                    <w:ind w:left="0" w:right="0"/>
                    <w:jc w:val="both"/>
                    <w:rPr>
                      <w:rFonts w:hint="default" w:ascii="Times New Roman" w:hAnsi="Times New Roman" w:eastAsia="宋体" w:cs="Times New Roman"/>
                      <w:color w:val="auto"/>
                      <w:kern w:val="0"/>
                    </w:rPr>
                  </w:pPr>
                  <w:r>
                    <w:rPr>
                      <w:rFonts w:hint="default" w:ascii="Times New Roman" w:hAnsi="Times New Roman" w:eastAsia="宋体" w:cs="Times New Roman"/>
                      <w:color w:val="auto"/>
                    </w:rPr>
                    <w:t>试气工程期间设置6个盐酸储罐（5用1备），每个罐容积20m</w:t>
                  </w:r>
                  <w:r>
                    <w:rPr>
                      <w:rFonts w:hint="default" w:ascii="Times New Roman" w:hAnsi="Times New Roman" w:eastAsia="宋体" w:cs="Times New Roman"/>
                      <w:color w:val="auto"/>
                      <w:vertAlign w:val="superscript"/>
                    </w:rPr>
                    <w:t>3</w:t>
                  </w:r>
                  <w:r>
                    <w:rPr>
                      <w:rFonts w:hint="default" w:ascii="Times New Roman" w:hAnsi="Times New Roman" w:eastAsia="宋体" w:cs="Times New Roman"/>
                      <w:color w:val="auto"/>
                    </w:rPr>
                    <w:t>，现场共储存100m</w:t>
                  </w:r>
                  <w:r>
                    <w:rPr>
                      <w:rFonts w:hint="default" w:ascii="Times New Roman" w:hAnsi="Times New Roman" w:eastAsia="宋体" w:cs="Times New Roman"/>
                      <w:color w:val="auto"/>
                      <w:vertAlign w:val="superscript"/>
                    </w:rPr>
                    <w:t>3</w:t>
                  </w:r>
                  <w:r>
                    <w:rPr>
                      <w:rFonts w:hint="default" w:ascii="Times New Roman" w:hAnsi="Times New Roman" w:eastAsia="宋体" w:cs="Times New Roman"/>
                      <w:color w:val="auto"/>
                    </w:rPr>
                    <w:t>盐酸。</w:t>
                  </w:r>
                </w:p>
              </w:tc>
              <w:tc>
                <w:tcPr>
                  <w:tcW w:w="648"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新建</w:t>
                  </w:r>
                </w:p>
              </w:tc>
              <w:tc>
                <w:tcPr>
                  <w:tcW w:w="105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0"/>
                      <w:szCs w:val="21"/>
                    </w:rPr>
                    <w:t>泥浆储备罐</w:t>
                  </w:r>
                </w:p>
              </w:tc>
              <w:tc>
                <w:tcPr>
                  <w:tcW w:w="4110"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28"/>
                      <w:szCs w:val="21"/>
                    </w:rPr>
                  </w:pPr>
                  <w:r>
                    <w:rPr>
                      <w:rFonts w:hint="default" w:ascii="Times New Roman" w:hAnsi="Times New Roman" w:cs="Times New Roman"/>
                      <w:color w:val="auto"/>
                      <w:kern w:val="0"/>
                      <w:szCs w:val="21"/>
                    </w:rPr>
                    <w:t>共设1个罐区，储罐2个，每个容积60m</w:t>
                  </w:r>
                  <w:r>
                    <w:rPr>
                      <w:rFonts w:hint="default" w:ascii="Times New Roman" w:hAnsi="Times New Roman" w:cs="Times New Roman"/>
                      <w:color w:val="auto"/>
                      <w:kern w:val="0"/>
                      <w:szCs w:val="21"/>
                      <w:vertAlign w:val="superscript"/>
                    </w:rPr>
                    <w:t>3</w:t>
                  </w:r>
                  <w:r>
                    <w:rPr>
                      <w:rFonts w:hint="default" w:ascii="Times New Roman" w:hAnsi="Times New Roman" w:cs="Times New Roman"/>
                      <w:color w:val="auto"/>
                      <w:kern w:val="0"/>
                      <w:szCs w:val="21"/>
                    </w:rPr>
                    <w:t>。总容积为120m</w:t>
                  </w:r>
                  <w:r>
                    <w:rPr>
                      <w:rFonts w:hint="default" w:ascii="Times New Roman" w:hAnsi="Times New Roman" w:cs="Times New Roman"/>
                      <w:color w:val="auto"/>
                      <w:kern w:val="0"/>
                      <w:szCs w:val="21"/>
                      <w:vertAlign w:val="superscript"/>
                    </w:rPr>
                    <w:t>3</w:t>
                  </w:r>
                  <w:r>
                    <w:rPr>
                      <w:rFonts w:hint="default" w:ascii="Times New Roman" w:hAnsi="Times New Roman" w:cs="Times New Roman"/>
                      <w:color w:val="auto"/>
                      <w:kern w:val="0"/>
                      <w:szCs w:val="21"/>
                    </w:rPr>
                    <w:t>。</w:t>
                  </w:r>
                </w:p>
              </w:tc>
              <w:tc>
                <w:tcPr>
                  <w:tcW w:w="648"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新建</w:t>
                  </w:r>
                </w:p>
              </w:tc>
              <w:tc>
                <w:tcPr>
                  <w:tcW w:w="105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泄漏污染</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restart"/>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环保工程</w:t>
                  </w:r>
                </w:p>
              </w:tc>
              <w:tc>
                <w:tcPr>
                  <w:tcW w:w="1154" w:type="dxa"/>
                  <w:gridSpan w:val="2"/>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废水处置</w:t>
                  </w:r>
                </w:p>
              </w:tc>
              <w:tc>
                <w:tcPr>
                  <w:tcW w:w="4110" w:type="dxa"/>
                  <w:vMerge w:val="restart"/>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井场内外实施清污分流措施，场外雨水由排水沟收集沉淀后外排，场内产污区雨水经截流沟进入环境监测池</w:t>
                  </w:r>
                  <w:r>
                    <w:rPr>
                      <w:rFonts w:hint="eastAsia" w:cs="Times New Roman"/>
                      <w:color w:val="auto"/>
                      <w:kern w:val="28"/>
                      <w:szCs w:val="21"/>
                      <w:lang w:val="en-US" w:eastAsia="zh-CN"/>
                    </w:rPr>
                    <w:t>处理</w:t>
                  </w:r>
                  <w:r>
                    <w:rPr>
                      <w:rFonts w:hint="default" w:ascii="Times New Roman" w:hAnsi="Times New Roman" w:cs="Times New Roman"/>
                      <w:color w:val="auto"/>
                      <w:kern w:val="28"/>
                      <w:szCs w:val="21"/>
                    </w:rPr>
                    <w:t>，</w:t>
                  </w:r>
                  <w:r>
                    <w:rPr>
                      <w:rFonts w:hint="eastAsia" w:cs="Times New Roman"/>
                      <w:color w:val="auto"/>
                      <w:kern w:val="28"/>
                      <w:szCs w:val="21"/>
                      <w:lang w:val="en-US" w:eastAsia="zh-CN"/>
                    </w:rPr>
                    <w:t>经</w:t>
                  </w:r>
                  <w:r>
                    <w:rPr>
                      <w:rFonts w:hint="default" w:ascii="Times New Roman" w:hAnsi="Times New Roman" w:cs="Times New Roman"/>
                      <w:color w:val="auto"/>
                      <w:kern w:val="28"/>
                      <w:szCs w:val="21"/>
                    </w:rPr>
                    <w:t>油水分离后进入集水坑泵入泥浆不落地平台处理回用，现场不外排。</w:t>
                  </w:r>
                </w:p>
              </w:tc>
              <w:tc>
                <w:tcPr>
                  <w:tcW w:w="648"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新建</w:t>
                  </w:r>
                </w:p>
              </w:tc>
              <w:tc>
                <w:tcPr>
                  <w:tcW w:w="1051" w:type="dxa"/>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28"/>
                      <w:szCs w:val="21"/>
                    </w:rPr>
                  </w:pPr>
                  <w:r>
                    <w:rPr>
                      <w:rFonts w:hint="default" w:ascii="Times New Roman" w:hAnsi="Times New Roman" w:cs="Times New Roman"/>
                      <w:color w:val="auto"/>
                      <w:kern w:val="0"/>
                      <w:szCs w:val="21"/>
                    </w:rPr>
                    <w:t>渗漏污染土壤、地下水、地表水环境。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p>
              </w:tc>
              <w:tc>
                <w:tcPr>
                  <w:tcW w:w="4110" w:type="dxa"/>
                  <w:vMerge w:val="continue"/>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28"/>
                      <w:szCs w:val="21"/>
                    </w:rPr>
                  </w:pPr>
                </w:p>
              </w:tc>
              <w:tc>
                <w:tcPr>
                  <w:tcW w:w="648"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28"/>
                      <w:szCs w:val="21"/>
                    </w:rPr>
                  </w:pPr>
                  <w:r>
                    <w:rPr>
                      <w:rFonts w:hint="default" w:ascii="Times New Roman" w:hAnsi="Times New Roman" w:cs="Times New Roman"/>
                      <w:color w:val="auto"/>
                      <w:kern w:val="28"/>
                      <w:szCs w:val="21"/>
                    </w:rPr>
                    <w:t>新建</w:t>
                  </w:r>
                </w:p>
              </w:tc>
              <w:tc>
                <w:tcPr>
                  <w:tcW w:w="1051"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p>
              </w:tc>
              <w:tc>
                <w:tcPr>
                  <w:tcW w:w="4110" w:type="dxa"/>
                  <w:vAlign w:val="center"/>
                </w:tcPr>
                <w:p>
                  <w:pPr>
                    <w:keepNext w:val="0"/>
                    <w:keepLines w:val="0"/>
                    <w:suppressLineNumbers w:val="0"/>
                    <w:spacing w:before="0" w:beforeAutospacing="0" w:after="0" w:afterAutospacing="0"/>
                    <w:ind w:left="0" w:leftChars="0" w:right="0" w:rightChars="0"/>
                    <w:rPr>
                      <w:rFonts w:hint="default" w:ascii="Times New Roman" w:hAnsi="Times New Roman" w:cs="Times New Roman"/>
                      <w:color w:val="auto"/>
                      <w:kern w:val="0"/>
                      <w:szCs w:val="21"/>
                    </w:rPr>
                  </w:pPr>
                  <w:r>
                    <w:rPr>
                      <w:rFonts w:hint="eastAsia" w:cs="Times New Roman"/>
                      <w:color w:val="auto"/>
                      <w:kern w:val="28"/>
                      <w:szCs w:val="21"/>
                      <w:lang w:val="en-US" w:eastAsia="zh-CN"/>
                    </w:rPr>
                    <w:t>钻井过程产生的废水优先回用于钻井工序，不能回用的废水由罐车转运至赵家坝污水处理站处理后运至普光3井等回注站回注；随岩屑带走的部分废水由岩屑处理单位处理后回用，无法回用时由罐车转运至赵家坝污水处理站处理后运至普光3井等回注站回注。</w:t>
                  </w:r>
                </w:p>
              </w:tc>
              <w:tc>
                <w:tcPr>
                  <w:tcW w:w="648" w:type="dxa"/>
                  <w:vAlign w:val="center"/>
                </w:tcPr>
                <w:p>
                  <w:pPr>
                    <w:keepNext w:val="0"/>
                    <w:keepLines w:val="0"/>
                    <w:suppressLineNumbers w:val="0"/>
                    <w:spacing w:before="0" w:beforeAutospacing="0" w:after="0" w:afterAutospacing="0"/>
                    <w:ind w:left="0" w:right="0"/>
                    <w:rPr>
                      <w:rFonts w:hint="eastAsia" w:ascii="Times New Roman" w:hAnsi="Times New Roman" w:eastAsia="宋体" w:cs="Times New Roman"/>
                      <w:color w:val="auto"/>
                      <w:kern w:val="0"/>
                      <w:szCs w:val="21"/>
                      <w:lang w:val="en-US" w:eastAsia="zh-CN"/>
                    </w:rPr>
                  </w:pPr>
                  <w:r>
                    <w:rPr>
                      <w:rFonts w:hint="eastAsia" w:cs="Times New Roman"/>
                      <w:color w:val="auto"/>
                      <w:kern w:val="0"/>
                      <w:szCs w:val="21"/>
                      <w:lang w:val="en-US" w:eastAsia="zh-CN"/>
                    </w:rPr>
                    <w:t>新建</w:t>
                  </w:r>
                </w:p>
              </w:tc>
              <w:tc>
                <w:tcPr>
                  <w:tcW w:w="1051"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p>
              </w:tc>
              <w:tc>
                <w:tcPr>
                  <w:tcW w:w="4110" w:type="dxa"/>
                  <w:vAlign w:val="center"/>
                </w:tcPr>
                <w:p>
                  <w:pPr>
                    <w:keepNext w:val="0"/>
                    <w:keepLines w:val="0"/>
                    <w:suppressLineNumbers w:val="0"/>
                    <w:spacing w:before="0" w:beforeAutospacing="0" w:after="0" w:afterAutospacing="0"/>
                    <w:ind w:left="0" w:leftChars="0" w:right="0" w:rightChars="0"/>
                    <w:rPr>
                      <w:rFonts w:hint="default" w:ascii="Times New Roman" w:hAnsi="Times New Roman" w:cs="Times New Roman"/>
                      <w:color w:val="auto"/>
                      <w:kern w:val="28"/>
                      <w:szCs w:val="21"/>
                    </w:rPr>
                  </w:pPr>
                  <w:r>
                    <w:rPr>
                      <w:rFonts w:hint="default" w:ascii="Times New Roman" w:hAnsi="Times New Roman" w:cs="Times New Roman"/>
                      <w:color w:val="auto"/>
                      <w:kern w:val="0"/>
                      <w:szCs w:val="21"/>
                    </w:rPr>
                    <w:t>洗井废水优先用于配制压裂液，</w:t>
                  </w:r>
                  <w:r>
                    <w:rPr>
                      <w:rFonts w:hint="default" w:ascii="Times New Roman" w:hAnsi="Times New Roman" w:cs="Times New Roman"/>
                      <w:color w:val="auto"/>
                      <w:kern w:val="0"/>
                      <w:szCs w:val="21"/>
                      <w:lang w:val="en-US" w:eastAsia="zh-CN"/>
                    </w:rPr>
                    <w:t>不能回用时密闭罐车定期拉运至</w:t>
                  </w:r>
                  <w:r>
                    <w:rPr>
                      <w:rFonts w:hint="eastAsia" w:cs="Times New Roman"/>
                      <w:color w:val="auto"/>
                      <w:kern w:val="0"/>
                      <w:szCs w:val="21"/>
                      <w:lang w:val="en-US" w:eastAsia="zh-CN"/>
                    </w:rPr>
                    <w:t>赵家坝污水处理站</w:t>
                  </w:r>
                  <w:r>
                    <w:rPr>
                      <w:rFonts w:hint="default" w:ascii="Times New Roman" w:hAnsi="Times New Roman" w:cs="Times New Roman"/>
                      <w:color w:val="auto"/>
                      <w:kern w:val="0"/>
                      <w:szCs w:val="21"/>
                      <w:lang w:val="en-US" w:eastAsia="zh-CN"/>
                    </w:rPr>
                    <w:t>处理达标后由罐车拉运至普光3井</w:t>
                  </w:r>
                  <w:r>
                    <w:rPr>
                      <w:rFonts w:hint="eastAsia" w:cs="Times New Roman"/>
                      <w:color w:val="auto"/>
                      <w:kern w:val="0"/>
                      <w:szCs w:val="21"/>
                      <w:lang w:val="en-US" w:eastAsia="zh-CN"/>
                    </w:rPr>
                    <w:t>等</w:t>
                  </w:r>
                  <w:r>
                    <w:rPr>
                      <w:rFonts w:hint="default" w:ascii="Times New Roman" w:hAnsi="Times New Roman" w:cs="Times New Roman"/>
                      <w:color w:val="auto"/>
                      <w:kern w:val="0"/>
                      <w:szCs w:val="21"/>
                      <w:lang w:val="en-US" w:eastAsia="zh-CN"/>
                    </w:rPr>
                    <w:t>回注站回注。</w:t>
                  </w:r>
                  <w:r>
                    <w:rPr>
                      <w:rFonts w:hint="default" w:ascii="Times New Roman" w:hAnsi="Times New Roman" w:cs="Times New Roman"/>
                      <w:color w:val="auto"/>
                      <w:kern w:val="0"/>
                      <w:szCs w:val="21"/>
                    </w:rPr>
                    <w:t>本项目</w:t>
                  </w:r>
                  <w:r>
                    <w:rPr>
                      <w:rFonts w:hint="default" w:ascii="Times New Roman" w:hAnsi="Times New Roman" w:cs="Times New Roman"/>
                      <w:color w:val="auto"/>
                      <w:kern w:val="0"/>
                      <w:szCs w:val="21"/>
                      <w:lang w:val="en-US" w:eastAsia="zh-CN"/>
                    </w:rPr>
                    <w:t>试气工程</w:t>
                  </w:r>
                  <w:r>
                    <w:rPr>
                      <w:rFonts w:hint="eastAsia" w:cs="Times New Roman"/>
                      <w:color w:val="auto"/>
                      <w:kern w:val="0"/>
                      <w:szCs w:val="21"/>
                      <w:lang w:val="en-US" w:eastAsia="zh-CN"/>
                    </w:rPr>
                    <w:t>产生的压裂返排液废水经现场絮凝沉淀处理后立即由</w:t>
                  </w:r>
                  <w:r>
                    <w:rPr>
                      <w:rFonts w:hint="default" w:ascii="Times New Roman" w:hAnsi="Times New Roman" w:cs="Times New Roman"/>
                      <w:color w:val="auto"/>
                      <w:kern w:val="0"/>
                      <w:szCs w:val="21"/>
                    </w:rPr>
                    <w:t>罐车拟交由装车拉运至</w:t>
                  </w:r>
                  <w:r>
                    <w:rPr>
                      <w:rFonts w:hint="eastAsia" w:cs="Times New Roman"/>
                      <w:color w:val="auto"/>
                      <w:kern w:val="0"/>
                      <w:szCs w:val="21"/>
                      <w:lang w:eastAsia="zh-CN"/>
                    </w:rPr>
                    <w:t>赵家坝污水处理站</w:t>
                  </w:r>
                  <w:r>
                    <w:rPr>
                      <w:rFonts w:hint="default" w:ascii="Times New Roman" w:hAnsi="Times New Roman" w:cs="Times New Roman"/>
                      <w:color w:val="auto"/>
                      <w:kern w:val="0"/>
                      <w:szCs w:val="21"/>
                    </w:rPr>
                    <w:t>处理达标后</w:t>
                  </w:r>
                  <w:r>
                    <w:rPr>
                      <w:rFonts w:hint="default" w:ascii="Times New Roman" w:hAnsi="Times New Roman" w:cs="Times New Roman"/>
                      <w:color w:val="auto"/>
                      <w:kern w:val="0"/>
                      <w:szCs w:val="21"/>
                      <w:lang w:eastAsia="zh-CN"/>
                    </w:rPr>
                    <w:t>由罐车拉运至普光3井</w:t>
                  </w:r>
                  <w:r>
                    <w:rPr>
                      <w:rFonts w:hint="eastAsia" w:cs="Times New Roman"/>
                      <w:color w:val="auto"/>
                      <w:kern w:val="0"/>
                      <w:szCs w:val="21"/>
                      <w:lang w:val="en-US" w:eastAsia="zh-CN"/>
                    </w:rPr>
                    <w:t>等</w:t>
                  </w:r>
                  <w:r>
                    <w:rPr>
                      <w:rFonts w:hint="default" w:ascii="Times New Roman" w:hAnsi="Times New Roman" w:cs="Times New Roman"/>
                      <w:color w:val="auto"/>
                      <w:kern w:val="0"/>
                      <w:szCs w:val="21"/>
                    </w:rPr>
                    <w:t>回注站回注</w:t>
                  </w:r>
                  <w:r>
                    <w:rPr>
                      <w:rFonts w:hint="default" w:ascii="Times New Roman" w:hAnsi="Times New Roman" w:cs="Times New Roman"/>
                      <w:color w:val="auto"/>
                      <w:kern w:val="28"/>
                      <w:szCs w:val="21"/>
                    </w:rPr>
                    <w:t>。</w:t>
                  </w:r>
                </w:p>
              </w:tc>
              <w:tc>
                <w:tcPr>
                  <w:tcW w:w="648"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新建</w:t>
                  </w:r>
                </w:p>
              </w:tc>
              <w:tc>
                <w:tcPr>
                  <w:tcW w:w="1051"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p>
              </w:tc>
              <w:tc>
                <w:tcPr>
                  <w:tcW w:w="4110"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kern w:val="0"/>
                      <w:szCs w:val="21"/>
                    </w:rPr>
                  </w:pPr>
                  <w:bookmarkStart w:id="12" w:name="_Hlk103759992"/>
                  <w:r>
                    <w:rPr>
                      <w:rFonts w:hint="default" w:ascii="Times New Roman" w:hAnsi="Times New Roman" w:cs="Times New Roman"/>
                      <w:color w:val="auto"/>
                      <w:kern w:val="0"/>
                      <w:szCs w:val="21"/>
                    </w:rPr>
                    <w:t>生活污水经生态一体化厕所收集后由吸污车运至</w:t>
                  </w:r>
                  <w:r>
                    <w:rPr>
                      <w:rFonts w:hint="eastAsia" w:cs="Times New Roman"/>
                      <w:color w:val="auto"/>
                      <w:kern w:val="0"/>
                      <w:szCs w:val="21"/>
                      <w:lang w:eastAsia="zh-CN"/>
                    </w:rPr>
                    <w:t>普光镇</w:t>
                  </w:r>
                  <w:r>
                    <w:rPr>
                      <w:rFonts w:hint="default" w:ascii="Times New Roman" w:hAnsi="Times New Roman" w:cs="Times New Roman"/>
                      <w:color w:val="auto"/>
                      <w:kern w:val="0"/>
                      <w:szCs w:val="21"/>
                    </w:rPr>
                    <w:t>污水处理厂处理后排放</w:t>
                  </w:r>
                  <w:bookmarkEnd w:id="12"/>
                  <w:r>
                    <w:rPr>
                      <w:rFonts w:hint="default" w:ascii="Times New Roman" w:hAnsi="Times New Roman" w:cs="Times New Roman"/>
                      <w:color w:val="auto"/>
                      <w:kern w:val="0"/>
                      <w:szCs w:val="21"/>
                    </w:rPr>
                    <w:t>。</w:t>
                  </w:r>
                </w:p>
              </w:tc>
              <w:tc>
                <w:tcPr>
                  <w:tcW w:w="648" w:type="dxa"/>
                  <w:vAlign w:val="center"/>
                </w:tcPr>
                <w:p>
                  <w:pPr>
                    <w:keepNext w:val="0"/>
                    <w:keepLines w:val="0"/>
                    <w:suppressLineNumbers w:val="0"/>
                    <w:spacing w:before="0" w:beforeAutospacing="0" w:after="0" w:afterAutospacing="0"/>
                    <w:ind w:left="0" w:right="0"/>
                    <w:rPr>
                      <w:rFonts w:hint="default" w:ascii="Times New Roman" w:hAnsi="Times New Roman" w:cs="Times New Roman"/>
                      <w:b/>
                      <w:bCs/>
                      <w:color w:val="auto"/>
                      <w:kern w:val="0"/>
                      <w:szCs w:val="21"/>
                    </w:rPr>
                  </w:pPr>
                  <w:r>
                    <w:rPr>
                      <w:rFonts w:hint="default" w:ascii="Times New Roman" w:hAnsi="Times New Roman" w:cs="Times New Roman"/>
                      <w:b/>
                      <w:bCs/>
                      <w:color w:val="auto"/>
                      <w:kern w:val="0"/>
                      <w:szCs w:val="21"/>
                    </w:rPr>
                    <w:t>新建</w:t>
                  </w:r>
                </w:p>
              </w:tc>
              <w:tc>
                <w:tcPr>
                  <w:tcW w:w="1051" w:type="dxa"/>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废气处置</w:t>
                  </w:r>
                </w:p>
              </w:tc>
              <w:tc>
                <w:tcPr>
                  <w:tcW w:w="4110"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柴油机经自带尾气处理系统后经过自带排气筒排放。</w:t>
                  </w:r>
                </w:p>
              </w:tc>
              <w:tc>
                <w:tcPr>
                  <w:tcW w:w="648"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w:t>
                  </w:r>
                </w:p>
              </w:tc>
              <w:tc>
                <w:tcPr>
                  <w:tcW w:w="105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4110"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试气作业过程中经放喷管线外输至放喷池燃烧处理。</w:t>
                  </w:r>
                </w:p>
              </w:tc>
              <w:tc>
                <w:tcPr>
                  <w:tcW w:w="648"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w:t>
                  </w:r>
                </w:p>
              </w:tc>
              <w:tc>
                <w:tcPr>
                  <w:tcW w:w="105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固废处置</w:t>
                  </w:r>
                </w:p>
              </w:tc>
              <w:tc>
                <w:tcPr>
                  <w:tcW w:w="4110" w:type="dxa"/>
                  <w:vAlign w:val="center"/>
                </w:tcPr>
                <w:p>
                  <w:pPr>
                    <w:keepNext w:val="0"/>
                    <w:keepLines w:val="0"/>
                    <w:widowControl/>
                    <w:suppressLineNumbers w:val="0"/>
                    <w:spacing w:before="0" w:beforeAutospacing="0" w:after="0" w:afterAutospacing="0"/>
                    <w:ind w:left="0" w:right="0"/>
                    <w:rPr>
                      <w:rFonts w:hint="default" w:ascii="Times New Roman" w:hAnsi="Times New Roman" w:eastAsia="宋体" w:cs="Times New Roman"/>
                      <w:color w:val="auto"/>
                      <w:kern w:val="0"/>
                      <w:szCs w:val="21"/>
                      <w:lang w:val="en-US" w:eastAsia="zh-CN"/>
                    </w:rPr>
                  </w:pPr>
                  <w:bookmarkStart w:id="13" w:name="_Hlk103761166"/>
                  <w:r>
                    <w:rPr>
                      <w:rFonts w:hint="default" w:ascii="Times New Roman" w:hAnsi="Times New Roman" w:cs="Times New Roman"/>
                      <w:color w:val="auto"/>
                      <w:kern w:val="0"/>
                      <w:szCs w:val="21"/>
                    </w:rPr>
                    <w:t>常规钻井产生的水基岩屑由岩屑收集罐进行收集暂存岩屑暂存区，钻井废弃泥浆由循环罐收集后暂存于泥浆不落地平台内，并采取泥浆不落地措施，按照相关要求进行资源化利用</w:t>
                  </w:r>
                  <w:bookmarkEnd w:id="13"/>
                  <w:r>
                    <w:rPr>
                      <w:rFonts w:hint="default" w:ascii="Times New Roman" w:hAnsi="Times New Roman" w:cs="Times New Roman"/>
                      <w:color w:val="auto"/>
                      <w:kern w:val="0"/>
                      <w:szCs w:val="21"/>
                    </w:rPr>
                    <w:t>。</w:t>
                  </w:r>
                  <w:r>
                    <w:rPr>
                      <w:rFonts w:hint="eastAsia" w:cs="Times New Roman"/>
                      <w:color w:val="auto"/>
                      <w:kern w:val="0"/>
                      <w:szCs w:val="21"/>
                      <w:lang w:val="en-US" w:eastAsia="zh-CN"/>
                    </w:rPr>
                    <w:t>若三开采用油基钻井液钻井，产生的油基岩屑、废油基泥浆暂存于钢罐后定期交由委托有资质单位进行处理。</w:t>
                  </w:r>
                </w:p>
              </w:tc>
              <w:tc>
                <w:tcPr>
                  <w:tcW w:w="648"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新建</w:t>
                  </w:r>
                </w:p>
              </w:tc>
              <w:tc>
                <w:tcPr>
                  <w:tcW w:w="1051" w:type="dxa"/>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kern w:val="0"/>
                      <w:szCs w:val="21"/>
                      <w:lang w:val="en-US" w:eastAsia="zh-CN"/>
                    </w:rPr>
                  </w:pPr>
                  <w:r>
                    <w:rPr>
                      <w:rFonts w:hint="eastAsia" w:cs="Times New Roman"/>
                      <w:color w:val="auto"/>
                      <w:kern w:val="0"/>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4110"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井场区域和生活区各设1个垃圾箱，完工后外运</w:t>
                  </w:r>
                  <w:r>
                    <w:rPr>
                      <w:rFonts w:hint="eastAsia" w:cs="Times New Roman"/>
                      <w:color w:val="auto"/>
                      <w:kern w:val="0"/>
                      <w:szCs w:val="21"/>
                      <w:lang w:val="en-US" w:eastAsia="zh-CN"/>
                    </w:rPr>
                    <w:t>当地</w:t>
                  </w:r>
                  <w:r>
                    <w:rPr>
                      <w:rFonts w:hint="default" w:ascii="Times New Roman" w:hAnsi="Times New Roman" w:cs="Times New Roman"/>
                      <w:color w:val="auto"/>
                      <w:kern w:val="0"/>
                      <w:szCs w:val="21"/>
                    </w:rPr>
                    <w:t>环卫集中收集卫生填埋处置。废包装材料量较少，收集后全部回收利用。</w:t>
                  </w:r>
                </w:p>
              </w:tc>
              <w:tc>
                <w:tcPr>
                  <w:tcW w:w="648" w:type="dxa"/>
                  <w:vAlign w:val="center"/>
                </w:tcPr>
                <w:p>
                  <w:pPr>
                    <w:keepNext w:val="0"/>
                    <w:keepLines w:val="0"/>
                    <w:widowControl/>
                    <w:suppressLineNumbers w:val="0"/>
                    <w:spacing w:before="0" w:beforeAutospacing="0" w:after="0" w:afterAutospacing="0"/>
                    <w:ind w:left="0" w:right="0"/>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新建</w:t>
                  </w:r>
                </w:p>
              </w:tc>
              <w:tc>
                <w:tcPr>
                  <w:tcW w:w="105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4110" w:type="dxa"/>
                  <w:vAlign w:val="center"/>
                </w:tcPr>
                <w:p>
                  <w:pPr>
                    <w:keepNext w:val="0"/>
                    <w:keepLines w:val="0"/>
                    <w:widowControl/>
                    <w:suppressLineNumbers w:val="0"/>
                    <w:spacing w:before="0" w:beforeAutospacing="0" w:after="0" w:afterAutospacing="0"/>
                    <w:ind w:left="0" w:right="0"/>
                    <w:jc w:val="left"/>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钻井平台内设置一处危险废物贮存点，主要收集钻井产生的废油，</w:t>
                  </w:r>
                  <w:r>
                    <w:rPr>
                      <w:rFonts w:hint="default" w:ascii="Times New Roman" w:hAnsi="Times New Roman" w:cs="Times New Roman"/>
                      <w:color w:val="auto"/>
                      <w:kern w:val="0"/>
                      <w:szCs w:val="21"/>
                      <w:lang w:val="en-US" w:eastAsia="zh-CN"/>
                    </w:rPr>
                    <w:t>占地面积为50</w:t>
                  </w:r>
                  <w:r>
                    <w:rPr>
                      <w:rFonts w:hint="default" w:ascii="Times New Roman" w:hAnsi="Times New Roman" w:cs="Times New Roman"/>
                      <w:color w:val="auto"/>
                      <w:kern w:val="0"/>
                      <w:szCs w:val="21"/>
                    </w:rPr>
                    <w:t>m</w:t>
                  </w:r>
                  <w:r>
                    <w:rPr>
                      <w:rFonts w:hint="default" w:ascii="Times New Roman" w:hAnsi="Times New Roman" w:cs="Times New Roman"/>
                      <w:color w:val="auto"/>
                      <w:kern w:val="0"/>
                      <w:szCs w:val="21"/>
                      <w:vertAlign w:val="superscript"/>
                      <w:lang w:val="en-US" w:eastAsia="zh-CN"/>
                    </w:rPr>
                    <w:t>2</w:t>
                  </w:r>
                  <w:r>
                    <w:rPr>
                      <w:rFonts w:hint="default" w:ascii="Times New Roman" w:hAnsi="Times New Roman" w:cs="Times New Roman"/>
                      <w:color w:val="auto"/>
                      <w:kern w:val="0"/>
                      <w:szCs w:val="21"/>
                    </w:rPr>
                    <w:t>，采取必要的防护措施（防风、防雨、防晒、防渗、防漏、防腐）及其他环境污染防护措施，拟及时交由有资质单位处置</w:t>
                  </w:r>
                </w:p>
              </w:tc>
              <w:tc>
                <w:tcPr>
                  <w:tcW w:w="648" w:type="dxa"/>
                  <w:vAlign w:val="center"/>
                </w:tcPr>
                <w:p>
                  <w:pPr>
                    <w:keepNext w:val="0"/>
                    <w:keepLines w:val="0"/>
                    <w:widowControl/>
                    <w:suppressLineNumbers w:val="0"/>
                    <w:spacing w:before="0" w:beforeAutospacing="0" w:after="0" w:afterAutospacing="0"/>
                    <w:ind w:left="0" w:right="0"/>
                    <w:jc w:val="left"/>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新建</w:t>
                  </w:r>
                </w:p>
              </w:tc>
              <w:tc>
                <w:tcPr>
                  <w:tcW w:w="105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噪声</w:t>
                  </w:r>
                </w:p>
              </w:tc>
              <w:tc>
                <w:tcPr>
                  <w:tcW w:w="4110" w:type="dxa"/>
                  <w:vAlign w:val="center"/>
                </w:tcPr>
                <w:p>
                  <w:pPr>
                    <w:keepNext w:val="0"/>
                    <w:keepLines w:val="0"/>
                    <w:widowControl/>
                    <w:suppressLineNumbers w:val="0"/>
                    <w:spacing w:before="0" w:beforeAutospacing="0" w:after="0" w:afterAutospacing="0"/>
                    <w:ind w:left="0" w:right="0"/>
                    <w:jc w:val="left"/>
                    <w:rPr>
                      <w:rFonts w:hint="default" w:ascii="Times New Roman" w:hAnsi="Times New Roman" w:cs="Times New Roman"/>
                      <w:color w:val="auto"/>
                      <w:kern w:val="0"/>
                      <w:szCs w:val="21"/>
                    </w:rPr>
                  </w:pPr>
                  <w:r>
                    <w:rPr>
                      <w:rFonts w:hint="eastAsia" w:cs="Times New Roman"/>
                      <w:color w:val="auto"/>
                      <w:kern w:val="0"/>
                      <w:szCs w:val="21"/>
                      <w:lang w:val="en-US" w:eastAsia="zh-CN"/>
                    </w:rPr>
                    <w:t>相关</w:t>
                  </w:r>
                  <w:r>
                    <w:rPr>
                      <w:rFonts w:hint="default" w:ascii="Times New Roman" w:hAnsi="Times New Roman" w:cs="Times New Roman"/>
                      <w:color w:val="auto"/>
                      <w:kern w:val="0"/>
                      <w:szCs w:val="21"/>
                    </w:rPr>
                    <w:t>设备设置基础</w:t>
                  </w:r>
                  <w:r>
                    <w:rPr>
                      <w:rFonts w:hint="eastAsia" w:cs="Times New Roman"/>
                      <w:color w:val="auto"/>
                      <w:kern w:val="0"/>
                      <w:szCs w:val="21"/>
                      <w:lang w:eastAsia="zh-CN"/>
                    </w:rPr>
                    <w:t>减振</w:t>
                  </w:r>
                  <w:r>
                    <w:rPr>
                      <w:rFonts w:hint="default" w:ascii="Times New Roman" w:hAnsi="Times New Roman" w:cs="Times New Roman"/>
                      <w:color w:val="auto"/>
                      <w:kern w:val="0"/>
                      <w:szCs w:val="21"/>
                    </w:rPr>
                    <w:t>，同时备用发电机组、空气压缩机、泥浆泵设置在房屋内进行隔声减小影响。</w:t>
                  </w:r>
                </w:p>
              </w:tc>
              <w:tc>
                <w:tcPr>
                  <w:tcW w:w="648" w:type="dxa"/>
                  <w:vAlign w:val="center"/>
                </w:tcPr>
                <w:p>
                  <w:pPr>
                    <w:keepNext w:val="0"/>
                    <w:keepLines w:val="0"/>
                    <w:widowControl/>
                    <w:suppressLineNumbers w:val="0"/>
                    <w:spacing w:before="0" w:beforeAutospacing="0" w:after="0" w:afterAutospacing="0"/>
                    <w:ind w:left="0" w:right="0"/>
                    <w:jc w:val="left"/>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w:t>
                  </w:r>
                </w:p>
              </w:tc>
              <w:tc>
                <w:tcPr>
                  <w:tcW w:w="105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98" w:type="dxa"/>
                  <w:vMerge w:val="continue"/>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28"/>
                      <w:szCs w:val="21"/>
                    </w:rPr>
                  </w:pPr>
                </w:p>
              </w:tc>
              <w:tc>
                <w:tcPr>
                  <w:tcW w:w="1154" w:type="dxa"/>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生态恢复</w:t>
                  </w:r>
                </w:p>
              </w:tc>
              <w:tc>
                <w:tcPr>
                  <w:tcW w:w="4110" w:type="dxa"/>
                  <w:vAlign w:val="center"/>
                </w:tcPr>
                <w:p>
                  <w:pPr>
                    <w:keepNext w:val="0"/>
                    <w:keepLines w:val="0"/>
                    <w:widowControl/>
                    <w:suppressLineNumbers w:val="0"/>
                    <w:spacing w:before="0" w:beforeAutospacing="0" w:after="0" w:afterAutospacing="0"/>
                    <w:ind w:left="0" w:right="0"/>
                    <w:jc w:val="left"/>
                    <w:rPr>
                      <w:rFonts w:hint="default" w:ascii="Times New Roman" w:hAnsi="Times New Roman" w:eastAsia="宋体" w:cs="Times New Roman"/>
                      <w:color w:val="auto"/>
                      <w:kern w:val="0"/>
                      <w:szCs w:val="21"/>
                      <w:lang w:val="en-US" w:eastAsia="zh-CN"/>
                    </w:rPr>
                  </w:pPr>
                  <w:r>
                    <w:rPr>
                      <w:rFonts w:hint="eastAsia" w:cs="Times New Roman"/>
                      <w:color w:val="auto"/>
                      <w:kern w:val="0"/>
                      <w:szCs w:val="21"/>
                      <w:lang w:val="en-US" w:eastAsia="zh-CN"/>
                    </w:rPr>
                    <w:t>设置1个耕植土堆放区，将表土单独、分区、分层堆放，表土四周设置草袋土挡墙，并夯压整形，顶部保持平缓坡度以利于排水，堆场四周设置临时截、排水沟和沉砂池，土堆表面采用密目网进行临时苫盖。</w:t>
                  </w:r>
                </w:p>
              </w:tc>
              <w:tc>
                <w:tcPr>
                  <w:tcW w:w="648" w:type="dxa"/>
                  <w:vAlign w:val="center"/>
                </w:tcPr>
                <w:p>
                  <w:pPr>
                    <w:keepNext w:val="0"/>
                    <w:keepLines w:val="0"/>
                    <w:widowControl/>
                    <w:suppressLineNumbers w:val="0"/>
                    <w:spacing w:before="0" w:beforeAutospacing="0" w:after="0" w:afterAutospacing="0"/>
                    <w:ind w:left="0" w:right="0"/>
                    <w:jc w:val="left"/>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w:t>
                  </w:r>
                </w:p>
              </w:tc>
              <w:tc>
                <w:tcPr>
                  <w:tcW w:w="1051"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w:t>
                  </w:r>
                </w:p>
              </w:tc>
            </w:tr>
            <w:bookmarkEnd w:id="10"/>
            <w:bookmarkEnd w:id="11"/>
          </w:tbl>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2.4设备使用情况</w:t>
            </w:r>
          </w:p>
          <w:p>
            <w:pPr>
              <w:keepNext w:val="0"/>
              <w:keepLines w:val="0"/>
              <w:suppressLineNumbers w:val="0"/>
              <w:tabs>
                <w:tab w:val="left" w:pos="2321"/>
                <w:tab w:val="left" w:pos="5925"/>
              </w:tabs>
              <w:adjustRightIn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钻前工程主要为井场建设、设备搬迁及生活区建设，相关工程施工设备及运输设备本评价不做详细列举，重点对钻井设备及试气工程设备列表说明。</w:t>
            </w:r>
          </w:p>
          <w:p>
            <w:pPr>
              <w:keepNext w:val="0"/>
              <w:keepLines w:val="0"/>
              <w:suppressLineNumbers w:val="0"/>
              <w:tabs>
                <w:tab w:val="left" w:pos="2321"/>
                <w:tab w:val="left" w:pos="5925"/>
              </w:tabs>
              <w:adjustRightIn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（1）钻井设备</w:t>
            </w:r>
          </w:p>
          <w:p>
            <w:pPr>
              <w:keepNext w:val="0"/>
              <w:keepLines w:val="0"/>
              <w:suppressLineNumbers w:val="0"/>
              <w:tabs>
                <w:tab w:val="left" w:pos="2321"/>
                <w:tab w:val="left" w:pos="5925"/>
              </w:tabs>
              <w:adjustRightIn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根据《</w:t>
            </w:r>
            <w:r>
              <w:rPr>
                <w:rFonts w:hint="eastAsia" w:cs="Times New Roman"/>
                <w:bCs/>
                <w:color w:val="auto"/>
                <w:sz w:val="24"/>
                <w:lang w:eastAsia="zh-CN"/>
              </w:rPr>
              <w:t>普陆12HF井工程</w:t>
            </w:r>
            <w:r>
              <w:rPr>
                <w:rFonts w:hint="default" w:ascii="Times New Roman" w:hAnsi="Times New Roman" w:cs="Times New Roman"/>
                <w:bCs/>
                <w:color w:val="auto"/>
                <w:sz w:val="24"/>
              </w:rPr>
              <w:t>设计》，钻井作业主要钻井设备包括泥浆钻井系统、井架设备和井场监控自动化设备。根据对设备清单的核查检索，无国家规定的禁止使用和淘汰类设备。本项目使用设备如下：</w:t>
            </w:r>
          </w:p>
          <w:p>
            <w:pPr>
              <w:pStyle w:val="19"/>
              <w:keepNext w:val="0"/>
              <w:keepLines w:val="0"/>
              <w:numPr>
                <w:ilvl w:val="0"/>
                <w:numId w:val="6"/>
              </w:numPr>
              <w:suppressLineNumbers w:val="0"/>
              <w:tabs>
                <w:tab w:val="left" w:pos="0"/>
                <w:tab w:val="left" w:pos="833"/>
              </w:tabs>
              <w:spacing w:before="0" w:beforeAutospacing="0" w:after="0" w:afterAutospacing="0" w:line="360" w:lineRule="auto"/>
              <w:ind w:left="0" w:right="0" w:firstLine="0"/>
              <w:jc w:val="center"/>
              <w:rPr>
                <w:rFonts w:hint="default" w:ascii="Times New Roman" w:hAnsi="Times New Roman" w:cs="Times New Roman"/>
                <w:b/>
                <w:bCs/>
                <w:color w:val="auto"/>
                <w:sz w:val="24"/>
                <w:szCs w:val="24"/>
              </w:rPr>
            </w:pPr>
            <w:r>
              <w:rPr>
                <w:rFonts w:hint="eastAsia" w:cs="Times New Roman"/>
                <w:b/>
                <w:bCs/>
                <w:color w:val="auto"/>
                <w:sz w:val="24"/>
                <w:szCs w:val="24"/>
                <w:lang w:eastAsia="zh-CN"/>
              </w:rPr>
              <w:t>普陆12HF井工程</w:t>
            </w:r>
            <w:r>
              <w:rPr>
                <w:rFonts w:hint="default" w:ascii="Times New Roman" w:hAnsi="Times New Roman" w:cs="Times New Roman"/>
                <w:b/>
                <w:bCs/>
                <w:color w:val="auto"/>
                <w:sz w:val="24"/>
                <w:szCs w:val="24"/>
              </w:rPr>
              <w:t>主要钻井设备</w:t>
            </w:r>
          </w:p>
          <w:tbl>
            <w:tblPr>
              <w:tblStyle w:val="350"/>
              <w:tblW w:w="4991" w:type="pct"/>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438"/>
              <w:gridCol w:w="734"/>
              <w:gridCol w:w="509"/>
              <w:gridCol w:w="422"/>
              <w:gridCol w:w="737"/>
              <w:gridCol w:w="1330"/>
              <w:gridCol w:w="620"/>
              <w:gridCol w:w="619"/>
              <w:gridCol w:w="612"/>
              <w:gridCol w:w="1422"/>
              <w:gridCol w:w="6"/>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tblHeader/>
                <w:jc w:val="center"/>
              </w:trPr>
              <w:tc>
                <w:tcPr>
                  <w:tcW w:w="490" w:type="dxa"/>
                  <w:vMerge w:val="restart"/>
                  <w:tcBorders>
                    <w:left w:val="single" w:color="auto" w:sz="0"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序号</w:t>
                  </w:r>
                </w:p>
              </w:tc>
              <w:tc>
                <w:tcPr>
                  <w:tcW w:w="2686" w:type="dxa"/>
                  <w:gridSpan w:val="4"/>
                  <w:vMerge w:val="restart"/>
                  <w:tcBorders>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名称</w:t>
                  </w:r>
                </w:p>
              </w:tc>
              <w:tc>
                <w:tcPr>
                  <w:tcW w:w="1492" w:type="dxa"/>
                  <w:vMerge w:val="restart"/>
                  <w:tcBorders>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型号</w:t>
                  </w:r>
                </w:p>
              </w:tc>
              <w:tc>
                <w:tcPr>
                  <w:tcW w:w="1385" w:type="dxa"/>
                  <w:gridSpan w:val="2"/>
                  <w:tcBorders>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规格</w:t>
                  </w:r>
                </w:p>
              </w:tc>
              <w:tc>
                <w:tcPr>
                  <w:tcW w:w="684" w:type="dxa"/>
                  <w:vMerge w:val="restart"/>
                  <w:tcBorders>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数量</w:t>
                  </w:r>
                </w:p>
              </w:tc>
              <w:tc>
                <w:tcPr>
                  <w:tcW w:w="1594" w:type="dxa"/>
                  <w:vMerge w:val="restart"/>
                  <w:tcBorders>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备注</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tblHeader/>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2686" w:type="dxa"/>
                  <w:gridSpan w:val="4"/>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492"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载荷</w:t>
                  </w:r>
                </w:p>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kN</w:t>
                  </w: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功率</w:t>
                  </w:r>
                </w:p>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kW</w:t>
                  </w:r>
                </w:p>
              </w:tc>
              <w:tc>
                <w:tcPr>
                  <w:tcW w:w="684"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594" w:type="dxa"/>
                  <w:vMerge w:val="continue"/>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一</w:t>
                  </w:r>
                </w:p>
              </w:tc>
              <w:tc>
                <w:tcPr>
                  <w:tcW w:w="821"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569"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钻</w:t>
                  </w:r>
                </w:p>
              </w:tc>
              <w:tc>
                <w:tcPr>
                  <w:tcW w:w="471"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机</w:t>
                  </w:r>
                </w:p>
              </w:tc>
              <w:tc>
                <w:tcPr>
                  <w:tcW w:w="825"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val="en-US" w:eastAsia="en-US"/>
                    </w:rPr>
                  </w:pPr>
                  <w:r>
                    <w:rPr>
                      <w:rFonts w:hint="default" w:ascii="Times New Roman" w:hAnsi="Times New Roman" w:eastAsia="宋体" w:cs="Times New Roman"/>
                      <w:color w:val="auto"/>
                      <w:szCs w:val="21"/>
                      <w:lang w:eastAsia="en-US"/>
                    </w:rPr>
                    <w:t>ZJ</w:t>
                  </w:r>
                  <w:r>
                    <w:rPr>
                      <w:rFonts w:hint="eastAsia" w:cs="Times New Roman"/>
                      <w:color w:val="auto"/>
                      <w:szCs w:val="21"/>
                      <w:lang w:val="en-US" w:eastAsia="zh-CN"/>
                    </w:rPr>
                    <w:t>70</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二</w:t>
                  </w:r>
                </w:p>
              </w:tc>
              <w:tc>
                <w:tcPr>
                  <w:tcW w:w="821"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569"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井</w:t>
                  </w:r>
                </w:p>
              </w:tc>
              <w:tc>
                <w:tcPr>
                  <w:tcW w:w="471"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架</w:t>
                  </w:r>
                </w:p>
              </w:tc>
              <w:tc>
                <w:tcPr>
                  <w:tcW w:w="825"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TJ-315/42</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3150</w:t>
                  </w: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底座7.5m以上</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三</w:t>
                  </w:r>
                </w:p>
              </w:tc>
              <w:tc>
                <w:tcPr>
                  <w:tcW w:w="821"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提升系统</w:t>
                  </w: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绞车</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JC-50</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1100</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天车</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TC-315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3150</w:t>
                  </w: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游动滑车</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YC-315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3150</w:t>
                  </w: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大钩</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DG-315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3150</w:t>
                  </w: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水龙头</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SL-450</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4500</w:t>
                  </w: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顶驱</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4500</w:t>
                  </w: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四</w:t>
                  </w:r>
                </w:p>
              </w:tc>
              <w:tc>
                <w:tcPr>
                  <w:tcW w:w="821"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569"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转</w:t>
                  </w:r>
                </w:p>
              </w:tc>
              <w:tc>
                <w:tcPr>
                  <w:tcW w:w="471"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盘</w:t>
                  </w:r>
                </w:p>
              </w:tc>
              <w:tc>
                <w:tcPr>
                  <w:tcW w:w="825"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ZP-275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4500</w:t>
                  </w: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五</w:t>
                  </w:r>
                </w:p>
              </w:tc>
              <w:tc>
                <w:tcPr>
                  <w:tcW w:w="821"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循环系统配置</w:t>
                  </w: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钻井泵1#</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3NB-1600</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1193</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钻井泵2#</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3NB-1600</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1193</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钻井液循环罐</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4</w:t>
                  </w:r>
                  <w:r>
                    <w:rPr>
                      <w:rFonts w:hint="eastAsia" w:cs="Times New Roman"/>
                      <w:color w:val="auto"/>
                      <w:szCs w:val="21"/>
                      <w:lang w:eastAsia="zh-CN"/>
                    </w:rPr>
                    <w:t>~</w:t>
                  </w:r>
                  <w:r>
                    <w:rPr>
                      <w:rFonts w:hint="default" w:ascii="Times New Roman" w:hAnsi="Times New Roman" w:eastAsia="宋体" w:cs="Times New Roman"/>
                      <w:color w:val="auto"/>
                      <w:szCs w:val="21"/>
                      <w:lang w:eastAsia="en-US"/>
                    </w:rPr>
                    <w:t>5</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钻井液储备罐</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按需要</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搅拌器</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按标准配备</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8</w:t>
                  </w:r>
                  <w:r>
                    <w:rPr>
                      <w:rFonts w:hint="eastAsia" w:cs="Times New Roman"/>
                      <w:color w:val="auto"/>
                      <w:szCs w:val="21"/>
                      <w:lang w:eastAsia="zh-CN"/>
                    </w:rPr>
                    <w:t>~</w:t>
                  </w:r>
                  <w:r>
                    <w:rPr>
                      <w:rFonts w:hint="default" w:ascii="Times New Roman" w:hAnsi="Times New Roman" w:eastAsia="宋体" w:cs="Times New Roman"/>
                      <w:color w:val="auto"/>
                      <w:szCs w:val="21"/>
                      <w:lang w:eastAsia="en-US"/>
                    </w:rPr>
                    <w:t>10</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六</w:t>
                  </w:r>
                </w:p>
              </w:tc>
              <w:tc>
                <w:tcPr>
                  <w:tcW w:w="821"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钻机动力系统</w:t>
                  </w: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柴油机1#</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PZ12V190B</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810</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柴油机2#</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PZ12V190B</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810</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6" w:type="dxa"/>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柴油机3#</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G12V190PZL</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882</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594" w:type="dxa"/>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七</w:t>
                  </w:r>
                </w:p>
              </w:tc>
              <w:tc>
                <w:tcPr>
                  <w:tcW w:w="821"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发电机组</w:t>
                  </w: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发电机1#</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8V190B</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300</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发电机2#</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8V190B</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300</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八</w:t>
                  </w:r>
                </w:p>
              </w:tc>
              <w:tc>
                <w:tcPr>
                  <w:tcW w:w="821"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钻机控制系统</w:t>
                  </w: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自动压风机</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2V6.5/12</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6.5m3/h</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电动压风机</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LGD-3/10-X</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3.5m3/h</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刹车系统</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按标准配备</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辅助刹车</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按标准配备</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九</w:t>
                  </w:r>
                </w:p>
              </w:tc>
              <w:tc>
                <w:tcPr>
                  <w:tcW w:w="821"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固控系统</w:t>
                  </w: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振动筛1#</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ZS1*1.15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5.5</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50L/s</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振动筛2#</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ZS1*1.15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5.5</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振动筛3#</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ZS1*1.15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5.5</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除砂器</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XQJS300*2F</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55</w:t>
                  </w: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除泥器</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除气器</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离心机</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LW600-945N</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60m3/h</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十</w:t>
                  </w:r>
                </w:p>
              </w:tc>
              <w:tc>
                <w:tcPr>
                  <w:tcW w:w="821"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加重装置</w:t>
                  </w: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加重漏斗</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按标准配备</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电动加重泵</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PHQ-150</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315kg/min</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快速自动配浆加重系统</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十一</w:t>
                  </w:r>
                </w:p>
              </w:tc>
              <w:tc>
                <w:tcPr>
                  <w:tcW w:w="821"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井控系统</w:t>
                  </w: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环形防喷器</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FH35-35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单闸板防喷器</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FZ35-35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双闸板防喷器</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2FZ35-35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四通</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FS35-35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通径与防喷器相匹配</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控制装置</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节流管汇</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JG-35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压井管汇</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YG-35</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液气分离器</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司钻控制台</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FQ116</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液控箱</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专用灌注装置</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钻具内防喷工具</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2</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钻具旋塞阀</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2</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十二</w:t>
                  </w:r>
                </w:p>
              </w:tc>
              <w:tc>
                <w:tcPr>
                  <w:tcW w:w="821" w:type="dxa"/>
                  <w:vMerge w:val="restart"/>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仪器</w:t>
                  </w:r>
                </w:p>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仪表</w:t>
                  </w: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测斜仪</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单点测斜仪</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抗温120℃以上</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测斜绞车</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按标准配备</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821" w:type="dxa"/>
                  <w:vMerge w:val="continue"/>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1865" w:type="dxa"/>
                  <w:gridSpan w:val="3"/>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液位报警仪</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十三</w:t>
                  </w:r>
                </w:p>
              </w:tc>
              <w:tc>
                <w:tcPr>
                  <w:tcW w:w="2686" w:type="dxa"/>
                  <w:gridSpan w:val="4"/>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液压大钳</w:t>
                  </w:r>
                </w:p>
              </w:tc>
              <w:tc>
                <w:tcPr>
                  <w:tcW w:w="14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按标准配备</w:t>
                  </w:r>
                </w:p>
              </w:tc>
              <w:tc>
                <w:tcPr>
                  <w:tcW w:w="693"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bottom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bottom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69" w:hRule="atLeast"/>
                <w:jc w:val="center"/>
              </w:trPr>
              <w:tc>
                <w:tcPr>
                  <w:tcW w:w="490" w:type="dxa"/>
                  <w:tcBorders>
                    <w:top w:val="single" w:color="000000" w:sz="4" w:space="0"/>
                    <w:left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十四</w:t>
                  </w:r>
                </w:p>
              </w:tc>
              <w:tc>
                <w:tcPr>
                  <w:tcW w:w="2686" w:type="dxa"/>
                  <w:gridSpan w:val="4"/>
                  <w:tcBorders>
                    <w:top w:val="single" w:color="000000" w:sz="4" w:space="0"/>
                    <w:left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自动点火装置</w:t>
                  </w:r>
                </w:p>
              </w:tc>
              <w:tc>
                <w:tcPr>
                  <w:tcW w:w="1492" w:type="dxa"/>
                  <w:tcBorders>
                    <w:top w:val="single" w:color="000000" w:sz="4" w:space="0"/>
                    <w:left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按标准配备</w:t>
                  </w:r>
                </w:p>
              </w:tc>
              <w:tc>
                <w:tcPr>
                  <w:tcW w:w="693" w:type="dxa"/>
                  <w:tcBorders>
                    <w:top w:val="single" w:color="000000" w:sz="4" w:space="0"/>
                    <w:left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92" w:type="dxa"/>
                  <w:tcBorders>
                    <w:top w:val="single" w:color="000000" w:sz="4" w:space="0"/>
                    <w:left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p>
              </w:tc>
              <w:tc>
                <w:tcPr>
                  <w:tcW w:w="684" w:type="dxa"/>
                  <w:tcBorders>
                    <w:top w:val="single" w:color="000000" w:sz="4" w:space="0"/>
                    <w:left w:val="single" w:color="000000" w:sz="4" w:space="0"/>
                    <w:right w:val="single" w:color="000000" w:sz="4" w:space="0"/>
                  </w:tcBorders>
                  <w:vAlign w:val="center"/>
                </w:tcPr>
                <w:p>
                  <w:pPr>
                    <w:autoSpaceDE/>
                    <w:autoSpaceDN/>
                    <w:jc w:val="center"/>
                    <w:rPr>
                      <w:rFonts w:hint="default" w:ascii="Times New Roman" w:hAnsi="Times New Roman" w:eastAsia="宋体" w:cs="Times New Roman"/>
                      <w:color w:val="auto"/>
                      <w:szCs w:val="21"/>
                      <w:lang w:eastAsia="en-US"/>
                    </w:rPr>
                  </w:pPr>
                  <w:r>
                    <w:rPr>
                      <w:rFonts w:hint="default" w:ascii="Times New Roman" w:hAnsi="Times New Roman" w:eastAsia="宋体" w:cs="Times New Roman"/>
                      <w:color w:val="auto"/>
                      <w:szCs w:val="21"/>
                      <w:lang w:eastAsia="en-US"/>
                    </w:rPr>
                    <w:t>1</w:t>
                  </w:r>
                </w:p>
              </w:tc>
              <w:tc>
                <w:tcPr>
                  <w:tcW w:w="1600" w:type="dxa"/>
                  <w:gridSpan w:val="2"/>
                  <w:tcBorders>
                    <w:top w:val="single" w:color="000000" w:sz="4" w:space="0"/>
                    <w:left w:val="single" w:color="000000" w:sz="4" w:space="0"/>
                    <w:right w:val="single" w:color="000000" w:sz="12" w:space="0"/>
                  </w:tcBorders>
                  <w:vAlign w:val="center"/>
                </w:tcPr>
                <w:p>
                  <w:pPr>
                    <w:autoSpaceDE/>
                    <w:autoSpaceDN/>
                    <w:jc w:val="center"/>
                    <w:rPr>
                      <w:rFonts w:hint="default" w:ascii="Times New Roman" w:hAnsi="Times New Roman" w:eastAsia="宋体" w:cs="Times New Roman"/>
                      <w:color w:val="auto"/>
                      <w:szCs w:val="21"/>
                      <w:lang w:eastAsia="en-US"/>
                    </w:rPr>
                  </w:pPr>
                </w:p>
              </w:tc>
            </w:tr>
          </w:tbl>
          <w:p>
            <w:pPr>
              <w:keepNext w:val="0"/>
              <w:keepLines w:val="0"/>
              <w:widowControl/>
              <w:suppressLineNumbers w:val="0"/>
              <w:spacing w:before="0" w:beforeAutospacing="0" w:after="0" w:afterAutospacing="0" w:line="360" w:lineRule="auto"/>
              <w:ind w:left="0" w:right="0" w:firstLine="480" w:firstLineChars="200"/>
              <w:rPr>
                <w:rFonts w:hint="default" w:ascii="Times New Roman" w:hAnsi="Times New Roman" w:cs="Times New Roman"/>
                <w:color w:val="auto"/>
                <w:kern w:val="0"/>
                <w:sz w:val="24"/>
                <w:lang w:bidi="ar"/>
              </w:rPr>
            </w:pPr>
            <w:r>
              <w:rPr>
                <w:rFonts w:hint="default" w:ascii="Times New Roman" w:hAnsi="Times New Roman" w:cs="Times New Roman"/>
                <w:color w:val="auto"/>
                <w:kern w:val="0"/>
                <w:sz w:val="24"/>
                <w:lang w:bidi="ar"/>
              </w:rPr>
              <w:t>（2）试气工程设备</w:t>
            </w:r>
          </w:p>
          <w:p>
            <w:pPr>
              <w:keepNext w:val="0"/>
              <w:keepLines w:val="0"/>
              <w:widowControl/>
              <w:suppressLineNumbers w:val="0"/>
              <w:spacing w:before="0" w:beforeAutospacing="0" w:after="0" w:afterAutospacing="0" w:line="360" w:lineRule="auto"/>
              <w:ind w:left="0" w:right="0" w:firstLine="480" w:firstLineChars="200"/>
              <w:rPr>
                <w:rFonts w:hint="default" w:ascii="Times New Roman" w:hAnsi="Times New Roman" w:cs="Times New Roman"/>
                <w:color w:val="auto"/>
                <w:kern w:val="0"/>
                <w:sz w:val="24"/>
                <w:lang w:bidi="ar"/>
              </w:rPr>
            </w:pPr>
            <w:r>
              <w:rPr>
                <w:rFonts w:hint="default" w:ascii="Times New Roman" w:hAnsi="Times New Roman" w:cs="Times New Roman"/>
                <w:color w:val="auto"/>
                <w:kern w:val="0"/>
                <w:sz w:val="24"/>
                <w:lang w:bidi="ar"/>
              </w:rPr>
              <w:t>本项目采用压裂酸化改造，压裂液使用酸液，采用清洁酸，主要成分为水、盐酸，设计用酸总量300m</w:t>
            </w:r>
            <w:r>
              <w:rPr>
                <w:rFonts w:hint="default" w:ascii="Times New Roman" w:hAnsi="Times New Roman" w:cs="Times New Roman"/>
                <w:color w:val="auto"/>
                <w:kern w:val="0"/>
                <w:sz w:val="24"/>
                <w:vertAlign w:val="superscript"/>
                <w:lang w:bidi="ar"/>
              </w:rPr>
              <w:t>3</w:t>
            </w:r>
            <w:r>
              <w:rPr>
                <w:rFonts w:hint="default" w:ascii="Times New Roman" w:hAnsi="Times New Roman" w:cs="Times New Roman"/>
                <w:color w:val="auto"/>
                <w:kern w:val="0"/>
                <w:sz w:val="24"/>
                <w:lang w:bidi="ar"/>
              </w:rPr>
              <w:t>。压裂酸化设备见表2-4。</w:t>
            </w:r>
          </w:p>
          <w:p>
            <w:pPr>
              <w:pStyle w:val="19"/>
              <w:keepNext w:val="0"/>
              <w:keepLines w:val="0"/>
              <w:numPr>
                <w:ilvl w:val="0"/>
                <w:numId w:val="6"/>
              </w:numPr>
              <w:suppressLineNumbers w:val="0"/>
              <w:tabs>
                <w:tab w:val="left" w:pos="0"/>
                <w:tab w:val="left" w:pos="833"/>
              </w:tabs>
              <w:spacing w:before="0" w:beforeAutospacing="0" w:after="0" w:afterAutospacing="0" w:line="360" w:lineRule="auto"/>
              <w:ind w:left="0" w:right="0" w:firstLine="0"/>
              <w:jc w:val="center"/>
              <w:rPr>
                <w:rFonts w:hint="default" w:ascii="Times New Roman" w:hAnsi="Times New Roman" w:cs="Times New Roman"/>
                <w:b/>
                <w:bCs/>
                <w:color w:val="auto"/>
                <w:sz w:val="24"/>
                <w:szCs w:val="24"/>
              </w:rPr>
            </w:pPr>
            <w:r>
              <w:rPr>
                <w:rFonts w:hint="default" w:ascii="Times New Roman" w:hAnsi="Times New Roman" w:cs="Times New Roman"/>
                <w:b/>
                <w:bCs/>
                <w:color w:val="auto"/>
                <w:sz w:val="24"/>
                <w:szCs w:val="24"/>
              </w:rPr>
              <w:t xml:space="preserve"> 压裂酸化设备一览表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 w:type="dxa"/>
                <w:bottom w:w="0" w:type="dxa"/>
                <w:right w:w="10" w:type="dxa"/>
              </w:tblCellMar>
            </w:tblPr>
            <w:tblGrid>
              <w:gridCol w:w="547"/>
              <w:gridCol w:w="1382"/>
              <w:gridCol w:w="548"/>
              <w:gridCol w:w="548"/>
              <w:gridCol w:w="443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序号</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设备名称</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单位</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数量</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压裂泵车</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台</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12</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满足改造需要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2</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仪表车</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台</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3</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管汇车</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台</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4</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撬装酸泵</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台</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2</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满足酸液配制及大排量循环需要</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5</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灌注泵</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台</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6</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700</w:t>
                  </w:r>
                  <w:r>
                    <w:rPr>
                      <w:rFonts w:hint="default" w:ascii="Times New Roman" w:hAnsi="Times New Roman" w:cs="Times New Roman"/>
                      <w:color w:val="auto"/>
                      <w:lang w:val="zh-CN"/>
                    </w:rPr>
                    <w:t>型平衡泵车</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台</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打平衡用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7</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酸罐</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具</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6</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满足施工要求</w:t>
                  </w:r>
                  <w:r>
                    <w:rPr>
                      <w:rFonts w:hint="eastAsia" w:cs="Times New Roman"/>
                      <w:color w:val="auto"/>
                      <w:lang w:val="zh-CN"/>
                    </w:rPr>
                    <w:t>，</w:t>
                  </w:r>
                  <w:r>
                    <w:rPr>
                      <w:rFonts w:hint="default" w:ascii="Times New Roman" w:hAnsi="Times New Roman" w:cs="Times New Roman"/>
                      <w:color w:val="auto"/>
                    </w:rPr>
                    <w:t>5用1备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8</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液罐</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具</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满足施工要求，</w:t>
                  </w:r>
                  <w:r>
                    <w:rPr>
                      <w:rFonts w:hint="default" w:ascii="Times New Roman" w:hAnsi="Times New Roman" w:cs="Times New Roman"/>
                      <w:color w:val="auto"/>
                    </w:rPr>
                    <w:t>活性水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9</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随车吊</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台</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10</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30t</w:t>
                  </w:r>
                  <w:r>
                    <w:rPr>
                      <w:rFonts w:hint="default" w:ascii="Times New Roman" w:hAnsi="Times New Roman" w:cs="Times New Roman"/>
                      <w:color w:val="auto"/>
                      <w:lang w:val="zh-CN"/>
                    </w:rPr>
                    <w:t>吊车</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台</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 w:type="dxa"/>
                  <w:bottom w:w="0" w:type="dxa"/>
                  <w:right w:w="10" w:type="dxa"/>
                </w:tblCellMar>
              </w:tblPrEx>
              <w:trPr>
                <w:cantSplit/>
                <w:trHeight w:val="369" w:hRule="atLeast"/>
                <w:jc w:val="center"/>
              </w:trPr>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11</w:t>
                  </w:r>
                </w:p>
              </w:tc>
              <w:tc>
                <w:tcPr>
                  <w:tcW w:w="926"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液氮泵车</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lang w:val="zh-CN"/>
                    </w:rPr>
                  </w:pPr>
                  <w:r>
                    <w:rPr>
                      <w:rFonts w:hint="default" w:ascii="Times New Roman" w:hAnsi="Times New Roman" w:cs="Times New Roman"/>
                      <w:color w:val="auto"/>
                      <w:lang w:val="zh-CN"/>
                    </w:rPr>
                    <w:t>台</w:t>
                  </w:r>
                </w:p>
              </w:tc>
              <w:tc>
                <w:tcPr>
                  <w:tcW w:w="367"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t>1</w:t>
                  </w:r>
                </w:p>
              </w:tc>
              <w:tc>
                <w:tcPr>
                  <w:tcW w:w="297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lang w:val="zh-CN"/>
                    </w:rPr>
                    <w:t>满足施工要求</w:t>
                  </w:r>
                </w:p>
              </w:tc>
            </w:tr>
          </w:tbl>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2.6主要原辅材料及能源消耗情况</w:t>
            </w:r>
          </w:p>
          <w:p>
            <w:pPr>
              <w:keepNext w:val="0"/>
              <w:keepLines w:val="0"/>
              <w:widowControl/>
              <w:suppressLineNumbers w:val="0"/>
              <w:spacing w:before="0" w:beforeAutospacing="0" w:after="0" w:afterAutospacing="0" w:line="360" w:lineRule="auto"/>
              <w:ind w:left="0" w:right="0" w:firstLine="482" w:firstLineChars="200"/>
              <w:rPr>
                <w:rFonts w:hint="default" w:ascii="Times New Roman" w:hAnsi="Times New Roman" w:cs="Times New Roman"/>
                <w:b/>
                <w:bCs/>
                <w:color w:val="auto"/>
                <w:kern w:val="0"/>
                <w:sz w:val="24"/>
                <w:lang w:bidi="ar"/>
              </w:rPr>
            </w:pPr>
            <w:r>
              <w:rPr>
                <w:rFonts w:hint="default" w:ascii="Times New Roman" w:hAnsi="Times New Roman" w:cs="Times New Roman"/>
                <w:b/>
                <w:bCs/>
                <w:color w:val="auto"/>
                <w:kern w:val="0"/>
                <w:sz w:val="24"/>
                <w:lang w:bidi="ar"/>
              </w:rPr>
              <w:t>（1）主要原辅材料、能源消耗及来源统计</w:t>
            </w:r>
          </w:p>
          <w:p>
            <w:pPr>
              <w:keepNext w:val="0"/>
              <w:keepLines w:val="0"/>
              <w:widowControl/>
              <w:suppressLineNumbers w:val="0"/>
              <w:spacing w:before="0" w:beforeAutospacing="0" w:after="0" w:afterAutospacing="0" w:line="360" w:lineRule="auto"/>
              <w:ind w:left="0" w:right="0" w:firstLine="480" w:firstLineChars="200"/>
              <w:rPr>
                <w:rFonts w:hint="default" w:ascii="Times New Roman" w:hAnsi="Times New Roman" w:cs="Times New Roman"/>
                <w:color w:val="auto"/>
                <w:kern w:val="0"/>
                <w:sz w:val="24"/>
                <w:szCs w:val="24"/>
                <w:lang w:bidi="ar"/>
              </w:rPr>
            </w:pPr>
            <w:r>
              <w:rPr>
                <w:rFonts w:hint="eastAsia" w:cs="Times New Roman"/>
                <w:color w:val="auto"/>
                <w:kern w:val="0"/>
                <w:sz w:val="24"/>
                <w:szCs w:val="24"/>
                <w:lang w:eastAsia="zh-CN" w:bidi="ar"/>
              </w:rPr>
              <w:t>普陆12HF井钻井工程</w:t>
            </w:r>
            <w:r>
              <w:rPr>
                <w:rFonts w:hint="default" w:ascii="Times New Roman" w:hAnsi="Times New Roman" w:cs="Times New Roman"/>
                <w:color w:val="auto"/>
                <w:kern w:val="0"/>
                <w:sz w:val="24"/>
                <w:szCs w:val="24"/>
                <w:lang w:bidi="ar"/>
              </w:rPr>
              <w:t>钻井液材料用量设计见表2-5，</w:t>
            </w:r>
            <w:r>
              <w:rPr>
                <w:rFonts w:hint="eastAsia" w:cs="Times New Roman"/>
                <w:color w:val="auto"/>
                <w:kern w:val="0"/>
                <w:sz w:val="24"/>
                <w:szCs w:val="24"/>
                <w:lang w:val="en-US" w:eastAsia="zh-CN" w:bidi="ar"/>
              </w:rPr>
              <w:t>一开</w:t>
            </w:r>
            <w:r>
              <w:rPr>
                <w:rFonts w:hint="default" w:ascii="Times New Roman" w:hAnsi="Times New Roman" w:cs="Times New Roman"/>
                <w:color w:val="auto"/>
                <w:kern w:val="0"/>
                <w:sz w:val="24"/>
                <w:szCs w:val="24"/>
                <w:lang w:val="en-US" w:eastAsia="zh-CN" w:bidi="ar"/>
              </w:rPr>
              <w:t>段采用</w:t>
            </w:r>
            <w:r>
              <w:rPr>
                <w:rFonts w:hint="default" w:ascii="Times New Roman" w:hAnsi="Times New Roman" w:cs="Times New Roman"/>
                <w:color w:val="auto"/>
                <w:kern w:val="0"/>
                <w:sz w:val="24"/>
                <w:szCs w:val="24"/>
                <w:lang w:bidi="ar"/>
              </w:rPr>
              <w:t>清水</w:t>
            </w:r>
            <w:r>
              <w:rPr>
                <w:rFonts w:hint="default" w:ascii="Times New Roman" w:hAnsi="Times New Roman" w:cs="Times New Roman"/>
                <w:color w:val="auto"/>
                <w:kern w:val="0"/>
                <w:sz w:val="24"/>
                <w:szCs w:val="24"/>
                <w:lang w:val="en-US" w:eastAsia="zh-CN" w:bidi="ar"/>
              </w:rPr>
              <w:t>井，二开段优先采用</w:t>
            </w:r>
            <w:r>
              <w:rPr>
                <w:rFonts w:hint="default" w:ascii="Times New Roman" w:hAnsi="Times New Roman" w:cs="Times New Roman"/>
                <w:color w:val="auto"/>
                <w:kern w:val="0"/>
                <w:sz w:val="24"/>
                <w:szCs w:val="24"/>
                <w:lang w:bidi="ar"/>
              </w:rPr>
              <w:t>气体钻</w:t>
            </w:r>
            <w:r>
              <w:rPr>
                <w:rFonts w:hint="default" w:ascii="Times New Roman" w:hAnsi="Times New Roman" w:cs="Times New Roman"/>
                <w:color w:val="auto"/>
                <w:kern w:val="0"/>
                <w:sz w:val="24"/>
                <w:szCs w:val="24"/>
                <w:lang w:val="en-US" w:eastAsia="zh-CN" w:bidi="ar"/>
              </w:rPr>
              <w:t>井，当不满足钻井要求时更换为</w:t>
            </w:r>
            <w:r>
              <w:rPr>
                <w:rFonts w:hint="default" w:ascii="Times New Roman" w:hAnsi="Times New Roman" w:cs="Times New Roman"/>
                <w:color w:val="auto"/>
                <w:kern w:val="0"/>
                <w:sz w:val="24"/>
                <w:szCs w:val="24"/>
                <w:lang w:bidi="ar"/>
              </w:rPr>
              <w:t>水基钻井</w:t>
            </w:r>
            <w:r>
              <w:rPr>
                <w:rFonts w:hint="default" w:ascii="Times New Roman" w:hAnsi="Times New Roman" w:cs="Times New Roman"/>
                <w:color w:val="auto"/>
                <w:kern w:val="0"/>
                <w:sz w:val="24"/>
                <w:szCs w:val="24"/>
                <w:lang w:val="en-US" w:eastAsia="zh-CN" w:bidi="ar"/>
              </w:rPr>
              <w:t>液</w:t>
            </w:r>
            <w:r>
              <w:rPr>
                <w:rFonts w:hint="default" w:ascii="Times New Roman" w:hAnsi="Times New Roman" w:cs="Times New Roman"/>
                <w:color w:val="auto"/>
                <w:kern w:val="0"/>
                <w:sz w:val="24"/>
                <w:szCs w:val="24"/>
                <w:lang w:bidi="ar"/>
              </w:rPr>
              <w:t>钻井，</w:t>
            </w:r>
            <w:r>
              <w:rPr>
                <w:rFonts w:hint="default" w:ascii="Times New Roman" w:hAnsi="Times New Roman" w:cs="Times New Roman"/>
                <w:color w:val="auto"/>
                <w:kern w:val="0"/>
                <w:sz w:val="24"/>
                <w:szCs w:val="24"/>
                <w:lang w:val="en-US" w:eastAsia="zh-CN" w:bidi="ar"/>
              </w:rPr>
              <w:t>三开段采用水基钻井液钻井</w:t>
            </w:r>
            <w:r>
              <w:rPr>
                <w:rFonts w:hint="eastAsia" w:cs="Times New Roman"/>
                <w:color w:val="auto"/>
                <w:kern w:val="0"/>
                <w:sz w:val="24"/>
                <w:szCs w:val="24"/>
                <w:lang w:val="en-US" w:eastAsia="zh-CN" w:bidi="ar"/>
              </w:rPr>
              <w:t>，若三开常规水基钻井液不能满足安全钻井要求，则更换为白油基钻井液体系</w:t>
            </w:r>
            <w:r>
              <w:rPr>
                <w:rFonts w:hint="default" w:ascii="Times New Roman" w:hAnsi="Times New Roman" w:cs="Times New Roman"/>
                <w:color w:val="auto"/>
                <w:kern w:val="0"/>
                <w:sz w:val="24"/>
                <w:szCs w:val="24"/>
                <w:lang w:bidi="ar"/>
              </w:rPr>
              <w:t>。钻井过程消耗的原辅料及能源主要有水、水泥、防塌润滑剂、降失水剂等。</w:t>
            </w:r>
          </w:p>
          <w:p>
            <w:pPr>
              <w:keepNext w:val="0"/>
              <w:keepLines w:val="0"/>
              <w:widowControl/>
              <w:suppressLineNumbers w:val="0"/>
              <w:spacing w:before="0" w:beforeAutospacing="0" w:after="0" w:afterAutospacing="0" w:line="360" w:lineRule="auto"/>
              <w:ind w:left="0" w:right="0" w:firstLine="480" w:firstLineChars="200"/>
              <w:rPr>
                <w:rFonts w:hint="default" w:ascii="Times New Roman" w:hAnsi="Times New Roman" w:cs="Times New Roman"/>
                <w:color w:val="auto"/>
                <w:kern w:val="0"/>
                <w:sz w:val="24"/>
                <w:szCs w:val="24"/>
                <w:lang w:bidi="ar"/>
              </w:rPr>
            </w:pPr>
            <w:r>
              <w:rPr>
                <w:rFonts w:hint="default" w:ascii="Times New Roman" w:hAnsi="Times New Roman" w:cs="Times New Roman"/>
                <w:color w:val="auto"/>
                <w:kern w:val="0"/>
                <w:sz w:val="24"/>
                <w:szCs w:val="24"/>
                <w:lang w:bidi="ar"/>
              </w:rPr>
              <w:t>本工程采用材料用量见下表。</w:t>
            </w:r>
          </w:p>
          <w:p>
            <w:pPr>
              <w:pStyle w:val="19"/>
              <w:keepNext w:val="0"/>
              <w:keepLines w:val="0"/>
              <w:numPr>
                <w:ilvl w:val="0"/>
                <w:numId w:val="6"/>
              </w:numPr>
              <w:suppressLineNumbers w:val="0"/>
              <w:tabs>
                <w:tab w:val="left" w:pos="0"/>
                <w:tab w:val="left" w:pos="833"/>
              </w:tabs>
              <w:spacing w:before="0" w:beforeAutospacing="0" w:after="0" w:afterAutospacing="0" w:line="360" w:lineRule="auto"/>
              <w:ind w:left="0" w:right="0" w:firstLine="0"/>
              <w:jc w:val="center"/>
              <w:rPr>
                <w:rFonts w:hint="default" w:ascii="Times New Roman" w:hAnsi="Times New Roman" w:cs="Times New Roman"/>
                <w:b/>
                <w:bCs/>
                <w:color w:val="auto"/>
                <w:sz w:val="24"/>
                <w:szCs w:val="24"/>
              </w:rPr>
            </w:pPr>
            <w:r>
              <w:rPr>
                <w:rFonts w:hint="eastAsia" w:cs="Times New Roman"/>
                <w:b/>
                <w:bCs/>
                <w:color w:val="auto"/>
                <w:sz w:val="24"/>
                <w:szCs w:val="24"/>
                <w:lang w:eastAsia="zh-CN"/>
              </w:rPr>
              <w:t>普陆12HF井钻井工程</w:t>
            </w:r>
            <w:r>
              <w:rPr>
                <w:rFonts w:hint="default" w:ascii="Times New Roman" w:hAnsi="Times New Roman" w:cs="Times New Roman"/>
                <w:b/>
                <w:bCs/>
                <w:color w:val="auto"/>
                <w:sz w:val="24"/>
                <w:szCs w:val="24"/>
              </w:rPr>
              <w:t>钻井液主要材料用量情况</w:t>
            </w:r>
          </w:p>
          <w:tbl>
            <w:tblPr>
              <w:tblStyle w:val="409"/>
              <w:tblW w:w="4993" w:type="pct"/>
              <w:tblInd w:w="0" w:type="dxa"/>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Layout w:type="fixed"/>
              <w:tblCellMar>
                <w:top w:w="0" w:type="dxa"/>
                <w:left w:w="108" w:type="dxa"/>
                <w:bottom w:w="0" w:type="dxa"/>
                <w:right w:w="108" w:type="dxa"/>
              </w:tblCellMar>
            </w:tblPr>
            <w:tblGrid>
              <w:gridCol w:w="627"/>
              <w:gridCol w:w="2243"/>
              <w:gridCol w:w="947"/>
              <w:gridCol w:w="850"/>
              <w:gridCol w:w="899"/>
              <w:gridCol w:w="895"/>
              <w:gridCol w:w="1020"/>
            </w:tblGrid>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34"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序号</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材料名称</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一开</w:t>
                  </w:r>
                </w:p>
              </w:tc>
              <w:tc>
                <w:tcPr>
                  <w:tcW w:w="56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二开</w:t>
                  </w:r>
                </w:p>
              </w:tc>
              <w:tc>
                <w:tcPr>
                  <w:tcW w:w="600"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三开导眼井</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三开侧钻水平井</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合计</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1</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膨润土粉</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6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00"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2</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纯碱</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6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00"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3</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氢氧化钠</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6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00"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lang w:val="en-US" w:eastAsia="zh-CN"/>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4</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氯化钾</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6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00"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lang w:val="en-US" w:eastAsia="zh-CN"/>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5</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生石灰</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6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00"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6</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聚丙烯酰胺钾盐</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6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00"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lang w:val="en-US" w:eastAsia="zh-CN"/>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7</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高分子包被剂</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6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00"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lang w:val="en-US" w:eastAsia="zh-CN"/>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8</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聚胺抑制剂</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6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00"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lang w:val="en-US" w:eastAsia="zh-CN"/>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9</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聚合物类降失水剂</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6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00"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lang w:val="en-US" w:eastAsia="zh-CN"/>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10</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羧甲基纤维素钠盐（高/低黏）</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6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00"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lang w:val="en-US" w:eastAsia="zh-CN"/>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11</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水解聚丙烯腈-铵盐</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6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00"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lang w:val="en-US" w:eastAsia="zh-CN"/>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12</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褐煤树脂</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6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00"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lang w:val="en-US" w:eastAsia="zh-CN"/>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13</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超细碳酸钙（不同目数）</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6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00"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lang w:val="en-US" w:eastAsia="zh-CN"/>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14</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多软化点封堵防塌剂</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6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00"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lang w:val="en-US" w:eastAsia="zh-CN"/>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15</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油溶性暂堵剂</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6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00"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lang w:val="en-US" w:eastAsia="zh-CN"/>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16</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聚合醇</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6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00"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lang w:val="en-US" w:eastAsia="zh-CN"/>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17</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液体润滑剂</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6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00"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lang w:val="en-US" w:eastAsia="zh-CN"/>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18</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石墨粉</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6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00"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lang w:val="en-US" w:eastAsia="zh-CN"/>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19</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硅氟类降黏剂</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6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00"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lang w:val="en-US" w:eastAsia="zh-CN"/>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20</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刚性堵漏剂</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1168" w:type="pct"/>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21</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果壳类堵漏剂</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1168" w:type="pct"/>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22</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复合堵漏剂</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1168" w:type="pct"/>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23</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纤维类堵漏剂</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1168" w:type="pct"/>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24</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重晶石粉</w:t>
                  </w:r>
                </w:p>
              </w:tc>
              <w:tc>
                <w:tcPr>
                  <w:tcW w:w="2400" w:type="pct"/>
                  <w:gridSpan w:val="4"/>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lang w:val="en-US" w:eastAsia="zh-CN"/>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21"/>
                      <w:szCs w:val="24"/>
                      <w:lang w:val="en-US" w:eastAsia="zh-CN" w:bidi="ar-SA"/>
                    </w:rPr>
                  </w:pPr>
                  <w:r>
                    <w:rPr>
                      <w:rFonts w:hint="default" w:ascii="Times New Roman" w:hAnsi="Times New Roman" w:eastAsia="宋体" w:cs="Times New Roman"/>
                      <w:color w:val="auto"/>
                    </w:rPr>
                    <w:t>25</w:t>
                  </w:r>
                </w:p>
              </w:tc>
              <w:tc>
                <w:tcPr>
                  <w:tcW w:w="1499" w:type="pct"/>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lang w:val="en-US" w:eastAsia="zh-CN"/>
                    </w:rPr>
                  </w:pPr>
                  <w:r>
                    <w:rPr>
                      <w:rFonts w:hint="eastAsia" w:cs="Times New Roman"/>
                      <w:color w:val="auto"/>
                      <w:lang w:val="en-US" w:eastAsia="zh-CN"/>
                    </w:rPr>
                    <w:t>柴油</w:t>
                  </w:r>
                </w:p>
              </w:tc>
              <w:tc>
                <w:tcPr>
                  <w:tcW w:w="3081" w:type="pct"/>
                  <w:gridSpan w:val="5"/>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lang w:val="en-US" w:eastAsia="zh-CN"/>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21"/>
                      <w:szCs w:val="24"/>
                      <w:lang w:val="en-US" w:eastAsia="zh-CN" w:bidi="ar-SA"/>
                    </w:rPr>
                  </w:pPr>
                  <w:r>
                    <w:rPr>
                      <w:rFonts w:hint="default" w:ascii="Times New Roman" w:hAnsi="Times New Roman" w:eastAsia="宋体" w:cs="Times New Roman"/>
                      <w:color w:val="auto"/>
                    </w:rPr>
                    <w:t>26</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油基钻井液</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6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00"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91" w:hRule="atLeast"/>
              </w:trPr>
              <w:tc>
                <w:tcPr>
                  <w:tcW w:w="41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lang w:val="en-US" w:eastAsia="zh-CN"/>
                    </w:rPr>
                  </w:pPr>
                  <w:r>
                    <w:rPr>
                      <w:rFonts w:hint="eastAsia" w:cs="Times New Roman"/>
                      <w:color w:val="auto"/>
                      <w:lang w:val="en-US" w:eastAsia="zh-CN"/>
                    </w:rPr>
                    <w:t>27</w:t>
                  </w:r>
                </w:p>
              </w:tc>
              <w:tc>
                <w:tcPr>
                  <w:tcW w:w="1499"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default" w:ascii="Times New Roman" w:hAnsi="Times New Roman" w:eastAsia="宋体" w:cs="Times New Roman"/>
                      <w:color w:val="auto"/>
                    </w:rPr>
                    <w:t>油基钻屑</w:t>
                  </w:r>
                </w:p>
              </w:tc>
              <w:tc>
                <w:tcPr>
                  <w:tcW w:w="632"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6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00"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598"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c>
                <w:tcPr>
                  <w:tcW w:w="681" w:type="pct"/>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rPr>
                  </w:pPr>
                  <w:r>
                    <w:rPr>
                      <w:rFonts w:hint="eastAsia" w:cs="Times New Roman"/>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88" w:hRule="atLeast"/>
              </w:trPr>
              <w:tc>
                <w:tcPr>
                  <w:tcW w:w="5000" w:type="pct"/>
                  <w:gridSpan w:val="7"/>
                  <w:vAlign w:val="center"/>
                </w:tcPr>
                <w:p>
                  <w:pPr>
                    <w:keepNext w:val="0"/>
                    <w:keepLines w:val="0"/>
                    <w:suppressLineNumbers w:val="0"/>
                    <w:spacing w:before="0" w:beforeAutospacing="0" w:after="0" w:afterAutospacing="0"/>
                    <w:ind w:left="0" w:right="0"/>
                    <w:rPr>
                      <w:rFonts w:hint="default" w:ascii="Times New Roman" w:hAnsi="Times New Roman" w:eastAsia="宋体" w:cs="Times New Roman"/>
                      <w:color w:val="auto"/>
                    </w:rPr>
                  </w:pPr>
                  <w:r>
                    <w:rPr>
                      <w:rFonts w:hint="default" w:ascii="Times New Roman" w:hAnsi="Times New Roman" w:eastAsia="宋体" w:cs="Times New Roman"/>
                      <w:color w:val="auto"/>
                    </w:rPr>
                    <w:t>注：以上材料可用同类合格产品代替</w:t>
                  </w:r>
                </w:p>
              </w:tc>
            </w:tr>
          </w:tbl>
          <w:p>
            <w:pPr>
              <w:pStyle w:val="19"/>
              <w:keepNext w:val="0"/>
              <w:keepLines w:val="0"/>
              <w:numPr>
                <w:ilvl w:val="0"/>
                <w:numId w:val="6"/>
              </w:numPr>
              <w:suppressLineNumbers w:val="0"/>
              <w:tabs>
                <w:tab w:val="left" w:pos="0"/>
                <w:tab w:val="left" w:pos="833"/>
              </w:tabs>
              <w:spacing w:before="0" w:beforeAutospacing="0" w:after="0" w:afterAutospacing="0" w:line="360" w:lineRule="auto"/>
              <w:ind w:left="0" w:right="0" w:firstLine="0"/>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本项目预计的钻井液量（单位：m</w:t>
            </w:r>
            <w:r>
              <w:rPr>
                <w:rFonts w:hint="default" w:ascii="Times New Roman" w:hAnsi="Times New Roman" w:cs="Times New Roman"/>
                <w:b/>
                <w:bCs/>
                <w:color w:val="auto"/>
                <w:sz w:val="21"/>
                <w:szCs w:val="21"/>
                <w:vertAlign w:val="superscript"/>
              </w:rPr>
              <w:t>3</w:t>
            </w:r>
            <w:r>
              <w:rPr>
                <w:rFonts w:hint="default" w:ascii="Times New Roman" w:hAnsi="Times New Roman" w:cs="Times New Roman"/>
                <w:b/>
                <w:bCs/>
                <w:color w:val="auto"/>
                <w:sz w:val="21"/>
                <w:szCs w:val="21"/>
              </w:rPr>
              <w:t>）</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31"/>
              <w:gridCol w:w="932"/>
              <w:gridCol w:w="932"/>
              <w:gridCol w:w="932"/>
              <w:gridCol w:w="931"/>
              <w:gridCol w:w="931"/>
              <w:gridCol w:w="779"/>
              <w:gridCol w:w="109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2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井段m</w:t>
                  </w:r>
                </w:p>
              </w:tc>
              <w:tc>
                <w:tcPr>
                  <w:tcW w:w="624"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地面系统</w:t>
                  </w:r>
                </w:p>
              </w:tc>
              <w:tc>
                <w:tcPr>
                  <w:tcW w:w="624"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套管体积</w:t>
                  </w:r>
                </w:p>
              </w:tc>
              <w:tc>
                <w:tcPr>
                  <w:tcW w:w="624"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裸眼体积</w:t>
                  </w:r>
                </w:p>
              </w:tc>
              <w:tc>
                <w:tcPr>
                  <w:tcW w:w="62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损耗量</w:t>
                  </w:r>
                </w:p>
              </w:tc>
              <w:tc>
                <w:tcPr>
                  <w:tcW w:w="623"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井眼容积</w:t>
                  </w:r>
                </w:p>
              </w:tc>
              <w:tc>
                <w:tcPr>
                  <w:tcW w:w="522"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总需要量</w:t>
                  </w:r>
                </w:p>
              </w:tc>
              <w:tc>
                <w:tcPr>
                  <w:tcW w:w="732"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931"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rPr>
                    <w:t>一开</w:t>
                  </w:r>
                </w:p>
              </w:tc>
              <w:tc>
                <w:tcPr>
                  <w:tcW w:w="932"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eastAsia" w:cs="Times New Roman"/>
                      <w:bCs/>
                      <w:color w:val="auto"/>
                      <w:sz w:val="21"/>
                      <w:szCs w:val="21"/>
                      <w:lang w:val="en-US" w:eastAsia="zh-CN"/>
                    </w:rPr>
                    <w:t>*</w:t>
                  </w:r>
                </w:p>
              </w:tc>
              <w:tc>
                <w:tcPr>
                  <w:tcW w:w="932"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eastAsia" w:cs="Times New Roman"/>
                      <w:bCs/>
                      <w:color w:val="auto"/>
                      <w:sz w:val="21"/>
                      <w:szCs w:val="21"/>
                      <w:lang w:val="en-US" w:eastAsia="zh-CN"/>
                    </w:rPr>
                    <w:t>*</w:t>
                  </w:r>
                </w:p>
              </w:tc>
              <w:tc>
                <w:tcPr>
                  <w:tcW w:w="932"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eastAsia" w:cs="Times New Roman"/>
                      <w:bCs/>
                      <w:color w:val="auto"/>
                      <w:sz w:val="21"/>
                      <w:szCs w:val="21"/>
                      <w:lang w:val="en-US" w:eastAsia="zh-CN"/>
                    </w:rPr>
                    <w:t>*</w:t>
                  </w:r>
                </w:p>
              </w:tc>
              <w:tc>
                <w:tcPr>
                  <w:tcW w:w="931"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eastAsia" w:cs="Times New Roman"/>
                      <w:bCs/>
                      <w:color w:val="auto"/>
                      <w:sz w:val="21"/>
                      <w:szCs w:val="21"/>
                      <w:lang w:val="en-US" w:eastAsia="zh-CN"/>
                    </w:rPr>
                    <w:t>*</w:t>
                  </w:r>
                </w:p>
              </w:tc>
              <w:tc>
                <w:tcPr>
                  <w:tcW w:w="931"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eastAsia" w:cs="Times New Roman"/>
                      <w:bCs/>
                      <w:color w:val="auto"/>
                      <w:sz w:val="21"/>
                      <w:szCs w:val="21"/>
                      <w:lang w:val="en-US" w:eastAsia="zh-CN"/>
                    </w:rPr>
                    <w:t>*</w:t>
                  </w:r>
                </w:p>
              </w:tc>
              <w:tc>
                <w:tcPr>
                  <w:tcW w:w="779"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eastAsia" w:cs="Times New Roman"/>
                      <w:bCs/>
                      <w:color w:val="auto"/>
                      <w:sz w:val="21"/>
                      <w:szCs w:val="21"/>
                      <w:lang w:val="en-US" w:eastAsia="zh-CN"/>
                    </w:rPr>
                    <w:t>*</w:t>
                  </w:r>
                </w:p>
              </w:tc>
              <w:tc>
                <w:tcPr>
                  <w:tcW w:w="732" w:type="pct"/>
                  <w:tcBorders>
                    <w:tl2br w:val="nil"/>
                    <w:tr2bl w:val="nil"/>
                  </w:tcBorders>
                  <w:vAlign w:val="center"/>
                </w:tcPr>
                <w:p>
                  <w:pPr>
                    <w:pStyle w:val="29"/>
                    <w:keepNext w:val="0"/>
                    <w:keepLines w:val="0"/>
                    <w:suppressLineNumbers w:val="0"/>
                    <w:snapToGrid/>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清水钻井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931"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rPr>
                    <w:t>二开</w:t>
                  </w:r>
                </w:p>
              </w:tc>
              <w:tc>
                <w:tcPr>
                  <w:tcW w:w="932"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Cs w:val="21"/>
                    </w:rPr>
                  </w:pPr>
                  <w:r>
                    <w:rPr>
                      <w:rFonts w:hint="eastAsia" w:cs="Times New Roman"/>
                      <w:bCs/>
                      <w:color w:val="auto"/>
                      <w:sz w:val="21"/>
                      <w:szCs w:val="21"/>
                      <w:lang w:val="en-US" w:eastAsia="zh-CN"/>
                    </w:rPr>
                    <w:t>*</w:t>
                  </w:r>
                </w:p>
              </w:tc>
              <w:tc>
                <w:tcPr>
                  <w:tcW w:w="932"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eastAsia" w:cs="Times New Roman"/>
                      <w:bCs/>
                      <w:color w:val="auto"/>
                      <w:sz w:val="21"/>
                      <w:szCs w:val="21"/>
                      <w:lang w:val="en-US" w:eastAsia="zh-CN"/>
                    </w:rPr>
                    <w:t>*</w:t>
                  </w:r>
                </w:p>
              </w:tc>
              <w:tc>
                <w:tcPr>
                  <w:tcW w:w="932"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eastAsia" w:cs="Times New Roman"/>
                      <w:bCs/>
                      <w:color w:val="auto"/>
                      <w:sz w:val="21"/>
                      <w:szCs w:val="21"/>
                      <w:lang w:val="en-US" w:eastAsia="zh-CN"/>
                    </w:rPr>
                    <w:t>*</w:t>
                  </w:r>
                </w:p>
              </w:tc>
              <w:tc>
                <w:tcPr>
                  <w:tcW w:w="931"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eastAsia" w:cs="Times New Roman"/>
                      <w:bCs/>
                      <w:color w:val="auto"/>
                      <w:sz w:val="21"/>
                      <w:szCs w:val="21"/>
                      <w:lang w:val="en-US" w:eastAsia="zh-CN"/>
                    </w:rPr>
                    <w:t>*</w:t>
                  </w:r>
                </w:p>
              </w:tc>
              <w:tc>
                <w:tcPr>
                  <w:tcW w:w="931"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eastAsia" w:cs="Times New Roman"/>
                      <w:bCs/>
                      <w:color w:val="auto"/>
                      <w:sz w:val="21"/>
                      <w:szCs w:val="21"/>
                      <w:lang w:val="en-US" w:eastAsia="zh-CN"/>
                    </w:rPr>
                    <w:t>*</w:t>
                  </w:r>
                </w:p>
              </w:tc>
              <w:tc>
                <w:tcPr>
                  <w:tcW w:w="779"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eastAsia" w:cs="Times New Roman"/>
                      <w:bCs/>
                      <w:color w:val="auto"/>
                      <w:sz w:val="21"/>
                      <w:szCs w:val="21"/>
                      <w:lang w:val="en-US" w:eastAsia="zh-CN"/>
                    </w:rPr>
                    <w:t>*</w:t>
                  </w:r>
                </w:p>
              </w:tc>
              <w:tc>
                <w:tcPr>
                  <w:tcW w:w="732" w:type="pct"/>
                  <w:vMerge w:val="restart"/>
                  <w:tcBorders>
                    <w:tl2br w:val="nil"/>
                    <w:tr2bl w:val="nil"/>
                  </w:tcBorders>
                  <w:vAlign w:val="center"/>
                </w:tcPr>
                <w:p>
                  <w:pPr>
                    <w:pStyle w:val="29"/>
                    <w:keepNext w:val="0"/>
                    <w:keepLines w:val="0"/>
                    <w:suppressLineNumbers w:val="0"/>
                    <w:snapToGrid/>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气体钻/水基钻井液钻井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931"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rPr>
                    <w:t>三开导眼井</w:t>
                  </w:r>
                </w:p>
              </w:tc>
              <w:tc>
                <w:tcPr>
                  <w:tcW w:w="932"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Cs w:val="21"/>
                    </w:rPr>
                  </w:pPr>
                  <w:r>
                    <w:rPr>
                      <w:rFonts w:hint="eastAsia" w:cs="Times New Roman"/>
                      <w:bCs/>
                      <w:color w:val="auto"/>
                      <w:sz w:val="21"/>
                      <w:szCs w:val="21"/>
                      <w:lang w:val="en-US" w:eastAsia="zh-CN"/>
                    </w:rPr>
                    <w:t>*</w:t>
                  </w:r>
                </w:p>
              </w:tc>
              <w:tc>
                <w:tcPr>
                  <w:tcW w:w="932"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eastAsia" w:cs="Times New Roman"/>
                      <w:bCs/>
                      <w:color w:val="auto"/>
                      <w:sz w:val="21"/>
                      <w:szCs w:val="21"/>
                      <w:lang w:val="en-US" w:eastAsia="zh-CN"/>
                    </w:rPr>
                    <w:t>*</w:t>
                  </w:r>
                </w:p>
              </w:tc>
              <w:tc>
                <w:tcPr>
                  <w:tcW w:w="932"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eastAsia" w:cs="Times New Roman"/>
                      <w:bCs/>
                      <w:color w:val="auto"/>
                      <w:sz w:val="21"/>
                      <w:szCs w:val="21"/>
                      <w:lang w:val="en-US" w:eastAsia="zh-CN"/>
                    </w:rPr>
                    <w:t>*</w:t>
                  </w:r>
                </w:p>
              </w:tc>
              <w:tc>
                <w:tcPr>
                  <w:tcW w:w="931"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eastAsia" w:cs="Times New Roman"/>
                      <w:bCs/>
                      <w:color w:val="auto"/>
                      <w:sz w:val="21"/>
                      <w:szCs w:val="21"/>
                      <w:lang w:val="en-US" w:eastAsia="zh-CN"/>
                    </w:rPr>
                    <w:t>*</w:t>
                  </w:r>
                </w:p>
              </w:tc>
              <w:tc>
                <w:tcPr>
                  <w:tcW w:w="931"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eastAsia" w:cs="Times New Roman"/>
                      <w:bCs/>
                      <w:color w:val="auto"/>
                      <w:sz w:val="21"/>
                      <w:szCs w:val="21"/>
                      <w:lang w:val="en-US" w:eastAsia="zh-CN"/>
                    </w:rPr>
                    <w:t>*</w:t>
                  </w:r>
                </w:p>
              </w:tc>
              <w:tc>
                <w:tcPr>
                  <w:tcW w:w="779"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eastAsia" w:cs="Times New Roman"/>
                      <w:bCs/>
                      <w:color w:val="auto"/>
                      <w:sz w:val="21"/>
                      <w:szCs w:val="21"/>
                      <w:lang w:val="en-US" w:eastAsia="zh-CN"/>
                    </w:rPr>
                    <w:t>*</w:t>
                  </w:r>
                </w:p>
              </w:tc>
              <w:tc>
                <w:tcPr>
                  <w:tcW w:w="732" w:type="pct"/>
                  <w:vMerge w:val="continue"/>
                  <w:tcBorders>
                    <w:tl2br w:val="nil"/>
                    <w:tr2bl w:val="nil"/>
                  </w:tcBorders>
                  <w:vAlign w:val="center"/>
                </w:tcPr>
                <w:p>
                  <w:pPr>
                    <w:pStyle w:val="29"/>
                    <w:keepNext w:val="0"/>
                    <w:keepLines w:val="0"/>
                    <w:suppressLineNumbers w:val="0"/>
                    <w:snapToGrid/>
                    <w:spacing w:before="0" w:beforeAutospacing="0" w:after="0" w:afterAutospacing="0"/>
                    <w:ind w:left="0" w:right="0"/>
                    <w:jc w:val="center"/>
                    <w:rPr>
                      <w:rFonts w:hint="default" w:ascii="Times New Roman" w:hAnsi="Times New Roman" w:eastAsia="宋体"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931"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 w:val="21"/>
                      <w:szCs w:val="21"/>
                    </w:rPr>
                    <w:t>三开侧钻水平井</w:t>
                  </w:r>
                  <w:r>
                    <w:rPr>
                      <w:rFonts w:hint="default" w:ascii="Times New Roman" w:hAnsi="Times New Roman" w:eastAsia="宋体" w:cs="Times New Roman"/>
                      <w:color w:val="auto"/>
                      <w:kern w:val="2"/>
                      <w:sz w:val="21"/>
                      <w:szCs w:val="21"/>
                      <w:lang w:val="en-US" w:eastAsia="zh-CN" w:bidi="ar-SA"/>
                    </w:rPr>
                    <w:t>（水基钻井液）</w:t>
                  </w:r>
                </w:p>
              </w:tc>
              <w:tc>
                <w:tcPr>
                  <w:tcW w:w="932"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Cs w:val="21"/>
                    </w:rPr>
                  </w:pPr>
                  <w:r>
                    <w:rPr>
                      <w:rFonts w:hint="eastAsia" w:cs="Times New Roman"/>
                      <w:bCs/>
                      <w:color w:val="auto"/>
                      <w:sz w:val="21"/>
                      <w:szCs w:val="21"/>
                      <w:lang w:val="en-US" w:eastAsia="zh-CN"/>
                    </w:rPr>
                    <w:t>*</w:t>
                  </w:r>
                </w:p>
              </w:tc>
              <w:tc>
                <w:tcPr>
                  <w:tcW w:w="932"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eastAsia" w:cs="Times New Roman"/>
                      <w:bCs/>
                      <w:color w:val="auto"/>
                      <w:sz w:val="21"/>
                      <w:szCs w:val="21"/>
                      <w:lang w:val="en-US" w:eastAsia="zh-CN"/>
                    </w:rPr>
                    <w:t>*</w:t>
                  </w:r>
                </w:p>
              </w:tc>
              <w:tc>
                <w:tcPr>
                  <w:tcW w:w="932"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eastAsia" w:cs="Times New Roman"/>
                      <w:bCs/>
                      <w:color w:val="auto"/>
                      <w:sz w:val="21"/>
                      <w:szCs w:val="21"/>
                      <w:lang w:val="en-US" w:eastAsia="zh-CN"/>
                    </w:rPr>
                    <w:t>*</w:t>
                  </w:r>
                </w:p>
              </w:tc>
              <w:tc>
                <w:tcPr>
                  <w:tcW w:w="931"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eastAsia" w:cs="Times New Roman"/>
                      <w:bCs/>
                      <w:color w:val="auto"/>
                      <w:sz w:val="21"/>
                      <w:szCs w:val="21"/>
                      <w:lang w:val="en-US" w:eastAsia="zh-CN"/>
                    </w:rPr>
                    <w:t>*</w:t>
                  </w:r>
                </w:p>
              </w:tc>
              <w:tc>
                <w:tcPr>
                  <w:tcW w:w="931"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eastAsia" w:cs="Times New Roman"/>
                      <w:bCs/>
                      <w:color w:val="auto"/>
                      <w:sz w:val="21"/>
                      <w:szCs w:val="21"/>
                      <w:lang w:val="en-US" w:eastAsia="zh-CN"/>
                    </w:rPr>
                    <w:t>*</w:t>
                  </w:r>
                </w:p>
              </w:tc>
              <w:tc>
                <w:tcPr>
                  <w:tcW w:w="779"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eastAsia" w:cs="Times New Roman"/>
                      <w:bCs/>
                      <w:color w:val="auto"/>
                      <w:sz w:val="21"/>
                      <w:szCs w:val="21"/>
                      <w:lang w:val="en-US" w:eastAsia="zh-CN"/>
                    </w:rPr>
                    <w:t>*</w:t>
                  </w:r>
                </w:p>
              </w:tc>
              <w:tc>
                <w:tcPr>
                  <w:tcW w:w="732" w:type="pct"/>
                  <w:tcBorders>
                    <w:tl2br w:val="nil"/>
                    <w:tr2bl w:val="nil"/>
                  </w:tcBorders>
                  <w:vAlign w:val="center"/>
                </w:tcPr>
                <w:p>
                  <w:pPr>
                    <w:pStyle w:val="29"/>
                    <w:keepNext w:val="0"/>
                    <w:keepLines w:val="0"/>
                    <w:suppressLineNumbers w:val="0"/>
                    <w:snapToGrid/>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水基钻井液钻井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931"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sz w:val="21"/>
                      <w:szCs w:val="21"/>
                    </w:rPr>
                    <w:t>三开侧钻水平井</w:t>
                  </w:r>
                  <w:r>
                    <w:rPr>
                      <w:rFonts w:hint="default" w:ascii="Times New Roman" w:hAnsi="Times New Roman" w:eastAsia="宋体" w:cs="Times New Roman"/>
                      <w:color w:val="auto"/>
                      <w:kern w:val="2"/>
                      <w:sz w:val="21"/>
                      <w:szCs w:val="21"/>
                      <w:lang w:val="en-US" w:eastAsia="zh-CN" w:bidi="ar-SA"/>
                    </w:rPr>
                    <w:t>（备选：油基钻井液）</w:t>
                  </w:r>
                </w:p>
              </w:tc>
              <w:tc>
                <w:tcPr>
                  <w:tcW w:w="932"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lang w:val="en-US" w:eastAsia="zh-CN"/>
                    </w:rPr>
                  </w:pPr>
                  <w:r>
                    <w:rPr>
                      <w:rFonts w:hint="eastAsia" w:cs="Times New Roman"/>
                      <w:bCs/>
                      <w:color w:val="auto"/>
                      <w:sz w:val="21"/>
                      <w:szCs w:val="21"/>
                      <w:lang w:val="en-US" w:eastAsia="zh-CN"/>
                    </w:rPr>
                    <w:t>*</w:t>
                  </w:r>
                </w:p>
              </w:tc>
              <w:tc>
                <w:tcPr>
                  <w:tcW w:w="932"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lang w:val="en-US" w:eastAsia="zh-CN"/>
                    </w:rPr>
                  </w:pPr>
                  <w:r>
                    <w:rPr>
                      <w:rFonts w:hint="eastAsia" w:cs="Times New Roman"/>
                      <w:bCs/>
                      <w:color w:val="auto"/>
                      <w:sz w:val="21"/>
                      <w:szCs w:val="21"/>
                      <w:lang w:val="en-US" w:eastAsia="zh-CN"/>
                    </w:rPr>
                    <w:t>*</w:t>
                  </w:r>
                </w:p>
              </w:tc>
              <w:tc>
                <w:tcPr>
                  <w:tcW w:w="932"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lang w:val="en-US" w:eastAsia="zh-CN"/>
                    </w:rPr>
                  </w:pPr>
                  <w:r>
                    <w:rPr>
                      <w:rFonts w:hint="eastAsia" w:cs="Times New Roman"/>
                      <w:bCs/>
                      <w:color w:val="auto"/>
                      <w:sz w:val="21"/>
                      <w:szCs w:val="21"/>
                      <w:lang w:val="en-US" w:eastAsia="zh-CN"/>
                    </w:rPr>
                    <w:t>*</w:t>
                  </w:r>
                </w:p>
              </w:tc>
              <w:tc>
                <w:tcPr>
                  <w:tcW w:w="931"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lang w:val="en-US" w:eastAsia="zh-CN"/>
                    </w:rPr>
                  </w:pPr>
                  <w:r>
                    <w:rPr>
                      <w:rFonts w:hint="eastAsia" w:cs="Times New Roman"/>
                      <w:bCs/>
                      <w:color w:val="auto"/>
                      <w:sz w:val="21"/>
                      <w:szCs w:val="21"/>
                      <w:lang w:val="en-US" w:eastAsia="zh-CN"/>
                    </w:rPr>
                    <w:t>*</w:t>
                  </w:r>
                </w:p>
              </w:tc>
              <w:tc>
                <w:tcPr>
                  <w:tcW w:w="931"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lang w:val="en-US" w:eastAsia="zh-CN"/>
                    </w:rPr>
                  </w:pPr>
                  <w:r>
                    <w:rPr>
                      <w:rFonts w:hint="eastAsia" w:cs="Times New Roman"/>
                      <w:bCs/>
                      <w:color w:val="auto"/>
                      <w:sz w:val="21"/>
                      <w:szCs w:val="21"/>
                      <w:lang w:val="en-US" w:eastAsia="zh-CN"/>
                    </w:rPr>
                    <w:t>*</w:t>
                  </w:r>
                </w:p>
              </w:tc>
              <w:tc>
                <w:tcPr>
                  <w:tcW w:w="779"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21"/>
                      <w:szCs w:val="21"/>
                      <w:lang w:val="en-US" w:eastAsia="zh-CN"/>
                    </w:rPr>
                  </w:pPr>
                  <w:r>
                    <w:rPr>
                      <w:rFonts w:hint="eastAsia" w:cs="Times New Roman"/>
                      <w:bCs/>
                      <w:color w:val="auto"/>
                      <w:sz w:val="21"/>
                      <w:szCs w:val="21"/>
                      <w:lang w:val="en-US" w:eastAsia="zh-CN"/>
                    </w:rPr>
                    <w:t>*</w:t>
                  </w:r>
                </w:p>
              </w:tc>
              <w:tc>
                <w:tcPr>
                  <w:tcW w:w="732" w:type="pct"/>
                  <w:tcBorders>
                    <w:tl2br w:val="nil"/>
                    <w:tr2bl w:val="nil"/>
                  </w:tcBorders>
                  <w:vAlign w:val="center"/>
                </w:tcPr>
                <w:p>
                  <w:pPr>
                    <w:pStyle w:val="29"/>
                    <w:keepNext w:val="0"/>
                    <w:keepLines w:val="0"/>
                    <w:suppressLineNumbers w:val="0"/>
                    <w:snapToGrid/>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若不能满足安全钻井要求，则更换为白油基钻井液体系</w:t>
                  </w:r>
                </w:p>
              </w:tc>
            </w:tr>
          </w:tbl>
          <w:p>
            <w:pPr>
              <w:pStyle w:val="19"/>
              <w:keepNext w:val="0"/>
              <w:keepLines w:val="0"/>
              <w:numPr>
                <w:ilvl w:val="0"/>
                <w:numId w:val="6"/>
              </w:numPr>
              <w:suppressLineNumbers w:val="0"/>
              <w:tabs>
                <w:tab w:val="left" w:pos="0"/>
                <w:tab w:val="left" w:pos="833"/>
              </w:tabs>
              <w:spacing w:before="0" w:beforeAutospacing="0" w:after="0" w:afterAutospacing="0" w:line="360" w:lineRule="auto"/>
              <w:ind w:left="0" w:right="0" w:firstLine="0"/>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主要原辅材料物理化学特性</w:t>
            </w:r>
          </w:p>
          <w:tbl>
            <w:tblPr>
              <w:tblStyle w:val="44"/>
              <w:tblW w:w="4894"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6" w:type="dxa"/>
                <w:bottom w:w="0" w:type="dxa"/>
                <w:right w:w="6" w:type="dxa"/>
              </w:tblCellMar>
            </w:tblPr>
            <w:tblGrid>
              <w:gridCol w:w="524"/>
              <w:gridCol w:w="1088"/>
              <w:gridCol w:w="569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tblHeader/>
                <w:jc w:val="center"/>
              </w:trPr>
              <w:tc>
                <w:tcPr>
                  <w:tcW w:w="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序号</w:t>
                  </w:r>
                </w:p>
              </w:tc>
              <w:tc>
                <w:tcPr>
                  <w:tcW w:w="108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材料名称</w:t>
                  </w:r>
                </w:p>
              </w:tc>
              <w:tc>
                <w:tcPr>
                  <w:tcW w:w="569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物理化学特性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jc w:val="center"/>
              </w:trPr>
              <w:tc>
                <w:tcPr>
                  <w:tcW w:w="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w:t>
                  </w:r>
                </w:p>
              </w:tc>
              <w:tc>
                <w:tcPr>
                  <w:tcW w:w="108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柴油</w:t>
                  </w:r>
                </w:p>
              </w:tc>
              <w:tc>
                <w:tcPr>
                  <w:tcW w:w="569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稍有黏性的棕色液体。与水混溶，可混溶于乙醇。熔点：-18℃，沸点：282－338℃，闪点：55℃，引燃温度：257℃，燃烧分解产物：一氧化碳、二氧化碳。禁忌物：强氧化剂、卤素。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jc w:val="center"/>
              </w:trPr>
              <w:tc>
                <w:tcPr>
                  <w:tcW w:w="524"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zCs w:val="21"/>
                      <w:lang w:val="en-US" w:eastAsia="zh-CN"/>
                    </w:rPr>
                  </w:pPr>
                  <w:r>
                    <w:rPr>
                      <w:rFonts w:hint="eastAsia" w:cs="Times New Roman"/>
                      <w:color w:val="auto"/>
                      <w:szCs w:val="21"/>
                      <w:lang w:val="en-US" w:eastAsia="zh-CN"/>
                    </w:rPr>
                    <w:t>2</w:t>
                  </w:r>
                </w:p>
              </w:tc>
              <w:tc>
                <w:tcPr>
                  <w:tcW w:w="108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膨润土粉</w:t>
                  </w:r>
                </w:p>
              </w:tc>
              <w:tc>
                <w:tcPr>
                  <w:tcW w:w="5691"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zCs w:val="21"/>
                      <w:lang w:eastAsia="zh-CN"/>
                    </w:rPr>
                  </w:pPr>
                  <w:r>
                    <w:rPr>
                      <w:rFonts w:hint="default" w:ascii="Times New Roman" w:hAnsi="Times New Roman" w:cs="Times New Roman"/>
                      <w:color w:val="auto"/>
                      <w:szCs w:val="21"/>
                    </w:rPr>
                    <w:t>以蒙脱石为主要矿物成分的非金属矿产</w:t>
                  </w:r>
                  <w:r>
                    <w:rPr>
                      <w:rFonts w:hint="eastAsia" w:cs="Times New Roman"/>
                      <w:color w:val="auto"/>
                      <w:szCs w:val="21"/>
                      <w:lang w:eastAsia="zh-CN"/>
                    </w:rPr>
                    <w:t>，主要化学成分是二氧化硅、三氧化二铝和水，还含有铁、镁、钙、钠、钾等元素。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jc w:val="center"/>
              </w:trPr>
              <w:tc>
                <w:tcPr>
                  <w:tcW w:w="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3</w:t>
                  </w:r>
                </w:p>
              </w:tc>
              <w:tc>
                <w:tcPr>
                  <w:tcW w:w="1088"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eastAsia"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Cs w:val="21"/>
                    </w:rPr>
                    <w:t>纯碱</w:t>
                  </w:r>
                </w:p>
              </w:tc>
              <w:tc>
                <w:tcPr>
                  <w:tcW w:w="5691"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Cs w:val="21"/>
                    </w:rPr>
                    <w:t>碳酸钠</w:t>
                  </w:r>
                  <w:r>
                    <w:rPr>
                      <w:rFonts w:hint="eastAsia" w:cs="Times New Roman"/>
                      <w:color w:val="auto"/>
                      <w:szCs w:val="21"/>
                      <w:lang w:eastAsia="zh-CN"/>
                    </w:rPr>
                    <w:t>（</w:t>
                  </w:r>
                  <w:r>
                    <w:rPr>
                      <w:rFonts w:hint="default" w:ascii="Times New Roman" w:hAnsi="Times New Roman" w:cs="Times New Roman"/>
                      <w:color w:val="auto"/>
                      <w:szCs w:val="21"/>
                    </w:rPr>
                    <w:t>Sodium Carbonate</w:t>
                  </w:r>
                  <w:r>
                    <w:rPr>
                      <w:rFonts w:hint="eastAsia" w:cs="Times New Roman"/>
                      <w:color w:val="auto"/>
                      <w:szCs w:val="21"/>
                      <w:lang w:eastAsia="zh-CN"/>
                    </w:rPr>
                    <w:t>）</w:t>
                  </w:r>
                  <w:r>
                    <w:rPr>
                      <w:rFonts w:hint="default" w:ascii="Times New Roman" w:hAnsi="Times New Roman" w:cs="Times New Roman"/>
                      <w:color w:val="auto"/>
                      <w:szCs w:val="21"/>
                    </w:rPr>
                    <w:t>，是一种</w:t>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HYPERLINK "https://baike.baidu.com/item/%E6%97%A0%E6%9C%BA%E5%8C%96%E5%90%88%E7%89%A9/10716655?fromModule=lemma_inlink" \t "https://baike.baidu.com/item/_blank" </w:instrText>
                  </w:r>
                  <w:r>
                    <w:rPr>
                      <w:rFonts w:hint="default" w:ascii="Times New Roman" w:hAnsi="Times New Roman" w:cs="Times New Roman"/>
                      <w:color w:val="auto"/>
                    </w:rPr>
                    <w:fldChar w:fldCharType="separate"/>
                  </w:r>
                  <w:r>
                    <w:rPr>
                      <w:rFonts w:hint="default" w:ascii="Times New Roman" w:hAnsi="Times New Roman" w:cs="Times New Roman"/>
                      <w:color w:val="auto"/>
                      <w:szCs w:val="21"/>
                    </w:rPr>
                    <w:t>无机化合物</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。化学式为Na</w:t>
                  </w:r>
                  <w:r>
                    <w:rPr>
                      <w:rFonts w:hint="default" w:ascii="Times New Roman" w:hAnsi="Times New Roman" w:cs="Times New Roman"/>
                      <w:color w:val="auto"/>
                      <w:szCs w:val="21"/>
                      <w:vertAlign w:val="subscript"/>
                    </w:rPr>
                    <w:t>2</w:t>
                  </w:r>
                  <w:r>
                    <w:rPr>
                      <w:rFonts w:hint="default" w:ascii="Times New Roman" w:hAnsi="Times New Roman" w:cs="Times New Roman"/>
                      <w:color w:val="auto"/>
                      <w:szCs w:val="21"/>
                    </w:rPr>
                    <w:t>CO</w:t>
                  </w:r>
                  <w:r>
                    <w:rPr>
                      <w:rFonts w:hint="default" w:ascii="Times New Roman" w:hAnsi="Times New Roman" w:cs="Times New Roman"/>
                      <w:color w:val="auto"/>
                      <w:szCs w:val="21"/>
                      <w:vertAlign w:val="subscript"/>
                    </w:rPr>
                    <w:t>3</w:t>
                  </w:r>
                  <w:r>
                    <w:rPr>
                      <w:rFonts w:hint="default" w:ascii="Times New Roman" w:hAnsi="Times New Roman" w:cs="Times New Roman"/>
                      <w:color w:val="auto"/>
                      <w:szCs w:val="21"/>
                    </w:rPr>
                    <w:t>，分子量105.99 ，又叫纯碱，但分类属于盐，不属于碱，国际贸易中又名苏打或碱灰。碳酸钠是一种白色粉末，无味无臭，易溶于水，水溶液呈强碱性，在潮湿的空气里会吸潮结块，部分变为</w:t>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HYPERLINK "https://baike.baidu.com/item/%E7%A2%B3%E9%85%B8%E6%B0%A2%E9%92%A0/2735773?fromModule=lemma_inlink" \t "https://baike.baidu.com/item/_blank" </w:instrText>
                  </w:r>
                  <w:r>
                    <w:rPr>
                      <w:rFonts w:hint="default" w:ascii="Times New Roman" w:hAnsi="Times New Roman" w:cs="Times New Roman"/>
                      <w:color w:val="auto"/>
                    </w:rPr>
                    <w:fldChar w:fldCharType="separate"/>
                  </w:r>
                  <w:r>
                    <w:rPr>
                      <w:rFonts w:hint="default" w:ascii="Times New Roman" w:hAnsi="Times New Roman" w:cs="Times New Roman"/>
                      <w:color w:val="auto"/>
                      <w:szCs w:val="21"/>
                    </w:rPr>
                    <w:t>碳酸氢钠</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。碳酸钠的制法有</w:t>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HYPERLINK "https://baike.baidu.com/item/%E8%81%94%E5%90%88%E5%88%B6%E7%A2%B1%E6%B3%95/10370731?fromModule=lemma_inlink" \t "https://baike.baidu.com/item/_blank" </w:instrText>
                  </w:r>
                  <w:r>
                    <w:rPr>
                      <w:rFonts w:hint="default" w:ascii="Times New Roman" w:hAnsi="Times New Roman" w:cs="Times New Roman"/>
                      <w:color w:val="auto"/>
                    </w:rPr>
                    <w:fldChar w:fldCharType="separate"/>
                  </w:r>
                  <w:r>
                    <w:rPr>
                      <w:rFonts w:hint="default" w:ascii="Times New Roman" w:hAnsi="Times New Roman" w:cs="Times New Roman"/>
                      <w:color w:val="auto"/>
                      <w:szCs w:val="21"/>
                    </w:rPr>
                    <w:t>联合制碱法</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、氨碱法、路布兰法等，也可由天然碱加工精制。</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jc w:val="center"/>
              </w:trPr>
              <w:tc>
                <w:tcPr>
                  <w:tcW w:w="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4</w:t>
                  </w:r>
                </w:p>
              </w:tc>
              <w:tc>
                <w:tcPr>
                  <w:tcW w:w="1088"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Cs w:val="21"/>
                    </w:rPr>
                    <w:t>氢氧化钠NaOH</w:t>
                  </w:r>
                </w:p>
              </w:tc>
              <w:tc>
                <w:tcPr>
                  <w:tcW w:w="5691"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Cs w:val="21"/>
                    </w:rPr>
                    <w:t>氢氧化钠对纤维、皮肤、玻璃、陶瓷等有腐蚀作用，溶解或浓溶液稀释时会放出热量；与无机酸发生中和反应也能产生大量热，生成相应的盐类；与金属铝和锌、非金属硼和硅等反应放出氢；与氯、溴、碘等卤素发生歧化反应。能从水溶液中沉淀金属离子成为氢氧化物；能使油脂发生皂化反应，生成相应的有机酸的钠盐和醇，这是去除织物上的油污的原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jc w:val="center"/>
              </w:trPr>
              <w:tc>
                <w:tcPr>
                  <w:tcW w:w="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5</w:t>
                  </w:r>
                </w:p>
              </w:tc>
              <w:tc>
                <w:tcPr>
                  <w:tcW w:w="1088"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eastAsia" w:ascii="Times New Roman" w:hAnsi="Times New Roman" w:eastAsia="宋体" w:cs="Times New Roman"/>
                      <w:color w:val="auto"/>
                      <w:szCs w:val="21"/>
                      <w:lang w:val="en-US" w:eastAsia="zh-CN"/>
                    </w:rPr>
                  </w:pPr>
                  <w:r>
                    <w:rPr>
                      <w:rFonts w:hint="eastAsia" w:cs="Times New Roman"/>
                      <w:color w:val="auto"/>
                      <w:szCs w:val="21"/>
                      <w:lang w:val="en-US" w:eastAsia="zh-CN"/>
                    </w:rPr>
                    <w:t>氯化钾</w:t>
                  </w:r>
                </w:p>
              </w:tc>
              <w:tc>
                <w:tcPr>
                  <w:tcW w:w="5691"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eastAsia" w:ascii="Times New Roman" w:hAnsi="Times New Roman" w:eastAsia="宋体" w:cs="Times New Roman"/>
                      <w:color w:val="auto"/>
                      <w:szCs w:val="21"/>
                      <w:lang w:eastAsia="zh-CN"/>
                    </w:rPr>
                  </w:pPr>
                  <w:r>
                    <w:rPr>
                      <w:rFonts w:hint="default" w:ascii="Times New Roman" w:hAnsi="Times New Roman" w:cs="Times New Roman"/>
                      <w:color w:val="auto"/>
                      <w:szCs w:val="21"/>
                    </w:rPr>
                    <w:t>白色晶体，味极咸，无臭无毒性。易溶于水和甘油，微溶于醇，不溶于醚、丙酮和盐酸。有吸湿性，易结块；在水中的溶解度随温度的升高而迅速地增加，与钠盐常起复分解作用而生成新的钾盐</w:t>
                  </w:r>
                  <w:r>
                    <w:rPr>
                      <w:rFonts w:hint="eastAsia" w:cs="Times New Roman"/>
                      <w:color w:val="auto"/>
                      <w:szCs w:val="21"/>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jc w:val="center"/>
              </w:trPr>
              <w:tc>
                <w:tcPr>
                  <w:tcW w:w="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6</w:t>
                  </w:r>
                </w:p>
              </w:tc>
              <w:tc>
                <w:tcPr>
                  <w:tcW w:w="1088"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cs="Times New Roman"/>
                      <w:color w:val="auto"/>
                      <w:szCs w:val="21"/>
                      <w:lang w:val="en-US" w:eastAsia="zh-CN"/>
                    </w:rPr>
                  </w:pPr>
                  <w:r>
                    <w:rPr>
                      <w:rFonts w:hint="eastAsia" w:cs="Times New Roman"/>
                      <w:color w:val="auto"/>
                      <w:szCs w:val="21"/>
                      <w:lang w:val="en-US" w:eastAsia="zh-CN"/>
                    </w:rPr>
                    <w:t>生石灰</w:t>
                  </w:r>
                </w:p>
              </w:tc>
              <w:tc>
                <w:tcPr>
                  <w:tcW w:w="5691"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eastAsia" w:ascii="Times New Roman" w:hAnsi="Times New Roman" w:eastAsia="宋体" w:cs="Times New Roman"/>
                      <w:color w:val="auto"/>
                      <w:szCs w:val="21"/>
                      <w:lang w:val="en-US" w:eastAsia="zh-CN"/>
                    </w:rPr>
                  </w:pPr>
                  <w:r>
                    <w:rPr>
                      <w:rFonts w:hint="default" w:ascii="Times New Roman" w:hAnsi="Times New Roman" w:cs="Times New Roman"/>
                      <w:color w:val="auto"/>
                      <w:szCs w:val="21"/>
                    </w:rPr>
                    <w:t>外形为白色（或灰色、棕白），无定形，在空气中吸收水和</w:t>
                  </w:r>
                  <w:r>
                    <w:rPr>
                      <w:rFonts w:hint="default" w:ascii="Times New Roman" w:hAnsi="Times New Roman" w:cs="Times New Roman"/>
                      <w:color w:val="auto"/>
                      <w:szCs w:val="21"/>
                    </w:rPr>
                    <w:fldChar w:fldCharType="begin"/>
                  </w:r>
                  <w:r>
                    <w:rPr>
                      <w:rFonts w:hint="default" w:ascii="Times New Roman" w:hAnsi="Times New Roman" w:cs="Times New Roman"/>
                      <w:color w:val="auto"/>
                      <w:szCs w:val="21"/>
                    </w:rPr>
                    <w:instrText xml:space="preserve"> HYPERLINK "https://baike.baidu.com/item/%E4%BA%8C%E6%B0%A7%E5%8C%96%E7%A2%B3/349143?fromModule=lemma_inlink" \t "https://baike.baidu.com/item/%E7%94%9F%E7%9F%B3%E7%81%B0/_blank" </w:instrText>
                  </w:r>
                  <w:r>
                    <w:rPr>
                      <w:rFonts w:hint="default" w:ascii="Times New Roman" w:hAnsi="Times New Roman" w:cs="Times New Roman"/>
                      <w:color w:val="auto"/>
                      <w:szCs w:val="21"/>
                    </w:rPr>
                    <w:fldChar w:fldCharType="separate"/>
                  </w:r>
                  <w:r>
                    <w:rPr>
                      <w:rFonts w:hint="default" w:ascii="Times New Roman" w:hAnsi="Times New Roman" w:cs="Times New Roman"/>
                      <w:color w:val="auto"/>
                      <w:szCs w:val="21"/>
                    </w:rPr>
                    <w:t>二氧化碳</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。氧化钙与水作用生成氢氧化钙，并放出热量。溶于酸水，不溶于醇。系属无机碱性蚀物品</w:t>
                  </w:r>
                  <w:r>
                    <w:rPr>
                      <w:rFonts w:hint="eastAsia" w:cs="Times New Roman"/>
                      <w:color w:val="auto"/>
                      <w:szCs w:val="21"/>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jc w:val="center"/>
              </w:trPr>
              <w:tc>
                <w:tcPr>
                  <w:tcW w:w="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7</w:t>
                  </w:r>
                </w:p>
              </w:tc>
              <w:tc>
                <w:tcPr>
                  <w:tcW w:w="1088"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eastAsia"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Cs w:val="21"/>
                    </w:rPr>
                    <w:t>聚丙烯酰胺</w:t>
                  </w:r>
                </w:p>
              </w:tc>
              <w:tc>
                <w:tcPr>
                  <w:tcW w:w="5691"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Cs w:val="21"/>
                    </w:rPr>
                    <w:t>是一种线性高分子</w:t>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HYPERLINK "https://baike.baidu.com/item/%E8%81%9A%E5%90%88%E7%89%A9/6252844?fromModule=lemma_inlink" \t "https://baike.baidu.com/item/%E8%81%9A%E4%B8%99%E7%83%AF%E9%85%B0%E8%83%BA/_blank" </w:instrText>
                  </w:r>
                  <w:r>
                    <w:rPr>
                      <w:rFonts w:hint="default" w:ascii="Times New Roman" w:hAnsi="Times New Roman" w:cs="Times New Roman"/>
                      <w:color w:val="auto"/>
                    </w:rPr>
                    <w:fldChar w:fldCharType="separate"/>
                  </w:r>
                  <w:r>
                    <w:rPr>
                      <w:rFonts w:hint="default" w:ascii="Times New Roman" w:hAnsi="Times New Roman" w:cs="Times New Roman"/>
                      <w:color w:val="auto"/>
                      <w:szCs w:val="21"/>
                    </w:rPr>
                    <w:t>聚合物</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，化学式为</w:t>
                  </w:r>
                  <w:r>
                    <w:rPr>
                      <w:rFonts w:hint="eastAsia" w:cs="Times New Roman"/>
                      <w:color w:val="auto"/>
                      <w:szCs w:val="21"/>
                      <w:lang w:eastAsia="zh-CN"/>
                    </w:rPr>
                    <w:t>（</w:t>
                  </w:r>
                  <w:r>
                    <w:rPr>
                      <w:rFonts w:hint="default" w:ascii="Times New Roman" w:hAnsi="Times New Roman" w:cs="Times New Roman"/>
                      <w:color w:val="auto"/>
                      <w:szCs w:val="21"/>
                    </w:rPr>
                    <w:t>C</w:t>
                  </w:r>
                  <w:r>
                    <w:rPr>
                      <w:rFonts w:hint="default" w:ascii="Times New Roman" w:hAnsi="Times New Roman" w:cs="Times New Roman"/>
                      <w:color w:val="auto"/>
                      <w:szCs w:val="21"/>
                      <w:vertAlign w:val="subscript"/>
                    </w:rPr>
                    <w:t>3</w:t>
                  </w:r>
                  <w:r>
                    <w:rPr>
                      <w:rFonts w:hint="default" w:ascii="Times New Roman" w:hAnsi="Times New Roman" w:cs="Times New Roman"/>
                      <w:color w:val="auto"/>
                      <w:szCs w:val="21"/>
                    </w:rPr>
                    <w:t>H</w:t>
                  </w:r>
                  <w:r>
                    <w:rPr>
                      <w:rFonts w:hint="default" w:ascii="Times New Roman" w:hAnsi="Times New Roman" w:cs="Times New Roman"/>
                      <w:color w:val="auto"/>
                      <w:szCs w:val="21"/>
                      <w:vertAlign w:val="subscript"/>
                    </w:rPr>
                    <w:t>5</w:t>
                  </w:r>
                  <w:r>
                    <w:rPr>
                      <w:rFonts w:hint="default" w:ascii="Times New Roman" w:hAnsi="Times New Roman" w:cs="Times New Roman"/>
                      <w:color w:val="auto"/>
                      <w:szCs w:val="21"/>
                    </w:rPr>
                    <w:t>NO</w:t>
                  </w:r>
                  <w:r>
                    <w:rPr>
                      <w:rFonts w:hint="eastAsia" w:cs="Times New Roman"/>
                      <w:color w:val="auto"/>
                      <w:szCs w:val="21"/>
                      <w:lang w:eastAsia="zh-CN"/>
                    </w:rPr>
                    <w:t>）</w:t>
                  </w:r>
                  <w:r>
                    <w:rPr>
                      <w:rFonts w:hint="default" w:ascii="Times New Roman" w:hAnsi="Times New Roman" w:cs="Times New Roman"/>
                      <w:color w:val="auto"/>
                      <w:szCs w:val="21"/>
                    </w:rPr>
                    <w:t>n，丙烯酰胺作为润滑剂、悬浮剂、粘土稳定剂、驱油剂、降失水剂和增稠剂，在钻井、酸化、压裂、堵水、固井及二次采油、三次采油中得到了广泛应用，是一种极为重要的</w:t>
                  </w: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HYPERLINK "https://baike.baidu.com/item/%E6%B2%B9%E7%94%B0%E5%8C%96%E5%AD%A6%E5%93%81/3822611?fromModule=lemma_inlink" \t "https://baike.baidu.com/item/%E8%81%9A%E4%B8%99%E7%83%AF%E9%85%B0%E8%83%BA/_blank" </w:instrText>
                  </w:r>
                  <w:r>
                    <w:rPr>
                      <w:rFonts w:hint="default" w:ascii="Times New Roman" w:hAnsi="Times New Roman" w:cs="Times New Roman"/>
                      <w:color w:val="auto"/>
                    </w:rPr>
                    <w:fldChar w:fldCharType="separate"/>
                  </w:r>
                  <w:r>
                    <w:rPr>
                      <w:rFonts w:hint="default" w:ascii="Times New Roman" w:hAnsi="Times New Roman" w:cs="Times New Roman"/>
                      <w:color w:val="auto"/>
                      <w:szCs w:val="21"/>
                    </w:rPr>
                    <w:t>油田化学品</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jc w:val="center"/>
              </w:trPr>
              <w:tc>
                <w:tcPr>
                  <w:tcW w:w="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8</w:t>
                  </w:r>
                </w:p>
              </w:tc>
              <w:tc>
                <w:tcPr>
                  <w:tcW w:w="1088"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eastAsia" w:ascii="Times New Roman" w:hAnsi="Times New Roman" w:eastAsia="宋体" w:cs="Times New Roman"/>
                      <w:color w:val="auto"/>
                      <w:szCs w:val="21"/>
                      <w:lang w:val="en-US" w:eastAsia="zh-CN"/>
                    </w:rPr>
                  </w:pPr>
                  <w:r>
                    <w:rPr>
                      <w:rFonts w:hint="default" w:ascii="Times New Roman" w:hAnsi="Times New Roman" w:cs="Times New Roman"/>
                      <w:color w:val="auto"/>
                      <w:szCs w:val="21"/>
                    </w:rPr>
                    <w:t>高分子包被剂</w:t>
                  </w:r>
                  <w:r>
                    <w:rPr>
                      <w:rFonts w:hint="eastAsia" w:cs="Times New Roman"/>
                      <w:color w:val="auto"/>
                      <w:szCs w:val="21"/>
                      <w:lang w:val="en-US" w:eastAsia="zh-CN"/>
                    </w:rPr>
                    <w:t xml:space="preserve"> </w:t>
                  </w:r>
                </w:p>
              </w:tc>
              <w:tc>
                <w:tcPr>
                  <w:tcW w:w="5691"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cs="Times New Roman"/>
                      <w:color w:val="auto"/>
                      <w:szCs w:val="21"/>
                    </w:rPr>
                  </w:pPr>
                  <w:r>
                    <w:rPr>
                      <w:rFonts w:hint="default" w:ascii="Times New Roman" w:hAnsi="Times New Roman" w:cs="Times New Roman"/>
                      <w:color w:val="auto"/>
                      <w:szCs w:val="21"/>
                    </w:rPr>
                    <w:t>包被剂</w:t>
                  </w:r>
                  <w:r>
                    <w:rPr>
                      <w:rFonts w:hint="eastAsia" w:cs="Times New Roman"/>
                      <w:color w:val="auto"/>
                      <w:szCs w:val="21"/>
                      <w:lang w:eastAsia="zh-CN"/>
                    </w:rPr>
                    <w:t>（</w:t>
                  </w:r>
                  <w:r>
                    <w:rPr>
                      <w:rFonts w:hint="default" w:ascii="Times New Roman" w:hAnsi="Times New Roman" w:cs="Times New Roman"/>
                      <w:color w:val="auto"/>
                      <w:szCs w:val="21"/>
                    </w:rPr>
                    <w:t>SBB</w:t>
                  </w:r>
                  <w:r>
                    <w:rPr>
                      <w:rFonts w:hint="eastAsia" w:cs="Times New Roman"/>
                      <w:color w:val="auto"/>
                      <w:szCs w:val="21"/>
                      <w:lang w:eastAsia="zh-CN"/>
                    </w:rPr>
                    <w:t>）</w:t>
                  </w:r>
                  <w:r>
                    <w:rPr>
                      <w:rFonts w:hint="default" w:ascii="Times New Roman" w:hAnsi="Times New Roman" w:cs="Times New Roman"/>
                      <w:color w:val="auto"/>
                      <w:szCs w:val="21"/>
                    </w:rPr>
                    <w:t>是一种由丙烯酸、丙烯酰胺等单体的共聚物，是最常用的钻井液抑制剂之一，其外观是白色或淡黄色粉末。</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jc w:val="center"/>
              </w:trPr>
              <w:tc>
                <w:tcPr>
                  <w:tcW w:w="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9</w:t>
                  </w:r>
                </w:p>
              </w:tc>
              <w:tc>
                <w:tcPr>
                  <w:tcW w:w="1088"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cs="Times New Roman"/>
                      <w:color w:val="auto"/>
                      <w:szCs w:val="21"/>
                    </w:rPr>
                  </w:pPr>
                  <w:r>
                    <w:rPr>
                      <w:rFonts w:hint="default" w:ascii="Times New Roman" w:hAnsi="Times New Roman" w:cs="Times New Roman"/>
                      <w:color w:val="auto"/>
                      <w:szCs w:val="21"/>
                    </w:rPr>
                    <w:t>聚胺抑制剂</w:t>
                  </w:r>
                </w:p>
              </w:tc>
              <w:tc>
                <w:tcPr>
                  <w:tcW w:w="5691"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eastAsia" w:ascii="Times New Roman" w:hAnsi="Times New Roman" w:eastAsia="宋体" w:cs="Times New Roman"/>
                      <w:color w:val="auto"/>
                      <w:szCs w:val="21"/>
                      <w:lang w:val="en-US" w:eastAsia="zh-CN"/>
                    </w:rPr>
                  </w:pPr>
                  <w:r>
                    <w:rPr>
                      <w:rFonts w:hint="default" w:ascii="Times New Roman" w:hAnsi="Times New Roman" w:cs="Times New Roman"/>
                      <w:color w:val="auto"/>
                      <w:szCs w:val="21"/>
                    </w:rPr>
                    <w:t>是一种含有小分子量聚合物复合体的液相产品，它的主要成分是聚维酮和聚胺衍生物，用于高性能水基钻井液中提供超强的活性黏土抑制、降低敏感性页岩膨胀率</w:t>
                  </w:r>
                  <w:r>
                    <w:rPr>
                      <w:rFonts w:hint="eastAsia" w:cs="Times New Roman"/>
                      <w:color w:val="auto"/>
                      <w:szCs w:val="21"/>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jc w:val="center"/>
              </w:trPr>
              <w:tc>
                <w:tcPr>
                  <w:tcW w:w="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10</w:t>
                  </w:r>
                </w:p>
              </w:tc>
              <w:tc>
                <w:tcPr>
                  <w:tcW w:w="1088"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cs="Times New Roman"/>
                      <w:color w:val="auto"/>
                      <w:szCs w:val="21"/>
                    </w:rPr>
                  </w:pPr>
                  <w:r>
                    <w:rPr>
                      <w:rFonts w:hint="default" w:ascii="Times New Roman" w:hAnsi="Times New Roman" w:cs="Times New Roman"/>
                      <w:color w:val="auto"/>
                      <w:szCs w:val="21"/>
                    </w:rPr>
                    <w:t>聚合物类降失水剂</w:t>
                  </w:r>
                </w:p>
              </w:tc>
              <w:tc>
                <w:tcPr>
                  <w:tcW w:w="5691"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cs="Times New Roman"/>
                      <w:color w:val="auto"/>
                      <w:szCs w:val="21"/>
                    </w:rPr>
                  </w:pPr>
                  <w:r>
                    <w:rPr>
                      <w:rFonts w:hint="default" w:ascii="Times New Roman" w:hAnsi="Times New Roman" w:cs="Times New Roman"/>
                      <w:color w:val="auto"/>
                      <w:szCs w:val="21"/>
                    </w:rPr>
                    <w:t>包括聚丙烯酰胺、聚乙烯醇、聚醋酸乙烯酯等。这类</w:t>
                  </w:r>
                  <w:r>
                    <w:rPr>
                      <w:rFonts w:hint="default" w:ascii="Times New Roman" w:hAnsi="Times New Roman" w:cs="Times New Roman"/>
                      <w:color w:val="auto"/>
                      <w:szCs w:val="21"/>
                    </w:rPr>
                    <w:fldChar w:fldCharType="begin"/>
                  </w:r>
                  <w:r>
                    <w:rPr>
                      <w:rFonts w:hint="default" w:ascii="Times New Roman" w:hAnsi="Times New Roman" w:cs="Times New Roman"/>
                      <w:color w:val="auto"/>
                      <w:szCs w:val="21"/>
                    </w:rPr>
                    <w:instrText xml:space="preserve"> HYPERLINK "http://u237201.admin.ish168.com/Product/538841.html" \t "https://www.kelioil.com/NewsDetail/_self" </w:instrText>
                  </w:r>
                  <w:r>
                    <w:rPr>
                      <w:rFonts w:hint="default" w:ascii="Times New Roman" w:hAnsi="Times New Roman" w:cs="Times New Roman"/>
                      <w:color w:val="auto"/>
                      <w:szCs w:val="21"/>
                    </w:rPr>
                    <w:fldChar w:fldCharType="separate"/>
                  </w:r>
                  <w:r>
                    <w:rPr>
                      <w:rFonts w:hint="default" w:ascii="Times New Roman" w:hAnsi="Times New Roman" w:cs="Times New Roman"/>
                      <w:color w:val="auto"/>
                      <w:szCs w:val="21"/>
                    </w:rPr>
                    <w:t>降失水剂</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通常具有更好的耐温、耐盐和抗剪切性能</w:t>
                  </w:r>
                  <w:r>
                    <w:rPr>
                      <w:rFonts w:hint="eastAsia" w:cs="Times New Roman"/>
                      <w:color w:val="auto"/>
                      <w:szCs w:val="21"/>
                      <w:lang w:eastAsia="zh-CN"/>
                    </w:rPr>
                    <w:t>，</w:t>
                  </w:r>
                  <w:r>
                    <w:rPr>
                      <w:rFonts w:hint="default" w:ascii="Times New Roman" w:hAnsi="Times New Roman" w:cs="Times New Roman"/>
                      <w:color w:val="auto"/>
                      <w:szCs w:val="21"/>
                    </w:rPr>
                    <w:t>适用于更恶劣的井下条件</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jc w:val="center"/>
              </w:trPr>
              <w:tc>
                <w:tcPr>
                  <w:tcW w:w="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11</w:t>
                  </w:r>
                </w:p>
              </w:tc>
              <w:tc>
                <w:tcPr>
                  <w:tcW w:w="1088"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cs="Times New Roman"/>
                      <w:color w:val="auto"/>
                      <w:szCs w:val="21"/>
                    </w:rPr>
                  </w:pPr>
                  <w:r>
                    <w:rPr>
                      <w:rFonts w:hint="default" w:ascii="Times New Roman" w:hAnsi="Times New Roman" w:cs="Times New Roman"/>
                      <w:color w:val="auto"/>
                      <w:szCs w:val="21"/>
                    </w:rPr>
                    <w:t>羧甲基纤维素钠盐</w:t>
                  </w:r>
                </w:p>
              </w:tc>
              <w:tc>
                <w:tcPr>
                  <w:tcW w:w="5691"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cs="Times New Roman"/>
                      <w:color w:val="auto"/>
                      <w:szCs w:val="21"/>
                    </w:rPr>
                  </w:pPr>
                  <w:r>
                    <w:rPr>
                      <w:rFonts w:hint="default" w:ascii="Times New Roman" w:hAnsi="Times New Roman" w:cs="Times New Roman"/>
                      <w:color w:val="auto"/>
                      <w:szCs w:val="21"/>
                    </w:rPr>
                    <w:t>天然的纤维素和</w:t>
                  </w:r>
                  <w:r>
                    <w:rPr>
                      <w:rFonts w:hint="default" w:ascii="Times New Roman" w:hAnsi="Times New Roman" w:cs="Times New Roman"/>
                      <w:color w:val="auto"/>
                      <w:szCs w:val="21"/>
                    </w:rPr>
                    <w:fldChar w:fldCharType="begin"/>
                  </w:r>
                  <w:r>
                    <w:rPr>
                      <w:rFonts w:hint="default" w:ascii="Times New Roman" w:hAnsi="Times New Roman" w:cs="Times New Roman"/>
                      <w:color w:val="auto"/>
                      <w:szCs w:val="21"/>
                    </w:rPr>
                    <w:instrText xml:space="preserve"> HYPERLINK "https://baike.baidu.com/item/%E8%8B%9B%E6%80%A7%E7%A2%B1/914711?fromModule=lemma_inlink" \t "https://baike.baidu.com/item/%E7%BE%A7%E7%94%B2%E5%9F%BA%E7%BA%A4%E7%BB%B4%E7%B4%A0%E9%92%A0/_blank" </w:instrText>
                  </w:r>
                  <w:r>
                    <w:rPr>
                      <w:rFonts w:hint="default" w:ascii="Times New Roman" w:hAnsi="Times New Roman" w:cs="Times New Roman"/>
                      <w:color w:val="auto"/>
                      <w:szCs w:val="21"/>
                    </w:rPr>
                    <w:fldChar w:fldCharType="separate"/>
                  </w:r>
                  <w:r>
                    <w:rPr>
                      <w:rFonts w:hint="default" w:ascii="Times New Roman" w:hAnsi="Times New Roman" w:cs="Times New Roman"/>
                      <w:color w:val="auto"/>
                      <w:szCs w:val="21"/>
                    </w:rPr>
                    <w:t>苛性碱</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及</w:t>
                  </w:r>
                  <w:r>
                    <w:rPr>
                      <w:rFonts w:hint="default" w:ascii="Times New Roman" w:hAnsi="Times New Roman" w:cs="Times New Roman"/>
                      <w:color w:val="auto"/>
                      <w:szCs w:val="21"/>
                    </w:rPr>
                    <w:fldChar w:fldCharType="begin"/>
                  </w:r>
                  <w:r>
                    <w:rPr>
                      <w:rFonts w:hint="default" w:ascii="Times New Roman" w:hAnsi="Times New Roman" w:cs="Times New Roman"/>
                      <w:color w:val="auto"/>
                      <w:szCs w:val="21"/>
                    </w:rPr>
                    <w:instrText xml:space="preserve"> HYPERLINK "https://baike.baidu.com/item/%E4%B8%80%E6%B0%AF%E9%86%8B%E9%85%B8/2672144?fromModule=lemma_inlink" \t "https://baike.baidu.com/item/%E7%BE%A7%E7%94%B2%E5%9F%BA%E7%BA%A4%E7%BB%B4%E7%B4%A0%E9%92%A0/_blank" </w:instrText>
                  </w:r>
                  <w:r>
                    <w:rPr>
                      <w:rFonts w:hint="default" w:ascii="Times New Roman" w:hAnsi="Times New Roman" w:cs="Times New Roman"/>
                      <w:color w:val="auto"/>
                      <w:szCs w:val="21"/>
                    </w:rPr>
                    <w:fldChar w:fldCharType="separate"/>
                  </w:r>
                  <w:r>
                    <w:rPr>
                      <w:rFonts w:hint="default" w:ascii="Times New Roman" w:hAnsi="Times New Roman" w:cs="Times New Roman"/>
                      <w:color w:val="auto"/>
                      <w:szCs w:val="21"/>
                    </w:rPr>
                    <w:t>一氯醋酸</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反应后而制得的一种阴离子型</w:t>
                  </w:r>
                  <w:r>
                    <w:rPr>
                      <w:rFonts w:hint="default" w:ascii="Times New Roman" w:hAnsi="Times New Roman" w:cs="Times New Roman"/>
                      <w:color w:val="auto"/>
                      <w:szCs w:val="21"/>
                    </w:rPr>
                    <w:fldChar w:fldCharType="begin"/>
                  </w:r>
                  <w:r>
                    <w:rPr>
                      <w:rFonts w:hint="default" w:ascii="Times New Roman" w:hAnsi="Times New Roman" w:cs="Times New Roman"/>
                      <w:color w:val="auto"/>
                      <w:szCs w:val="21"/>
                    </w:rPr>
                    <w:instrText xml:space="preserve"> HYPERLINK "https://baike.baidu.com/item/%E9%AB%98%E5%88%86%E5%AD%90%E5%8C%96%E5%90%88%E7%89%A9/273389?fromModule=lemma_inlink" \t "https://baike.baidu.com/item/%E7%BE%A7%E7%94%B2%E5%9F%BA%E7%BA%A4%E7%BB%B4%E7%B4%A0%E9%92%A0/_blank" </w:instrText>
                  </w:r>
                  <w:r>
                    <w:rPr>
                      <w:rFonts w:hint="default" w:ascii="Times New Roman" w:hAnsi="Times New Roman" w:cs="Times New Roman"/>
                      <w:color w:val="auto"/>
                      <w:szCs w:val="21"/>
                    </w:rPr>
                    <w:fldChar w:fldCharType="separate"/>
                  </w:r>
                  <w:r>
                    <w:rPr>
                      <w:rFonts w:hint="default" w:ascii="Times New Roman" w:hAnsi="Times New Roman" w:cs="Times New Roman"/>
                      <w:color w:val="auto"/>
                      <w:szCs w:val="21"/>
                    </w:rPr>
                    <w:t>高分子化合物</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，分子量由几千到百万。CMC-Na为白色纤维状或颗粒状粉末，</w:t>
                  </w:r>
                  <w:r>
                    <w:rPr>
                      <w:rFonts w:hint="default" w:ascii="Times New Roman" w:hAnsi="Times New Roman" w:cs="Times New Roman"/>
                      <w:color w:val="auto"/>
                      <w:szCs w:val="21"/>
                    </w:rPr>
                    <w:fldChar w:fldCharType="begin"/>
                  </w:r>
                  <w:r>
                    <w:rPr>
                      <w:rFonts w:hint="default" w:ascii="Times New Roman" w:hAnsi="Times New Roman" w:cs="Times New Roman"/>
                      <w:color w:val="auto"/>
                      <w:szCs w:val="21"/>
                    </w:rPr>
                    <w:instrText xml:space="preserve"> HYPERLINK "https://baike.baidu.com/item/%E6%97%A0%E8%87%AD/56321378?fromModule=lemma_inlink" \t "https://baike.baidu.com/item/%E7%BE%A7%E7%94%B2%E5%9F%BA%E7%BA%A4%E7%BB%B4%E7%B4%A0%E9%92%A0/_blank" </w:instrText>
                  </w:r>
                  <w:r>
                    <w:rPr>
                      <w:rFonts w:hint="default" w:ascii="Times New Roman" w:hAnsi="Times New Roman" w:cs="Times New Roman"/>
                      <w:color w:val="auto"/>
                      <w:szCs w:val="21"/>
                    </w:rPr>
                    <w:fldChar w:fldCharType="separate"/>
                  </w:r>
                  <w:r>
                    <w:rPr>
                      <w:rFonts w:hint="default" w:ascii="Times New Roman" w:hAnsi="Times New Roman" w:cs="Times New Roman"/>
                      <w:color w:val="auto"/>
                      <w:szCs w:val="21"/>
                    </w:rPr>
                    <w:t>无臭</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、无味、有</w:t>
                  </w:r>
                  <w:r>
                    <w:rPr>
                      <w:rFonts w:hint="default" w:ascii="Times New Roman" w:hAnsi="Times New Roman" w:cs="Times New Roman"/>
                      <w:color w:val="auto"/>
                      <w:szCs w:val="21"/>
                    </w:rPr>
                    <w:fldChar w:fldCharType="begin"/>
                  </w:r>
                  <w:r>
                    <w:rPr>
                      <w:rFonts w:hint="default" w:ascii="Times New Roman" w:hAnsi="Times New Roman" w:cs="Times New Roman"/>
                      <w:color w:val="auto"/>
                      <w:szCs w:val="21"/>
                    </w:rPr>
                    <w:instrText xml:space="preserve"> HYPERLINK "https://baike.baidu.com/item/%E5%90%B8%E6%B9%BF%E6%80%A7/10930709?fromModule=lemma_inlink" \t "https://baike.baidu.com/item/%E7%BE%A7%E7%94%B2%E5%9F%BA%E7%BA%A4%E7%BB%B4%E7%B4%A0%E9%92%A0/_blank" </w:instrText>
                  </w:r>
                  <w:r>
                    <w:rPr>
                      <w:rFonts w:hint="default" w:ascii="Times New Roman" w:hAnsi="Times New Roman" w:cs="Times New Roman"/>
                      <w:color w:val="auto"/>
                      <w:szCs w:val="21"/>
                    </w:rPr>
                    <w:fldChar w:fldCharType="separate"/>
                  </w:r>
                  <w:r>
                    <w:rPr>
                      <w:rFonts w:hint="default" w:ascii="Times New Roman" w:hAnsi="Times New Roman" w:cs="Times New Roman"/>
                      <w:color w:val="auto"/>
                      <w:szCs w:val="21"/>
                    </w:rPr>
                    <w:t>吸湿性</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，易于分散在水中形成透明的</w:t>
                  </w:r>
                  <w:r>
                    <w:rPr>
                      <w:rFonts w:hint="default" w:ascii="Times New Roman" w:hAnsi="Times New Roman" w:cs="Times New Roman"/>
                      <w:color w:val="auto"/>
                      <w:szCs w:val="21"/>
                    </w:rPr>
                    <w:fldChar w:fldCharType="begin"/>
                  </w:r>
                  <w:r>
                    <w:rPr>
                      <w:rFonts w:hint="default" w:ascii="Times New Roman" w:hAnsi="Times New Roman" w:cs="Times New Roman"/>
                      <w:color w:val="auto"/>
                      <w:szCs w:val="21"/>
                    </w:rPr>
                    <w:instrText xml:space="preserve"> HYPERLINK "https://baike.baidu.com/item/%E8%83%B6%E4%BD%93%E6%BA%B6%E6%B6%B2/8073934?fromModule=lemma_inlink" \t "https://baike.baidu.com/item/%E7%BE%A7%E7%94%B2%E5%9F%BA%E7%BA%A4%E7%BB%B4%E7%B4%A0%E9%92%A0/_blank" </w:instrText>
                  </w:r>
                  <w:r>
                    <w:rPr>
                      <w:rFonts w:hint="default" w:ascii="Times New Roman" w:hAnsi="Times New Roman" w:cs="Times New Roman"/>
                      <w:color w:val="auto"/>
                      <w:szCs w:val="21"/>
                    </w:rPr>
                    <w:fldChar w:fldCharType="separate"/>
                  </w:r>
                  <w:r>
                    <w:rPr>
                      <w:rFonts w:hint="default" w:ascii="Times New Roman" w:hAnsi="Times New Roman" w:cs="Times New Roman"/>
                      <w:color w:val="auto"/>
                      <w:szCs w:val="21"/>
                    </w:rPr>
                    <w:t>胶体溶液</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jc w:val="center"/>
              </w:trPr>
              <w:tc>
                <w:tcPr>
                  <w:tcW w:w="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12</w:t>
                  </w:r>
                </w:p>
              </w:tc>
              <w:tc>
                <w:tcPr>
                  <w:tcW w:w="1088"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cs="Times New Roman"/>
                      <w:color w:val="auto"/>
                      <w:szCs w:val="21"/>
                    </w:rPr>
                  </w:pPr>
                  <w:r>
                    <w:rPr>
                      <w:rFonts w:hint="default" w:ascii="Times New Roman" w:hAnsi="Times New Roman" w:cs="Times New Roman"/>
                      <w:color w:val="auto"/>
                      <w:szCs w:val="21"/>
                    </w:rPr>
                    <w:t>水解聚丙烯腈-铵盐</w:t>
                  </w:r>
                </w:p>
              </w:tc>
              <w:tc>
                <w:tcPr>
                  <w:tcW w:w="5691"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cs="Times New Roman"/>
                      <w:color w:val="auto"/>
                      <w:szCs w:val="21"/>
                    </w:rPr>
                  </w:pPr>
                  <w:r>
                    <w:rPr>
                      <w:rFonts w:hint="default" w:ascii="Times New Roman" w:hAnsi="Times New Roman" w:cs="Times New Roman"/>
                      <w:color w:val="auto"/>
                      <w:szCs w:val="21"/>
                    </w:rPr>
                    <w:t>由腈纶丝高温高压下水解制得，为淡黄色粉末。含有——COOH、COONH4、CONH2、CN等基团构成，具有一定的抗温和抗盐能力。并且具有耐光、耐腐蚀的功能，由于NH4+在页岩中的镶嵌作用，具有一定的防塌效果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jc w:val="center"/>
              </w:trPr>
              <w:tc>
                <w:tcPr>
                  <w:tcW w:w="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13</w:t>
                  </w:r>
                </w:p>
              </w:tc>
              <w:tc>
                <w:tcPr>
                  <w:tcW w:w="1088"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cs="Times New Roman"/>
                      <w:color w:val="auto"/>
                      <w:szCs w:val="21"/>
                    </w:rPr>
                  </w:pPr>
                  <w:r>
                    <w:rPr>
                      <w:rFonts w:hint="default" w:ascii="Times New Roman" w:hAnsi="Times New Roman" w:cs="Times New Roman"/>
                      <w:color w:val="auto"/>
                      <w:szCs w:val="21"/>
                    </w:rPr>
                    <w:t>碳酸钙</w:t>
                  </w:r>
                </w:p>
              </w:tc>
              <w:tc>
                <w:tcPr>
                  <w:tcW w:w="5691"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eastAsia" w:ascii="Times New Roman" w:hAnsi="Times New Roman" w:eastAsia="宋体" w:cs="Times New Roman"/>
                      <w:color w:val="auto"/>
                      <w:szCs w:val="21"/>
                      <w:lang w:eastAsia="zh-CN"/>
                    </w:rPr>
                  </w:pPr>
                  <w:r>
                    <w:rPr>
                      <w:rFonts w:hint="default" w:ascii="Times New Roman" w:hAnsi="Times New Roman" w:cs="Times New Roman"/>
                      <w:color w:val="auto"/>
                      <w:szCs w:val="21"/>
                    </w:rPr>
                    <w:t>通常为白色晶体，无味，基本上不溶于水，易与酸反应放出二氧化</w:t>
                  </w:r>
                  <w:r>
                    <w:rPr>
                      <w:rFonts w:hint="eastAsia" w:cs="Times New Roman"/>
                      <w:color w:val="auto"/>
                      <w:szCs w:val="21"/>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 w:type="dxa"/>
                  <w:bottom w:w="0" w:type="dxa"/>
                  <w:right w:w="6" w:type="dxa"/>
                </w:tblCellMar>
              </w:tblPrEx>
              <w:trPr>
                <w:trHeight w:val="397" w:hRule="atLeast"/>
                <w:jc w:val="center"/>
              </w:trPr>
              <w:tc>
                <w:tcPr>
                  <w:tcW w:w="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14</w:t>
                  </w:r>
                </w:p>
              </w:tc>
              <w:tc>
                <w:tcPr>
                  <w:tcW w:w="108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重晶石粉BaSO</w:t>
                  </w:r>
                  <w:r>
                    <w:rPr>
                      <w:rFonts w:hint="default" w:ascii="Times New Roman" w:hAnsi="Times New Roman" w:cs="Times New Roman"/>
                      <w:color w:val="auto"/>
                      <w:szCs w:val="21"/>
                      <w:vertAlign w:val="subscript"/>
                    </w:rPr>
                    <w:t>4</w:t>
                  </w:r>
                </w:p>
              </w:tc>
              <w:tc>
                <w:tcPr>
                  <w:tcW w:w="569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BaSO</w:t>
                  </w:r>
                  <w:r>
                    <w:rPr>
                      <w:rFonts w:hint="default" w:ascii="Times New Roman" w:hAnsi="Times New Roman" w:cs="Times New Roman"/>
                      <w:color w:val="auto"/>
                      <w:szCs w:val="21"/>
                      <w:vertAlign w:val="subscript"/>
                    </w:rPr>
                    <w:t>4</w:t>
                  </w:r>
                  <w:r>
                    <w:rPr>
                      <w:rFonts w:hint="default" w:ascii="Times New Roman" w:hAnsi="Times New Roman" w:cs="Times New Roman"/>
                      <w:color w:val="auto"/>
                      <w:szCs w:val="21"/>
                    </w:rPr>
                    <w:t>，石油钻探 油气井旋转钻探中的环流泥浆加重剂冷却钻头，带走切削下来的碎屑物，润滑钻杆，封闭孔壁，控制油气压力，防止油井自喷。</w:t>
                  </w:r>
                </w:p>
              </w:tc>
            </w:tr>
          </w:tbl>
          <w:p>
            <w:pPr>
              <w:keepNext w:val="0"/>
              <w:keepLines w:val="0"/>
              <w:suppressLineNumbers w:val="0"/>
              <w:spacing w:before="0" w:beforeAutospacing="0" w:after="0" w:afterAutospacing="0" w:line="360" w:lineRule="auto"/>
              <w:ind w:left="0" w:right="0"/>
              <w:jc w:val="left"/>
              <w:rPr>
                <w:rFonts w:hint="default" w:ascii="Times New Roman" w:hAnsi="Times New Roman" w:cs="Times New Roman"/>
                <w:b/>
                <w:color w:val="auto"/>
                <w:sz w:val="24"/>
              </w:rPr>
            </w:pPr>
            <w:r>
              <w:rPr>
                <w:rFonts w:hint="default" w:ascii="Times New Roman" w:hAnsi="Times New Roman" w:cs="Times New Roman"/>
                <w:b/>
                <w:color w:val="auto"/>
                <w:sz w:val="24"/>
              </w:rPr>
              <w:t>2.7公用工程</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bookmarkStart w:id="14" w:name="_Hlk86168349"/>
            <w:bookmarkStart w:id="15" w:name="_Hlk80691261"/>
            <w:r>
              <w:rPr>
                <w:rFonts w:hint="default" w:ascii="Times New Roman" w:hAnsi="Times New Roman" w:cs="Times New Roman"/>
                <w:bCs/>
                <w:color w:val="auto"/>
                <w:sz w:val="24"/>
              </w:rPr>
              <w:t>（1）供电</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本项目钻井</w:t>
            </w:r>
            <w:r>
              <w:rPr>
                <w:rFonts w:hint="eastAsia" w:cs="Times New Roman"/>
                <w:bCs/>
                <w:color w:val="auto"/>
                <w:sz w:val="24"/>
                <w:lang w:val="en-US" w:eastAsia="zh-CN"/>
              </w:rPr>
              <w:t>优先</w:t>
            </w:r>
            <w:r>
              <w:rPr>
                <w:rFonts w:hint="default" w:ascii="Times New Roman" w:hAnsi="Times New Roman" w:cs="Times New Roman"/>
                <w:bCs/>
                <w:color w:val="auto"/>
                <w:sz w:val="24"/>
              </w:rPr>
              <w:t>采用网电钻井，备用柴油发电机发电，井场内配置3台柴油电动机组，2用1备，功率为810KW，柴油电动机组设置在发电机房内。</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（2）给水工程</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本项目用水包括作业用水和生活用水，生活用水从附近场镇购买，作业用水取自井场附近的河流，然后通过罐车拉运至井场；本评价建议建设单位或施工单位在项目施工前办理相关取水许可</w:t>
            </w:r>
            <w:r>
              <w:rPr>
                <w:rFonts w:hint="default" w:ascii="Times New Roman" w:hAnsi="Times New Roman" w:cs="Times New Roman"/>
                <w:color w:val="auto"/>
                <w:sz w:val="24"/>
                <w:lang w:eastAsia="zh-CN"/>
              </w:rPr>
              <w:t>，</w:t>
            </w:r>
            <w:r>
              <w:rPr>
                <w:rFonts w:hint="default" w:ascii="Times New Roman" w:hAnsi="Times New Roman" w:cs="Times New Roman"/>
                <w:color w:val="auto"/>
                <w:sz w:val="24"/>
                <w:lang w:val="en-US" w:eastAsia="zh-CN"/>
              </w:rPr>
              <w:t>并节约用水</w:t>
            </w:r>
            <w:r>
              <w:rPr>
                <w:rFonts w:hint="default" w:ascii="Times New Roman" w:hAnsi="Times New Roman" w:cs="Times New Roman"/>
                <w:color w:val="auto"/>
                <w:sz w:val="24"/>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（3）排水工程</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井场采用清污分流、雨污分流制。</w:t>
            </w:r>
          </w:p>
          <w:p>
            <w:pPr>
              <w:keepNext w:val="0"/>
              <w:keepLines w:val="0"/>
              <w:suppressLineNumbers w:val="0"/>
              <w:spacing w:before="0" w:beforeAutospacing="0" w:after="0" w:afterAutospacing="0" w:line="360" w:lineRule="auto"/>
              <w:ind w:left="0" w:right="0" w:firstLine="480" w:firstLineChars="200"/>
              <w:rPr>
                <w:rFonts w:hint="eastAsia" w:ascii="Times New Roman" w:hAnsi="Times New Roman" w:eastAsia="宋体" w:cs="Times New Roman"/>
                <w:color w:val="auto"/>
                <w:sz w:val="24"/>
                <w:lang w:eastAsia="zh-CN"/>
              </w:rPr>
            </w:pPr>
            <w:bookmarkStart w:id="16" w:name="_Hlk69130998"/>
            <w:r>
              <w:rPr>
                <w:rFonts w:hint="default" w:ascii="Times New Roman" w:hAnsi="Times New Roman" w:cs="Times New Roman"/>
                <w:color w:val="auto"/>
                <w:sz w:val="24"/>
              </w:rPr>
              <w:t>新建场外排水沟380m，规格为700mm宽×500mm深，场外雨水通过场外排水沟排入自然水系。新建1.5m宽坡顶截水沟1</w:t>
            </w:r>
            <w:r>
              <w:rPr>
                <w:rFonts w:hint="default" w:ascii="Times New Roman" w:hAnsi="Times New Roman" w:cs="Times New Roman"/>
                <w:color w:val="auto"/>
                <w:sz w:val="24"/>
                <w:lang w:val="en-US" w:eastAsia="zh-CN"/>
              </w:rPr>
              <w:t>6</w:t>
            </w:r>
            <w:r>
              <w:rPr>
                <w:rFonts w:hint="default" w:ascii="Times New Roman" w:hAnsi="Times New Roman" w:cs="Times New Roman"/>
                <w:color w:val="auto"/>
                <w:sz w:val="24"/>
              </w:rPr>
              <w:t>0m，放坡坡度i=0.2%</w:t>
            </w:r>
            <w:r>
              <w:rPr>
                <w:rFonts w:hint="eastAsia" w:cs="Times New Roman"/>
                <w:color w:val="auto"/>
                <w:sz w:val="24"/>
                <w:lang w:eastAsia="zh-CN"/>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kern w:val="0"/>
                <w:szCs w:val="21"/>
              </w:rPr>
            </w:pPr>
            <w:r>
              <w:rPr>
                <w:rFonts w:hint="default" w:ascii="Times New Roman" w:hAnsi="Times New Roman" w:cs="Times New Roman"/>
                <w:color w:val="auto"/>
                <w:sz w:val="24"/>
              </w:rPr>
              <w:t>场内排污沟规格为350mm宽×200mm深，总长3</w:t>
            </w:r>
            <w:r>
              <w:rPr>
                <w:rFonts w:hint="eastAsia" w:cs="Times New Roman"/>
                <w:color w:val="auto"/>
                <w:sz w:val="24"/>
                <w:lang w:val="en-US" w:eastAsia="zh-CN"/>
              </w:rPr>
              <w:t>90</w:t>
            </w:r>
            <w:r>
              <w:rPr>
                <w:rFonts w:hint="default" w:ascii="Times New Roman" w:hAnsi="Times New Roman" w:cs="Times New Roman"/>
                <w:color w:val="auto"/>
                <w:sz w:val="24"/>
              </w:rPr>
              <w:t>m环状排污沟，放坡坡度i=0.5%。场内排水沟及环境监测池，实现井场范围内清水与污水分流。井场内产污区和泥浆不落地平台设置挡水墙与井场清洁区分隔，产污区的废水经污水截流沟进入环境监测池，通过集水坑泵入泥浆不落地平台处理回用。井场清洁区雨水通过排水沟和环境监测池通过集水坑泵入泥浆不落地平台处理回用。生活污水经生态一体化厕所收集后由吸污车拉运至</w:t>
            </w:r>
            <w:r>
              <w:rPr>
                <w:rFonts w:hint="eastAsia" w:cs="Times New Roman"/>
                <w:color w:val="auto"/>
                <w:sz w:val="24"/>
                <w:lang w:eastAsia="zh-CN"/>
              </w:rPr>
              <w:t>普光镇</w:t>
            </w:r>
            <w:r>
              <w:rPr>
                <w:rFonts w:hint="default" w:ascii="Times New Roman" w:hAnsi="Times New Roman" w:cs="Times New Roman"/>
                <w:color w:val="auto"/>
                <w:sz w:val="24"/>
              </w:rPr>
              <w:t>污水处理厂处理后排放。厨房废水经隔油池处理后同生活污水处置。</w:t>
            </w:r>
            <w:bookmarkEnd w:id="14"/>
            <w:bookmarkEnd w:id="15"/>
            <w:bookmarkEnd w:id="16"/>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1124"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总平面及现场布置</w:t>
            </w:r>
          </w:p>
        </w:tc>
        <w:tc>
          <w:tcPr>
            <w:tcW w:w="8098" w:type="dxa"/>
            <w:vAlign w:val="center"/>
          </w:tcPr>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2.8工程占地与土石方平衡</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（1）工程占地情况</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kern w:val="0"/>
                <w:lang w:bidi="ar"/>
              </w:rPr>
            </w:pPr>
            <w:r>
              <w:rPr>
                <w:rFonts w:hint="eastAsia" w:ascii="Times New Roman" w:hAnsi="Times New Roman" w:cs="Times New Roman"/>
                <w:color w:val="auto"/>
                <w:kern w:val="0"/>
                <w:lang w:eastAsia="zh-CN" w:bidi="ar"/>
              </w:rPr>
              <w:t>普陆12HF井</w:t>
            </w:r>
            <w:r>
              <w:rPr>
                <w:rFonts w:hint="default" w:ascii="Times New Roman" w:hAnsi="Times New Roman" w:cs="Times New Roman"/>
                <w:color w:val="auto"/>
                <w:kern w:val="0"/>
                <w:lang w:bidi="ar"/>
              </w:rPr>
              <w:t>新增临时占地</w:t>
            </w:r>
            <w:r>
              <w:rPr>
                <w:rFonts w:hint="eastAsia" w:cs="Times New Roman"/>
                <w:color w:val="auto"/>
                <w:kern w:val="0"/>
                <w:lang w:eastAsia="zh-CN" w:bidi="ar"/>
              </w:rPr>
              <w:t>22420</w:t>
            </w:r>
            <w:r>
              <w:rPr>
                <w:rFonts w:hint="default" w:ascii="Times New Roman" w:hAnsi="Times New Roman" w:cs="Times New Roman"/>
                <w:color w:val="auto"/>
                <w:kern w:val="0"/>
                <w:lang w:bidi="ar"/>
              </w:rPr>
              <w:t>m</w:t>
            </w:r>
            <w:r>
              <w:rPr>
                <w:rFonts w:hint="default" w:ascii="Times New Roman" w:hAnsi="Times New Roman" w:cs="Times New Roman"/>
                <w:color w:val="auto"/>
                <w:kern w:val="0"/>
                <w:vertAlign w:val="superscript"/>
                <w:lang w:bidi="ar"/>
              </w:rPr>
              <w:t>2</w:t>
            </w:r>
            <w:r>
              <w:rPr>
                <w:rFonts w:hint="default" w:ascii="Times New Roman" w:hAnsi="Times New Roman" w:cs="Times New Roman"/>
                <w:color w:val="auto"/>
                <w:kern w:val="0"/>
                <w:lang w:bidi="ar"/>
              </w:rPr>
              <w:t>。施工期间用地均为临时用地。经核实项目占地</w:t>
            </w:r>
            <w:r>
              <w:rPr>
                <w:rFonts w:hint="eastAsia" w:ascii="Times New Roman" w:hAnsi="Times New Roman" w:cs="Times New Roman"/>
                <w:color w:val="auto"/>
                <w:kern w:val="0"/>
                <w:lang w:val="en-US" w:eastAsia="zh-CN" w:bidi="ar"/>
              </w:rPr>
              <w:t>不</w:t>
            </w:r>
            <w:r>
              <w:rPr>
                <w:rFonts w:hint="default" w:ascii="Times New Roman" w:hAnsi="Times New Roman" w:cs="Times New Roman"/>
                <w:color w:val="auto"/>
                <w:kern w:val="0"/>
                <w:lang w:bidi="ar"/>
              </w:rPr>
              <w:t>占用永久基本农田，以旱地、水田为主，不占用自然保护区、天然林地等。旱地内主要种植着季节性蔬菜等农作物，建设单位根据占地面积对当地农户进行赔偿。项目占地情况详见下表。</w:t>
            </w:r>
          </w:p>
          <w:p>
            <w:pPr>
              <w:pStyle w:val="19"/>
              <w:keepNext w:val="0"/>
              <w:keepLines w:val="0"/>
              <w:numPr>
                <w:ilvl w:val="0"/>
                <w:numId w:val="6"/>
              </w:numPr>
              <w:suppressLineNumbers w:val="0"/>
              <w:tabs>
                <w:tab w:val="left" w:pos="0"/>
                <w:tab w:val="left" w:pos="833"/>
              </w:tabs>
              <w:spacing w:before="0" w:beforeAutospacing="0" w:after="0" w:afterAutospacing="0" w:line="360" w:lineRule="auto"/>
              <w:ind w:left="0" w:right="0" w:firstLine="0"/>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本工程占地类型一览表     单位：m</w:t>
            </w:r>
            <w:r>
              <w:rPr>
                <w:rFonts w:hint="default" w:ascii="Times New Roman" w:hAnsi="Times New Roman" w:cs="Times New Roman"/>
                <w:b/>
                <w:bCs/>
                <w:color w:val="auto"/>
                <w:sz w:val="21"/>
                <w:szCs w:val="21"/>
                <w:vertAlign w:val="superscript"/>
              </w:rPr>
              <w:t>2</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43"/>
              <w:gridCol w:w="1057"/>
              <w:gridCol w:w="1097"/>
              <w:gridCol w:w="1090"/>
              <w:gridCol w:w="1090"/>
              <w:gridCol w:w="1092"/>
              <w:gridCol w:w="109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943"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项目组成</w:t>
                  </w:r>
                </w:p>
              </w:tc>
              <w:tc>
                <w:tcPr>
                  <w:tcW w:w="4334" w:type="dxa"/>
                  <w:gridSpan w:val="4"/>
                  <w:tcBorders>
                    <w:tl2br w:val="nil"/>
                    <w:tr2bl w:val="nil"/>
                  </w:tcBorders>
                  <w:vAlign w:val="center"/>
                </w:tcPr>
                <w:p>
                  <w:pPr>
                    <w:keepNext w:val="0"/>
                    <w:keepLines w:val="0"/>
                    <w:suppressLineNumbers w:val="0"/>
                    <w:spacing w:before="0" w:beforeAutospacing="0" w:after="0" w:afterAutospacing="0"/>
                    <w:ind w:left="0" w:right="0"/>
                    <w:jc w:val="center"/>
                    <w:rPr>
                      <w:rFonts w:hint="eastAsia" w:cs="Times New Roman"/>
                      <w:color w:val="auto"/>
                      <w:szCs w:val="21"/>
                      <w:lang w:val="en-US" w:eastAsia="zh-CN"/>
                    </w:rPr>
                  </w:pPr>
                  <w:r>
                    <w:rPr>
                      <w:rFonts w:hint="eastAsia" w:cs="Times New Roman"/>
                      <w:color w:val="auto"/>
                      <w:szCs w:val="21"/>
                      <w:lang w:val="en-US" w:eastAsia="zh-CN"/>
                    </w:rPr>
                    <w:t>占地类型</w:t>
                  </w:r>
                </w:p>
              </w:tc>
              <w:tc>
                <w:tcPr>
                  <w:tcW w:w="1092"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合计</w:t>
                  </w:r>
                </w:p>
              </w:tc>
              <w:tc>
                <w:tcPr>
                  <w:tcW w:w="1092"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占地性质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94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057"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zCs w:val="21"/>
                      <w:lang w:val="en-US" w:eastAsia="zh-CN"/>
                    </w:rPr>
                  </w:pPr>
                  <w:r>
                    <w:rPr>
                      <w:rFonts w:hint="eastAsia" w:cs="Times New Roman"/>
                      <w:color w:val="auto"/>
                      <w:szCs w:val="21"/>
                      <w:lang w:val="en-US" w:eastAsia="zh-CN"/>
                    </w:rPr>
                    <w:t>林地</w:t>
                  </w:r>
                </w:p>
              </w:tc>
              <w:tc>
                <w:tcPr>
                  <w:tcW w:w="10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耕地</w:t>
                  </w:r>
                </w:p>
              </w:tc>
              <w:tc>
                <w:tcPr>
                  <w:tcW w:w="109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草地</w:t>
                  </w:r>
                </w:p>
              </w:tc>
              <w:tc>
                <w:tcPr>
                  <w:tcW w:w="109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其他用地</w:t>
                  </w:r>
                </w:p>
              </w:tc>
              <w:tc>
                <w:tcPr>
                  <w:tcW w:w="109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eastAsia" w:cs="Times New Roman"/>
                      <w:color w:val="auto"/>
                      <w:szCs w:val="21"/>
                      <w:lang w:val="en-US" w:eastAsia="zh-CN"/>
                    </w:rPr>
                  </w:pPr>
                </w:p>
              </w:tc>
              <w:tc>
                <w:tcPr>
                  <w:tcW w:w="109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94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井场工程</w:t>
                  </w:r>
                </w:p>
              </w:tc>
              <w:tc>
                <w:tcPr>
                  <w:tcW w:w="105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1238</w:t>
                  </w:r>
                </w:p>
              </w:tc>
              <w:tc>
                <w:tcPr>
                  <w:tcW w:w="10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5095.4</w:t>
                  </w:r>
                </w:p>
              </w:tc>
              <w:tc>
                <w:tcPr>
                  <w:tcW w:w="109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w:t>
                  </w:r>
                </w:p>
              </w:tc>
              <w:tc>
                <w:tcPr>
                  <w:tcW w:w="109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w:t>
                  </w:r>
                </w:p>
              </w:tc>
              <w:tc>
                <w:tcPr>
                  <w:tcW w:w="109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6333.4</w:t>
                  </w:r>
                </w:p>
              </w:tc>
              <w:tc>
                <w:tcPr>
                  <w:tcW w:w="109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临时占地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94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清水池</w:t>
                  </w:r>
                </w:p>
              </w:tc>
              <w:tc>
                <w:tcPr>
                  <w:tcW w:w="105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18</w:t>
                  </w:r>
                </w:p>
              </w:tc>
              <w:tc>
                <w:tcPr>
                  <w:tcW w:w="10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882</w:t>
                  </w:r>
                </w:p>
              </w:tc>
              <w:tc>
                <w:tcPr>
                  <w:tcW w:w="1090"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zCs w:val="21"/>
                      <w:lang w:val="en-US" w:eastAsia="zh-CN"/>
                    </w:rPr>
                  </w:pPr>
                  <w:r>
                    <w:rPr>
                      <w:rFonts w:hint="eastAsia" w:cs="Times New Roman"/>
                      <w:color w:val="auto"/>
                      <w:szCs w:val="21"/>
                      <w:lang w:val="en-US" w:eastAsia="zh-CN"/>
                    </w:rPr>
                    <w:t>/</w:t>
                  </w:r>
                </w:p>
              </w:tc>
              <w:tc>
                <w:tcPr>
                  <w:tcW w:w="1090"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zCs w:val="21"/>
                      <w:lang w:val="en-US" w:eastAsia="zh-CN"/>
                    </w:rPr>
                  </w:pPr>
                  <w:r>
                    <w:rPr>
                      <w:rFonts w:hint="eastAsia" w:cs="Times New Roman"/>
                      <w:color w:val="auto"/>
                      <w:szCs w:val="21"/>
                      <w:lang w:val="en-US" w:eastAsia="zh-CN"/>
                    </w:rPr>
                    <w:t>/</w:t>
                  </w:r>
                </w:p>
              </w:tc>
              <w:tc>
                <w:tcPr>
                  <w:tcW w:w="109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900</w:t>
                  </w:r>
                </w:p>
              </w:tc>
              <w:tc>
                <w:tcPr>
                  <w:tcW w:w="109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eastAsia" w:cs="Times New Roman"/>
                      <w:color w:val="auto"/>
                      <w:szCs w:val="21"/>
                      <w:lang w:val="en-US" w:eastAsia="zh-CN"/>
                    </w:rPr>
                    <w:t>临时占地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94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放喷池</w:t>
                  </w:r>
                </w:p>
              </w:tc>
              <w:tc>
                <w:tcPr>
                  <w:tcW w:w="105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582</w:t>
                  </w:r>
                </w:p>
              </w:tc>
              <w:tc>
                <w:tcPr>
                  <w:tcW w:w="10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val="en-US"/>
                    </w:rPr>
                  </w:pPr>
                  <w:r>
                    <w:rPr>
                      <w:rFonts w:hint="eastAsia" w:cs="Times New Roman"/>
                      <w:color w:val="auto"/>
                      <w:szCs w:val="21"/>
                      <w:lang w:val="en-US" w:eastAsia="zh-CN"/>
                    </w:rPr>
                    <w:t>18</w:t>
                  </w:r>
                </w:p>
              </w:tc>
              <w:tc>
                <w:tcPr>
                  <w:tcW w:w="109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w:t>
                  </w:r>
                </w:p>
              </w:tc>
              <w:tc>
                <w:tcPr>
                  <w:tcW w:w="109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w:t>
                  </w:r>
                </w:p>
              </w:tc>
              <w:tc>
                <w:tcPr>
                  <w:tcW w:w="109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600</w:t>
                  </w:r>
                </w:p>
              </w:tc>
              <w:tc>
                <w:tcPr>
                  <w:tcW w:w="109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eastAsia" w:cs="Times New Roman"/>
                      <w:color w:val="auto"/>
                      <w:szCs w:val="21"/>
                      <w:lang w:val="en-US" w:eastAsia="zh-CN"/>
                    </w:rPr>
                    <w:t>临时占地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94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生活区</w:t>
                  </w:r>
                </w:p>
              </w:tc>
              <w:tc>
                <w:tcPr>
                  <w:tcW w:w="105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w:t>
                  </w:r>
                </w:p>
              </w:tc>
              <w:tc>
                <w:tcPr>
                  <w:tcW w:w="10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val="en-US"/>
                    </w:rPr>
                  </w:pPr>
                  <w:r>
                    <w:rPr>
                      <w:rFonts w:hint="eastAsia" w:cs="Times New Roman"/>
                      <w:color w:val="auto"/>
                      <w:szCs w:val="21"/>
                      <w:lang w:val="en-US" w:eastAsia="zh-CN"/>
                    </w:rPr>
                    <w:t>1100</w:t>
                  </w:r>
                </w:p>
              </w:tc>
              <w:tc>
                <w:tcPr>
                  <w:tcW w:w="1090"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cs="Times New Roman"/>
                      <w:color w:val="auto"/>
                      <w:szCs w:val="21"/>
                      <w:lang w:val="en-US" w:eastAsia="zh-CN"/>
                    </w:rPr>
                  </w:pPr>
                  <w:r>
                    <w:rPr>
                      <w:rFonts w:hint="eastAsia" w:cs="Times New Roman"/>
                      <w:color w:val="auto"/>
                      <w:szCs w:val="21"/>
                      <w:lang w:val="en-US" w:eastAsia="zh-CN"/>
                    </w:rPr>
                    <w:t>/</w:t>
                  </w:r>
                </w:p>
              </w:tc>
              <w:tc>
                <w:tcPr>
                  <w:tcW w:w="109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300</w:t>
                  </w:r>
                </w:p>
              </w:tc>
              <w:tc>
                <w:tcPr>
                  <w:tcW w:w="109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1400</w:t>
                  </w:r>
                </w:p>
              </w:tc>
              <w:tc>
                <w:tcPr>
                  <w:tcW w:w="109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eastAsia" w:cs="Times New Roman"/>
                      <w:color w:val="auto"/>
                      <w:szCs w:val="21"/>
                      <w:lang w:val="en-US" w:eastAsia="zh-CN"/>
                    </w:rPr>
                    <w:t>临时占地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94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道路工程</w:t>
                  </w:r>
                </w:p>
              </w:tc>
              <w:tc>
                <w:tcPr>
                  <w:tcW w:w="105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189</w:t>
                  </w:r>
                </w:p>
              </w:tc>
              <w:tc>
                <w:tcPr>
                  <w:tcW w:w="10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2491</w:t>
                  </w:r>
                </w:p>
              </w:tc>
              <w:tc>
                <w:tcPr>
                  <w:tcW w:w="109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w:t>
                  </w:r>
                </w:p>
              </w:tc>
              <w:tc>
                <w:tcPr>
                  <w:tcW w:w="109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1120</w:t>
                  </w:r>
                </w:p>
              </w:tc>
              <w:tc>
                <w:tcPr>
                  <w:tcW w:w="109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cs="Times New Roman"/>
                      <w:color w:val="auto"/>
                      <w:szCs w:val="21"/>
                      <w:lang w:val="en-US" w:eastAsia="zh-CN"/>
                    </w:rPr>
                  </w:pPr>
                  <w:r>
                    <w:rPr>
                      <w:rFonts w:hint="eastAsia" w:cs="Times New Roman"/>
                      <w:color w:val="auto"/>
                      <w:szCs w:val="21"/>
                      <w:lang w:val="en-US" w:eastAsia="zh-CN"/>
                    </w:rPr>
                    <w:t>3800</w:t>
                  </w:r>
                </w:p>
              </w:tc>
              <w:tc>
                <w:tcPr>
                  <w:tcW w:w="109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eastAsia" w:cs="Times New Roman"/>
                      <w:color w:val="auto"/>
                      <w:szCs w:val="21"/>
                      <w:lang w:val="en-US" w:eastAsia="zh-CN"/>
                    </w:rPr>
                    <w:t>临时占地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94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耕植土堆放区</w:t>
                  </w:r>
                </w:p>
              </w:tc>
              <w:tc>
                <w:tcPr>
                  <w:tcW w:w="105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3941</w:t>
                  </w:r>
                </w:p>
              </w:tc>
              <w:tc>
                <w:tcPr>
                  <w:tcW w:w="10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769</w:t>
                  </w:r>
                </w:p>
              </w:tc>
              <w:tc>
                <w:tcPr>
                  <w:tcW w:w="1090"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zCs w:val="21"/>
                      <w:lang w:val="en-US" w:eastAsia="zh-CN"/>
                    </w:rPr>
                  </w:pPr>
                  <w:r>
                    <w:rPr>
                      <w:rFonts w:hint="eastAsia" w:cs="Times New Roman"/>
                      <w:color w:val="auto"/>
                      <w:szCs w:val="21"/>
                      <w:lang w:val="en-US" w:eastAsia="zh-CN"/>
                    </w:rPr>
                    <w:t>/</w:t>
                  </w:r>
                </w:p>
              </w:tc>
              <w:tc>
                <w:tcPr>
                  <w:tcW w:w="109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w:t>
                  </w:r>
                </w:p>
              </w:tc>
              <w:tc>
                <w:tcPr>
                  <w:tcW w:w="109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4710</w:t>
                  </w:r>
                </w:p>
              </w:tc>
              <w:tc>
                <w:tcPr>
                  <w:tcW w:w="109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eastAsia" w:cs="Times New Roman"/>
                      <w:color w:val="auto"/>
                      <w:szCs w:val="21"/>
                      <w:lang w:val="en-US" w:eastAsia="zh-CN"/>
                    </w:rPr>
                    <w:t>临时占地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94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其他用地</w:t>
                  </w:r>
                </w:p>
              </w:tc>
              <w:tc>
                <w:tcPr>
                  <w:tcW w:w="105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1169</w:t>
                  </w:r>
                </w:p>
              </w:tc>
              <w:tc>
                <w:tcPr>
                  <w:tcW w:w="10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1809.6</w:t>
                  </w:r>
                </w:p>
              </w:tc>
              <w:tc>
                <w:tcPr>
                  <w:tcW w:w="1090"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zCs w:val="21"/>
                      <w:lang w:val="en-US" w:eastAsia="zh-CN"/>
                    </w:rPr>
                  </w:pPr>
                  <w:r>
                    <w:rPr>
                      <w:rFonts w:hint="eastAsia" w:cs="Times New Roman"/>
                      <w:color w:val="auto"/>
                      <w:szCs w:val="21"/>
                      <w:lang w:val="en-US" w:eastAsia="zh-CN"/>
                    </w:rPr>
                    <w:t>/</w:t>
                  </w:r>
                </w:p>
              </w:tc>
              <w:tc>
                <w:tcPr>
                  <w:tcW w:w="109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1869</w:t>
                  </w:r>
                </w:p>
              </w:tc>
              <w:tc>
                <w:tcPr>
                  <w:tcW w:w="109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fldChar w:fldCharType="begin"/>
                  </w:r>
                  <w:r>
                    <w:rPr>
                      <w:rFonts w:hint="default" w:ascii="Times New Roman" w:hAnsi="Times New Roman" w:eastAsia="宋体" w:cs="Times New Roman"/>
                      <w:color w:val="auto"/>
                      <w:szCs w:val="21"/>
                      <w:lang w:val="en-US" w:eastAsia="zh-CN"/>
                    </w:rPr>
                    <w:instrText xml:space="preserve"> = sum(F3:F8) \* MERGEFORMAT </w:instrText>
                  </w:r>
                  <w:r>
                    <w:rPr>
                      <w:rFonts w:hint="default" w:ascii="Times New Roman" w:hAnsi="Times New Roman" w:eastAsia="宋体" w:cs="Times New Roman"/>
                      <w:color w:val="auto"/>
                      <w:szCs w:val="21"/>
                      <w:lang w:val="en-US" w:eastAsia="zh-CN"/>
                    </w:rPr>
                    <w:fldChar w:fldCharType="separate"/>
                  </w:r>
                  <w:r>
                    <w:rPr>
                      <w:rFonts w:hint="default" w:ascii="Times New Roman" w:hAnsi="Times New Roman" w:eastAsia="宋体" w:cs="Times New Roman"/>
                      <w:color w:val="auto"/>
                      <w:szCs w:val="21"/>
                      <w:lang w:val="en-US" w:eastAsia="zh-CN"/>
                    </w:rPr>
                    <w:t>17743.4</w:t>
                  </w:r>
                  <w:r>
                    <w:rPr>
                      <w:rFonts w:hint="default" w:ascii="Times New Roman" w:hAnsi="Times New Roman" w:eastAsia="宋体" w:cs="Times New Roman"/>
                      <w:color w:val="auto"/>
                      <w:szCs w:val="21"/>
                      <w:lang w:val="en-US" w:eastAsia="zh-CN"/>
                    </w:rPr>
                    <w:fldChar w:fldCharType="end"/>
                  </w:r>
                </w:p>
              </w:tc>
              <w:tc>
                <w:tcPr>
                  <w:tcW w:w="109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eastAsia" w:cs="Times New Roman"/>
                      <w:color w:val="auto"/>
                      <w:szCs w:val="21"/>
                      <w:lang w:val="en-US" w:eastAsia="zh-CN"/>
                    </w:rPr>
                    <w:t>临时占地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943"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zCs w:val="21"/>
                      <w:lang w:val="en-US" w:eastAsia="zh-CN"/>
                    </w:rPr>
                  </w:pPr>
                  <w:r>
                    <w:rPr>
                      <w:rFonts w:hint="eastAsia" w:cs="Times New Roman"/>
                      <w:color w:val="auto"/>
                      <w:szCs w:val="21"/>
                      <w:lang w:val="en-US" w:eastAsia="zh-CN"/>
                    </w:rPr>
                    <w:t>合计</w:t>
                  </w:r>
                </w:p>
              </w:tc>
              <w:tc>
                <w:tcPr>
                  <w:tcW w:w="105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fldChar w:fldCharType="begin"/>
                  </w:r>
                  <w:r>
                    <w:rPr>
                      <w:rFonts w:hint="default" w:ascii="Times New Roman" w:hAnsi="Times New Roman" w:eastAsia="宋体" w:cs="Times New Roman"/>
                      <w:color w:val="auto"/>
                      <w:szCs w:val="21"/>
                      <w:lang w:val="en-US" w:eastAsia="zh-CN"/>
                    </w:rPr>
                    <w:instrText xml:space="preserve"> = sum(B3:B9) \* MERGEFORMAT </w:instrText>
                  </w:r>
                  <w:r>
                    <w:rPr>
                      <w:rFonts w:hint="default" w:ascii="Times New Roman" w:hAnsi="Times New Roman" w:eastAsia="宋体" w:cs="Times New Roman"/>
                      <w:color w:val="auto"/>
                      <w:szCs w:val="21"/>
                      <w:lang w:val="en-US" w:eastAsia="zh-CN"/>
                    </w:rPr>
                    <w:fldChar w:fldCharType="separate"/>
                  </w:r>
                  <w:r>
                    <w:rPr>
                      <w:rFonts w:hint="default" w:ascii="Times New Roman" w:hAnsi="Times New Roman" w:eastAsia="宋体" w:cs="Times New Roman"/>
                      <w:color w:val="auto"/>
                      <w:szCs w:val="21"/>
                      <w:lang w:val="en-US" w:eastAsia="zh-CN"/>
                    </w:rPr>
                    <w:t>7137</w:t>
                  </w:r>
                  <w:r>
                    <w:rPr>
                      <w:rFonts w:hint="default" w:ascii="Times New Roman" w:hAnsi="Times New Roman" w:eastAsia="宋体" w:cs="Times New Roman"/>
                      <w:color w:val="auto"/>
                      <w:szCs w:val="21"/>
                      <w:lang w:val="en-US" w:eastAsia="zh-CN"/>
                    </w:rPr>
                    <w:fldChar w:fldCharType="end"/>
                  </w:r>
                </w:p>
              </w:tc>
              <w:tc>
                <w:tcPr>
                  <w:tcW w:w="10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fldChar w:fldCharType="begin"/>
                  </w:r>
                  <w:r>
                    <w:rPr>
                      <w:rFonts w:hint="default" w:ascii="Times New Roman" w:hAnsi="Times New Roman" w:eastAsia="宋体" w:cs="Times New Roman"/>
                      <w:color w:val="auto"/>
                      <w:szCs w:val="21"/>
                      <w:lang w:val="en-US" w:eastAsia="zh-CN"/>
                    </w:rPr>
                    <w:instrText xml:space="preserve"> = sum(C3:C9) \* MERGEFORMAT </w:instrText>
                  </w:r>
                  <w:r>
                    <w:rPr>
                      <w:rFonts w:hint="default" w:ascii="Times New Roman" w:hAnsi="Times New Roman" w:eastAsia="宋体" w:cs="Times New Roman"/>
                      <w:color w:val="auto"/>
                      <w:szCs w:val="21"/>
                      <w:lang w:val="en-US" w:eastAsia="zh-CN"/>
                    </w:rPr>
                    <w:fldChar w:fldCharType="separate"/>
                  </w:r>
                  <w:r>
                    <w:rPr>
                      <w:rFonts w:hint="default" w:ascii="Times New Roman" w:hAnsi="Times New Roman" w:eastAsia="宋体" w:cs="Times New Roman"/>
                      <w:color w:val="auto"/>
                      <w:szCs w:val="21"/>
                      <w:lang w:val="en-US" w:eastAsia="zh-CN"/>
                    </w:rPr>
                    <w:t>12165</w:t>
                  </w:r>
                  <w:r>
                    <w:rPr>
                      <w:rFonts w:hint="default" w:ascii="Times New Roman" w:hAnsi="Times New Roman" w:eastAsia="宋体" w:cs="Times New Roman"/>
                      <w:color w:val="auto"/>
                      <w:szCs w:val="21"/>
                      <w:lang w:val="en-US" w:eastAsia="zh-CN"/>
                    </w:rPr>
                    <w:fldChar w:fldCharType="end"/>
                  </w:r>
                </w:p>
              </w:tc>
              <w:tc>
                <w:tcPr>
                  <w:tcW w:w="109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w:t>
                  </w:r>
                </w:p>
              </w:tc>
              <w:tc>
                <w:tcPr>
                  <w:tcW w:w="109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fldChar w:fldCharType="begin"/>
                  </w:r>
                  <w:r>
                    <w:rPr>
                      <w:rFonts w:hint="default" w:ascii="Times New Roman" w:hAnsi="Times New Roman" w:eastAsia="宋体" w:cs="Times New Roman"/>
                      <w:color w:val="auto"/>
                      <w:szCs w:val="21"/>
                      <w:lang w:val="en-US" w:eastAsia="zh-CN"/>
                    </w:rPr>
                    <w:instrText xml:space="preserve"> = sum(E6:E9) \* MERGEFORMAT </w:instrText>
                  </w:r>
                  <w:r>
                    <w:rPr>
                      <w:rFonts w:hint="default" w:ascii="Times New Roman" w:hAnsi="Times New Roman" w:eastAsia="宋体" w:cs="Times New Roman"/>
                      <w:color w:val="auto"/>
                      <w:szCs w:val="21"/>
                      <w:lang w:val="en-US" w:eastAsia="zh-CN"/>
                    </w:rPr>
                    <w:fldChar w:fldCharType="separate"/>
                  </w:r>
                  <w:r>
                    <w:rPr>
                      <w:rFonts w:hint="default" w:ascii="Times New Roman" w:hAnsi="Times New Roman" w:eastAsia="宋体" w:cs="Times New Roman"/>
                      <w:color w:val="auto"/>
                      <w:szCs w:val="21"/>
                      <w:lang w:val="en-US" w:eastAsia="zh-CN"/>
                    </w:rPr>
                    <w:t>3289</w:t>
                  </w:r>
                  <w:r>
                    <w:rPr>
                      <w:rFonts w:hint="default" w:ascii="Times New Roman" w:hAnsi="Times New Roman" w:eastAsia="宋体" w:cs="Times New Roman"/>
                      <w:color w:val="auto"/>
                      <w:szCs w:val="21"/>
                      <w:lang w:val="en-US" w:eastAsia="zh-CN"/>
                    </w:rPr>
                    <w:fldChar w:fldCharType="end"/>
                  </w:r>
                </w:p>
              </w:tc>
              <w:tc>
                <w:tcPr>
                  <w:tcW w:w="109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22420</w:t>
                  </w:r>
                </w:p>
              </w:tc>
              <w:tc>
                <w:tcPr>
                  <w:tcW w:w="109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bl>
          <w:p>
            <w:pPr>
              <w:pStyle w:val="215"/>
              <w:keepNext w:val="0"/>
              <w:keepLines w:val="0"/>
              <w:suppressLineNumbers w:val="0"/>
              <w:spacing w:before="0" w:beforeAutospacing="0" w:after="0" w:afterAutospacing="0"/>
              <w:ind w:left="0" w:right="0"/>
              <w:rPr>
                <w:rFonts w:hint="default" w:ascii="Times New Roman" w:hAnsi="Times New Roman" w:cs="Times New Roman"/>
                <w:color w:val="auto"/>
                <w:kern w:val="0"/>
                <w:lang w:bidi="ar"/>
              </w:rPr>
            </w:pPr>
            <w:r>
              <w:rPr>
                <w:rFonts w:hint="default" w:ascii="Times New Roman" w:hAnsi="Times New Roman" w:cs="Times New Roman"/>
                <w:color w:val="auto"/>
                <w:kern w:val="0"/>
                <w:lang w:bidi="ar"/>
              </w:rPr>
              <w:t>根据钻前设计，本工程用地均为临时用地，若完井测试结果表明气井有开采价值，则再行征用工艺装置区用地。</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（2）项目土石方平衡</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lang w:bidi="ar"/>
              </w:rPr>
            </w:pPr>
            <w:r>
              <w:rPr>
                <w:rFonts w:hint="default" w:ascii="Times New Roman" w:hAnsi="Times New Roman" w:cs="Times New Roman"/>
                <w:color w:val="auto"/>
                <w:szCs w:val="24"/>
                <w:lang w:bidi="ar"/>
              </w:rPr>
              <w:t>本工程实现土石方挖填平衡，井场新建及放喷管线建设过程开挖的耕植土，根据设计单位提供资料，耕植土开挖量约</w:t>
            </w:r>
            <w:r>
              <w:rPr>
                <w:rFonts w:hint="eastAsia" w:ascii="Times New Roman" w:hAnsi="Times New Roman" w:cs="Times New Roman"/>
                <w:color w:val="auto"/>
                <w:szCs w:val="24"/>
                <w:lang w:val="en-US" w:eastAsia="zh-CN" w:bidi="ar"/>
              </w:rPr>
              <w:t>4640</w:t>
            </w:r>
            <w:r>
              <w:rPr>
                <w:rFonts w:hint="default" w:ascii="Times New Roman" w:hAnsi="Times New Roman" w:cs="Times New Roman"/>
                <w:color w:val="auto"/>
                <w:szCs w:val="24"/>
                <w:lang w:bidi="ar"/>
              </w:rPr>
              <w:t>m</w:t>
            </w:r>
            <w:r>
              <w:rPr>
                <w:rFonts w:hint="default" w:ascii="Times New Roman" w:hAnsi="Times New Roman" w:cs="Times New Roman"/>
                <w:color w:val="auto"/>
                <w:szCs w:val="24"/>
                <w:vertAlign w:val="superscript"/>
                <w:lang w:bidi="ar"/>
              </w:rPr>
              <w:t>3</w:t>
            </w:r>
            <w:r>
              <w:rPr>
                <w:rFonts w:hint="default" w:ascii="Times New Roman" w:hAnsi="Times New Roman" w:cs="Times New Roman"/>
                <w:color w:val="auto"/>
                <w:szCs w:val="24"/>
                <w:lang w:bidi="ar"/>
              </w:rPr>
              <w:t>，临时堆放耕植土堆放区面积为</w:t>
            </w:r>
            <w:r>
              <w:rPr>
                <w:rFonts w:hint="eastAsia" w:ascii="Times New Roman" w:hAnsi="Times New Roman" w:cs="Times New Roman"/>
                <w:color w:val="auto"/>
                <w:szCs w:val="24"/>
                <w:lang w:val="en-US" w:eastAsia="zh-CN" w:bidi="ar"/>
              </w:rPr>
              <w:t>4710</w:t>
            </w:r>
            <w:r>
              <w:rPr>
                <w:rFonts w:hint="default" w:ascii="Times New Roman" w:hAnsi="Times New Roman" w:cs="Times New Roman"/>
                <w:color w:val="auto"/>
                <w:szCs w:val="24"/>
                <w:lang w:bidi="ar"/>
              </w:rPr>
              <w:t>m</w:t>
            </w:r>
            <w:r>
              <w:rPr>
                <w:rFonts w:hint="default" w:ascii="Times New Roman" w:hAnsi="Times New Roman" w:cs="Times New Roman"/>
                <w:color w:val="auto"/>
                <w:szCs w:val="24"/>
                <w:vertAlign w:val="superscript"/>
                <w:lang w:bidi="ar"/>
              </w:rPr>
              <w:t>2</w:t>
            </w:r>
            <w:r>
              <w:rPr>
                <w:rFonts w:hint="default" w:ascii="Times New Roman" w:hAnsi="Times New Roman" w:cs="Times New Roman"/>
                <w:color w:val="auto"/>
                <w:szCs w:val="24"/>
                <w:lang w:bidi="ar"/>
              </w:rPr>
              <w:t>，设计堆放高度为</w:t>
            </w:r>
            <w:r>
              <w:rPr>
                <w:rFonts w:hint="eastAsia" w:ascii="Times New Roman" w:hAnsi="Times New Roman" w:cs="Times New Roman"/>
                <w:color w:val="auto"/>
                <w:szCs w:val="24"/>
                <w:lang w:val="en-US" w:eastAsia="zh-CN" w:bidi="ar"/>
              </w:rPr>
              <w:t>2</w:t>
            </w:r>
            <w:r>
              <w:rPr>
                <w:rFonts w:hint="default" w:ascii="Times New Roman" w:hAnsi="Times New Roman" w:cs="Times New Roman"/>
                <w:color w:val="auto"/>
                <w:szCs w:val="24"/>
                <w:lang w:bidi="ar"/>
              </w:rPr>
              <w:t>m，合计最大堆放量</w:t>
            </w:r>
            <w:r>
              <w:rPr>
                <w:rFonts w:hint="eastAsia" w:ascii="Times New Roman" w:hAnsi="Times New Roman" w:cs="Times New Roman"/>
                <w:color w:val="auto"/>
                <w:szCs w:val="24"/>
                <w:lang w:val="en-US" w:eastAsia="zh-CN" w:bidi="ar"/>
              </w:rPr>
              <w:t>9420</w:t>
            </w:r>
            <w:r>
              <w:rPr>
                <w:rFonts w:hint="default" w:ascii="Times New Roman" w:hAnsi="Times New Roman" w:cs="Times New Roman"/>
                <w:color w:val="auto"/>
                <w:szCs w:val="24"/>
                <w:lang w:bidi="ar"/>
              </w:rPr>
              <w:t>m</w:t>
            </w:r>
            <w:r>
              <w:rPr>
                <w:rFonts w:hint="default" w:ascii="Times New Roman" w:hAnsi="Times New Roman" w:cs="Times New Roman"/>
                <w:color w:val="auto"/>
                <w:szCs w:val="24"/>
                <w:vertAlign w:val="superscript"/>
                <w:lang w:bidi="ar"/>
              </w:rPr>
              <w:t>3</w:t>
            </w:r>
            <w:r>
              <w:rPr>
                <w:rFonts w:hint="default" w:ascii="Times New Roman" w:hAnsi="Times New Roman" w:cs="Times New Roman"/>
                <w:color w:val="auto"/>
                <w:szCs w:val="24"/>
                <w:lang w:bidi="ar"/>
              </w:rPr>
              <w:t>，能够满足堆放需求，耕植土堆放区较低区域修建挡土墙；井场土边坡区域、道路土边坡区域、耕植土堆放区在土建工程完工后，及时播撒草种或覆盖，防止地表水冲刷造成水土流失和边坡失稳。井场建设过程中多余土石方经弃土场堆放。钻前工程土石方工程量见下表。</w:t>
            </w:r>
          </w:p>
          <w:p>
            <w:pPr>
              <w:pStyle w:val="19"/>
              <w:keepNext w:val="0"/>
              <w:keepLines w:val="0"/>
              <w:numPr>
                <w:ilvl w:val="0"/>
                <w:numId w:val="6"/>
              </w:numPr>
              <w:suppressLineNumbers w:val="0"/>
              <w:tabs>
                <w:tab w:val="left" w:pos="0"/>
                <w:tab w:val="left" w:pos="833"/>
              </w:tabs>
              <w:spacing w:before="0" w:beforeAutospacing="0" w:after="0" w:afterAutospacing="0" w:line="360" w:lineRule="auto"/>
              <w:ind w:left="0" w:right="0" w:firstLine="0"/>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土石方工程量表  单位：m</w:t>
            </w:r>
            <w:r>
              <w:rPr>
                <w:rFonts w:hint="default" w:ascii="Times New Roman" w:hAnsi="Times New Roman" w:cs="Times New Roman"/>
                <w:b/>
                <w:bCs/>
                <w:color w:val="auto"/>
                <w:sz w:val="21"/>
                <w:szCs w:val="21"/>
                <w:vertAlign w:val="superscript"/>
              </w:rPr>
              <w:t>3</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597"/>
              <w:gridCol w:w="1647"/>
              <w:gridCol w:w="1097"/>
              <w:gridCol w:w="1360"/>
              <w:gridCol w:w="76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25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分区</w:t>
                  </w:r>
                </w:p>
              </w:tc>
              <w:tc>
                <w:tcPr>
                  <w:tcW w:w="164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挖方（含耕植土）</w:t>
                  </w:r>
                </w:p>
              </w:tc>
              <w:tc>
                <w:tcPr>
                  <w:tcW w:w="10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填方</w:t>
                  </w:r>
                </w:p>
              </w:tc>
              <w:tc>
                <w:tcPr>
                  <w:tcW w:w="136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耕植土回填</w:t>
                  </w:r>
                </w:p>
              </w:tc>
              <w:tc>
                <w:tcPr>
                  <w:tcW w:w="76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余方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25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井场工程建设（含边角地）</w:t>
                  </w:r>
                </w:p>
              </w:tc>
              <w:tc>
                <w:tcPr>
                  <w:tcW w:w="164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eastAsia" w:cs="Times New Roman"/>
                      <w:i w:val="0"/>
                      <w:iCs w:val="0"/>
                      <w:color w:val="auto"/>
                      <w:kern w:val="0"/>
                      <w:sz w:val="21"/>
                      <w:szCs w:val="21"/>
                      <w:u w:val="none"/>
                      <w:lang w:val="en-US" w:eastAsia="zh-CN" w:bidi="ar"/>
                    </w:rPr>
                    <w:t>11</w:t>
                  </w:r>
                  <w:r>
                    <w:rPr>
                      <w:rFonts w:hint="default" w:ascii="Times New Roman" w:hAnsi="Times New Roman" w:eastAsia="宋体" w:cs="Times New Roman"/>
                      <w:i w:val="0"/>
                      <w:iCs w:val="0"/>
                      <w:color w:val="auto"/>
                      <w:kern w:val="0"/>
                      <w:sz w:val="21"/>
                      <w:szCs w:val="21"/>
                      <w:u w:val="none"/>
                      <w:lang w:val="en-US" w:eastAsia="zh-CN" w:bidi="ar"/>
                    </w:rPr>
                    <w:t>674.5</w:t>
                  </w:r>
                </w:p>
              </w:tc>
              <w:tc>
                <w:tcPr>
                  <w:tcW w:w="109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rPr>
                  </w:pPr>
                  <w:r>
                    <w:rPr>
                      <w:rFonts w:hint="eastAsia" w:cs="Times New Roman"/>
                      <w:i w:val="0"/>
                      <w:iCs w:val="0"/>
                      <w:color w:val="auto"/>
                      <w:kern w:val="0"/>
                      <w:sz w:val="21"/>
                      <w:szCs w:val="21"/>
                      <w:u w:val="none"/>
                      <w:lang w:val="en-US" w:eastAsia="zh-CN" w:bidi="ar"/>
                    </w:rPr>
                    <w:t>5</w:t>
                  </w:r>
                  <w:r>
                    <w:rPr>
                      <w:rFonts w:hint="default" w:ascii="Times New Roman" w:hAnsi="Times New Roman" w:eastAsia="宋体" w:cs="Times New Roman"/>
                      <w:i w:val="0"/>
                      <w:iCs w:val="0"/>
                      <w:color w:val="auto"/>
                      <w:kern w:val="0"/>
                      <w:sz w:val="21"/>
                      <w:szCs w:val="21"/>
                      <w:u w:val="none"/>
                      <w:lang w:val="en-US" w:eastAsia="zh-CN" w:bidi="ar"/>
                    </w:rPr>
                    <w:t>427.1</w:t>
                  </w:r>
                </w:p>
              </w:tc>
              <w:tc>
                <w:tcPr>
                  <w:tcW w:w="1360"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4640</w:t>
                  </w:r>
                </w:p>
              </w:tc>
              <w:tc>
                <w:tcPr>
                  <w:tcW w:w="76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25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清水池建设</w:t>
                  </w:r>
                </w:p>
              </w:tc>
              <w:tc>
                <w:tcPr>
                  <w:tcW w:w="164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eastAsia="宋体" w:cs="Times New Roman"/>
                      <w:i w:val="0"/>
                      <w:iCs w:val="0"/>
                      <w:color w:val="auto"/>
                      <w:kern w:val="0"/>
                      <w:sz w:val="21"/>
                      <w:szCs w:val="21"/>
                      <w:u w:val="none"/>
                      <w:lang w:val="en-US" w:eastAsia="zh-CN" w:bidi="ar"/>
                    </w:rPr>
                    <w:t>395</w:t>
                  </w:r>
                </w:p>
              </w:tc>
              <w:tc>
                <w:tcPr>
                  <w:tcW w:w="109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eastAsia="宋体" w:cs="Times New Roman"/>
                      <w:i w:val="0"/>
                      <w:iCs w:val="0"/>
                      <w:color w:val="auto"/>
                      <w:kern w:val="0"/>
                      <w:sz w:val="21"/>
                      <w:szCs w:val="21"/>
                      <w:u w:val="none"/>
                      <w:lang w:val="en-US" w:eastAsia="zh-CN" w:bidi="ar"/>
                    </w:rPr>
                    <w:t>187</w:t>
                  </w:r>
                </w:p>
              </w:tc>
              <w:tc>
                <w:tcPr>
                  <w:tcW w:w="1360"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76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25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放喷池建设</w:t>
                  </w:r>
                </w:p>
              </w:tc>
              <w:tc>
                <w:tcPr>
                  <w:tcW w:w="164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eastAsia="宋体" w:cs="Times New Roman"/>
                      <w:i w:val="0"/>
                      <w:iCs w:val="0"/>
                      <w:color w:val="auto"/>
                      <w:kern w:val="0"/>
                      <w:sz w:val="21"/>
                      <w:szCs w:val="21"/>
                      <w:u w:val="none"/>
                      <w:lang w:val="en-US" w:eastAsia="zh-CN" w:bidi="ar"/>
                    </w:rPr>
                    <w:t>168</w:t>
                  </w:r>
                </w:p>
              </w:tc>
              <w:tc>
                <w:tcPr>
                  <w:tcW w:w="109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eastAsia="宋体" w:cs="Times New Roman"/>
                      <w:i w:val="0"/>
                      <w:iCs w:val="0"/>
                      <w:color w:val="auto"/>
                      <w:kern w:val="0"/>
                      <w:sz w:val="21"/>
                      <w:szCs w:val="21"/>
                      <w:u w:val="none"/>
                      <w:lang w:val="en-US" w:eastAsia="zh-CN" w:bidi="ar"/>
                    </w:rPr>
                    <w:t>85</w:t>
                  </w:r>
                </w:p>
              </w:tc>
              <w:tc>
                <w:tcPr>
                  <w:tcW w:w="1360"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76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25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其他工程合计</w:t>
                  </w:r>
                </w:p>
              </w:tc>
              <w:tc>
                <w:tcPr>
                  <w:tcW w:w="164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eastAsia="宋体" w:cs="Times New Roman"/>
                      <w:i w:val="0"/>
                      <w:iCs w:val="0"/>
                      <w:color w:val="auto"/>
                      <w:kern w:val="0"/>
                      <w:sz w:val="21"/>
                      <w:szCs w:val="21"/>
                      <w:u w:val="none"/>
                      <w:lang w:val="en-US" w:eastAsia="zh-CN" w:bidi="ar"/>
                    </w:rPr>
                    <w:t>5169.7</w:t>
                  </w:r>
                </w:p>
              </w:tc>
              <w:tc>
                <w:tcPr>
                  <w:tcW w:w="109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eastAsia="宋体" w:cs="Times New Roman"/>
                      <w:i w:val="0"/>
                      <w:iCs w:val="0"/>
                      <w:color w:val="auto"/>
                      <w:kern w:val="0"/>
                      <w:sz w:val="21"/>
                      <w:szCs w:val="21"/>
                      <w:u w:val="none"/>
                      <w:lang w:val="en-US" w:eastAsia="zh-CN" w:bidi="ar"/>
                    </w:rPr>
                    <w:t>7068.1</w:t>
                  </w:r>
                </w:p>
              </w:tc>
              <w:tc>
                <w:tcPr>
                  <w:tcW w:w="1360"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76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25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总计</w:t>
                  </w:r>
                </w:p>
              </w:tc>
              <w:tc>
                <w:tcPr>
                  <w:tcW w:w="164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szCs w:val="21"/>
                    </w:rPr>
                    <w:fldChar w:fldCharType="begin"/>
                  </w:r>
                  <w:r>
                    <w:rPr>
                      <w:rFonts w:hint="default" w:ascii="Times New Roman" w:hAnsi="Times New Roman" w:cs="Times New Roman"/>
                      <w:color w:val="auto"/>
                      <w:szCs w:val="21"/>
                    </w:rPr>
                    <w:instrText xml:space="preserve"> = sum(B2:B5) \* MERGEFORMAT </w:instrText>
                  </w:r>
                  <w:r>
                    <w:rPr>
                      <w:rFonts w:hint="default" w:ascii="Times New Roman" w:hAnsi="Times New Roman" w:cs="Times New Roman"/>
                      <w:color w:val="auto"/>
                      <w:szCs w:val="21"/>
                    </w:rPr>
                    <w:fldChar w:fldCharType="separate"/>
                  </w:r>
                  <w:r>
                    <w:rPr>
                      <w:rFonts w:hint="default" w:ascii="Times New Roman" w:hAnsi="Times New Roman" w:cs="Times New Roman"/>
                      <w:color w:val="auto"/>
                      <w:szCs w:val="21"/>
                    </w:rPr>
                    <w:t>17407.2</w:t>
                  </w:r>
                  <w:r>
                    <w:rPr>
                      <w:rFonts w:hint="default" w:ascii="Times New Roman" w:hAnsi="Times New Roman" w:cs="Times New Roman"/>
                      <w:color w:val="auto"/>
                      <w:szCs w:val="21"/>
                    </w:rPr>
                    <w:fldChar w:fldCharType="end"/>
                  </w:r>
                </w:p>
              </w:tc>
              <w:tc>
                <w:tcPr>
                  <w:tcW w:w="1097"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szCs w:val="21"/>
                    </w:rPr>
                    <w:fldChar w:fldCharType="begin"/>
                  </w:r>
                  <w:r>
                    <w:rPr>
                      <w:rFonts w:hint="default" w:ascii="Times New Roman" w:hAnsi="Times New Roman" w:cs="Times New Roman"/>
                      <w:color w:val="auto"/>
                      <w:szCs w:val="21"/>
                    </w:rPr>
                    <w:instrText xml:space="preserve"> = sum(C2:C5) \* MERGEFORMAT </w:instrText>
                  </w:r>
                  <w:r>
                    <w:rPr>
                      <w:rFonts w:hint="default" w:ascii="Times New Roman" w:hAnsi="Times New Roman" w:cs="Times New Roman"/>
                      <w:color w:val="auto"/>
                      <w:szCs w:val="21"/>
                    </w:rPr>
                    <w:fldChar w:fldCharType="separate"/>
                  </w:r>
                  <w:r>
                    <w:rPr>
                      <w:rFonts w:hint="default" w:ascii="Times New Roman" w:hAnsi="Times New Roman" w:cs="Times New Roman"/>
                      <w:color w:val="auto"/>
                      <w:szCs w:val="21"/>
                    </w:rPr>
                    <w:t>1</w:t>
                  </w:r>
                  <w:r>
                    <w:rPr>
                      <w:rFonts w:hint="eastAsia" w:cs="Times New Roman"/>
                      <w:color w:val="auto"/>
                      <w:szCs w:val="21"/>
                      <w:lang w:val="en-US" w:eastAsia="zh-CN"/>
                    </w:rPr>
                    <w:t>2</w:t>
                  </w:r>
                  <w:r>
                    <w:rPr>
                      <w:rFonts w:hint="default" w:ascii="Times New Roman" w:hAnsi="Times New Roman" w:cs="Times New Roman"/>
                      <w:color w:val="auto"/>
                      <w:szCs w:val="21"/>
                    </w:rPr>
                    <w:t>767.2</w:t>
                  </w:r>
                  <w:r>
                    <w:rPr>
                      <w:rFonts w:hint="default" w:ascii="Times New Roman" w:hAnsi="Times New Roman" w:cs="Times New Roman"/>
                      <w:color w:val="auto"/>
                      <w:szCs w:val="21"/>
                    </w:rPr>
                    <w:fldChar w:fldCharType="end"/>
                  </w:r>
                </w:p>
              </w:tc>
              <w:tc>
                <w:tcPr>
                  <w:tcW w:w="136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4640</w:t>
                  </w:r>
                </w:p>
              </w:tc>
              <w:tc>
                <w:tcPr>
                  <w:tcW w:w="76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w:t>
                  </w:r>
                </w:p>
              </w:tc>
            </w:tr>
          </w:tbl>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本项目表土堆场及弃土堆场设计如下所示</w:t>
            </w:r>
          </w:p>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 w:val="24"/>
              </w:rPr>
            </w:pPr>
            <w:r>
              <w:rPr>
                <w:rFonts w:hint="default" w:ascii="Times New Roman" w:hAnsi="Times New Roman" w:cs="Times New Roman"/>
                <w:color w:val="auto"/>
                <w:sz w:val="24"/>
              </w:rPr>
              <w:drawing>
                <wp:inline distT="0" distB="0" distL="114300" distR="114300">
                  <wp:extent cx="5375910" cy="1826895"/>
                  <wp:effectExtent l="0" t="0" r="15240" b="1905"/>
                  <wp:docPr id="1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
                          <pic:cNvPicPr>
                            <a:picLocks noChangeAspect="1"/>
                          </pic:cNvPicPr>
                        </pic:nvPicPr>
                        <pic:blipFill>
                          <a:blip r:embed="rId9"/>
                          <a:stretch>
                            <a:fillRect/>
                          </a:stretch>
                        </pic:blipFill>
                        <pic:spPr>
                          <a:xfrm>
                            <a:off x="0" y="0"/>
                            <a:ext cx="5375910" cy="1826895"/>
                          </a:xfrm>
                          <a:prstGeom prst="rect">
                            <a:avLst/>
                          </a:prstGeom>
                          <a:noFill/>
                          <a:ln>
                            <a:noFill/>
                          </a:ln>
                        </pic:spPr>
                      </pic:pic>
                    </a:graphicData>
                  </a:graphic>
                </wp:inline>
              </w:drawing>
            </w:r>
          </w:p>
          <w:p>
            <w:pPr>
              <w:pStyle w:val="53"/>
              <w:keepNext w:val="0"/>
              <w:keepLines w:val="0"/>
              <w:suppressLineNumbers w:val="0"/>
              <w:spacing w:before="0" w:beforeAutospacing="0" w:after="0" w:afterAutospacing="0"/>
              <w:ind w:left="0" w:right="0"/>
              <w:jc w:val="center"/>
              <w:rPr>
                <w:rFonts w:hint="default" w:ascii="Times New Roman" w:hAnsi="Times New Roman" w:cs="Times New Roman"/>
                <w:b/>
                <w:bCs/>
                <w:color w:val="auto"/>
              </w:rPr>
            </w:pPr>
            <w:r>
              <w:rPr>
                <w:rFonts w:hint="default" w:ascii="Times New Roman" w:hAnsi="Times New Roman" w:cs="Times New Roman"/>
                <w:b/>
                <w:bCs/>
                <w:color w:val="auto"/>
              </w:rPr>
              <w:t>表土临时苫盖措施示意图</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为了防止水土流失影响，按照水土保持相关要求，表土四周设置草袋土挡墙，并夯压整形，顶部保持平缓坡度以利于排水，堆场四周设置临时截、排水沟和</w:t>
            </w:r>
            <w:r>
              <w:rPr>
                <w:rFonts w:hint="eastAsia" w:cs="Times New Roman"/>
                <w:color w:val="auto"/>
                <w:sz w:val="24"/>
                <w:lang w:eastAsia="zh-CN"/>
              </w:rPr>
              <w:t>沉砂池</w:t>
            </w:r>
            <w:r>
              <w:rPr>
                <w:rFonts w:hint="default" w:ascii="Times New Roman" w:hAnsi="Times New Roman" w:cs="Times New Roman"/>
                <w:color w:val="auto"/>
                <w:sz w:val="24"/>
              </w:rPr>
              <w:t>，土堆表面采用密目网进行临时苫盖，通过以上水土保持措施后可有效减缓项目建设对水土流失的影响。施工结束后用于临时占地的复种表土。</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rPr>
              <w:drawing>
                <wp:inline distT="0" distB="0" distL="114300" distR="114300">
                  <wp:extent cx="1810385" cy="1731010"/>
                  <wp:effectExtent l="0" t="0" r="18415" b="2540"/>
                  <wp:docPr id="1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2"/>
                          <pic:cNvPicPr>
                            <a:picLocks noChangeAspect="1"/>
                          </pic:cNvPicPr>
                        </pic:nvPicPr>
                        <pic:blipFill>
                          <a:blip r:embed="rId10"/>
                          <a:stretch>
                            <a:fillRect/>
                          </a:stretch>
                        </pic:blipFill>
                        <pic:spPr>
                          <a:xfrm>
                            <a:off x="0" y="0"/>
                            <a:ext cx="1810385" cy="1731010"/>
                          </a:xfrm>
                          <a:prstGeom prst="rect">
                            <a:avLst/>
                          </a:prstGeom>
                          <a:noFill/>
                          <a:ln>
                            <a:noFill/>
                          </a:ln>
                        </pic:spPr>
                      </pic:pic>
                    </a:graphicData>
                  </a:graphic>
                </wp:inline>
              </w:drawing>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2.9项目总平面布置合理性分析</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eastAsia" w:ascii="宋体" w:hAnsi="宋体" w:eastAsia="宋体" w:cs="宋体"/>
                <w:color w:val="auto"/>
                <w:kern w:val="2"/>
                <w:sz w:val="24"/>
                <w:szCs w:val="24"/>
                <w:lang w:val="en-US" w:eastAsia="zh-CN" w:bidi="ar"/>
              </w:rPr>
              <w:t>本次评价从放喷池布置、油罐区布置合理性分析本工程平面布置的合理性，平面布置执行《钻前工程及井场布置技术要求》（</w:t>
            </w:r>
            <w:r>
              <w:rPr>
                <w:rFonts w:hint="default" w:ascii="Times New Roman" w:hAnsi="Times New Roman" w:eastAsia="宋体" w:cs="Times New Roman"/>
                <w:color w:val="auto"/>
                <w:kern w:val="2"/>
                <w:sz w:val="24"/>
                <w:szCs w:val="24"/>
                <w:lang w:val="en-US" w:eastAsia="zh-CN" w:bidi="ar"/>
              </w:rPr>
              <w:t>SY/T5466-2013</w:t>
            </w:r>
            <w:r>
              <w:rPr>
                <w:rFonts w:hint="eastAsia" w:ascii="宋体" w:hAnsi="宋体" w:eastAsia="宋体" w:cs="宋体"/>
                <w:color w:val="auto"/>
                <w:kern w:val="2"/>
                <w:sz w:val="24"/>
                <w:szCs w:val="24"/>
                <w:lang w:val="en-US" w:eastAsia="zh-CN" w:bidi="ar"/>
              </w:rPr>
              <w:t>）、《石油与天然气钻井、开发、储运防火防爆安全生产管理规定》（</w:t>
            </w:r>
            <w:r>
              <w:rPr>
                <w:rFonts w:hint="default" w:ascii="Times New Roman" w:hAnsi="Times New Roman" w:eastAsia="宋体" w:cs="Times New Roman"/>
                <w:color w:val="auto"/>
                <w:kern w:val="2"/>
                <w:sz w:val="24"/>
                <w:szCs w:val="24"/>
                <w:lang w:val="en-US" w:eastAsia="zh-CN" w:bidi="ar"/>
              </w:rPr>
              <w:t>SY5225-2012</w:t>
            </w:r>
            <w:r>
              <w:rPr>
                <w:rFonts w:hint="eastAsia" w:ascii="宋体" w:hAnsi="宋体" w:eastAsia="宋体" w:cs="宋体"/>
                <w:color w:val="auto"/>
                <w:kern w:val="2"/>
                <w:sz w:val="24"/>
                <w:szCs w:val="24"/>
                <w:lang w:val="en-US" w:eastAsia="zh-CN" w:bidi="ar"/>
              </w:rPr>
              <w:t>）等石油天然气行业标准的相关规定。</w:t>
            </w:r>
          </w:p>
          <w:p>
            <w:pPr>
              <w:pStyle w:val="38"/>
              <w:keepNext w:val="0"/>
              <w:keepLines w:val="0"/>
              <w:widowControl w:val="0"/>
              <w:numPr>
                <w:ilvl w:val="0"/>
                <w:numId w:val="7"/>
              </w:numPr>
              <w:suppressLineNumbers w:val="0"/>
              <w:snapToGrid w:val="0"/>
              <w:spacing w:before="0" w:beforeAutospacing="0" w:after="0" w:afterAutospacing="0" w:line="360" w:lineRule="auto"/>
              <w:ind w:left="0" w:right="0" w:firstLine="0"/>
              <w:jc w:val="center"/>
              <w:rPr>
                <w:rFonts w:hint="default" w:ascii="Times New Roman" w:hAnsi="Times New Roman" w:eastAsia="宋体" w:cs="Times New Roman"/>
                <w:b/>
                <w:bCs/>
                <w:color w:val="auto"/>
                <w:kern w:val="0"/>
                <w:sz w:val="21"/>
                <w:szCs w:val="21"/>
              </w:rPr>
            </w:pPr>
            <w:r>
              <w:rPr>
                <w:rFonts w:hint="eastAsia" w:ascii="宋体" w:hAnsi="宋体" w:eastAsia="宋体" w:cs="宋体"/>
                <w:b/>
                <w:bCs/>
                <w:color w:val="auto"/>
                <w:kern w:val="0"/>
                <w:sz w:val="21"/>
                <w:szCs w:val="21"/>
                <w:lang w:val="en-US" w:eastAsia="zh-CN" w:bidi="ar"/>
              </w:rPr>
              <w:t>项目总平面布置合理性分析一览表</w:t>
            </w:r>
          </w:p>
          <w:tbl>
            <w:tblPr>
              <w:tblStyle w:val="45"/>
              <w:tblW w:w="749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329"/>
              <w:gridCol w:w="2411"/>
              <w:gridCol w:w="37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c>
                <w:tcPr>
                  <w:tcW w:w="132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ind w:left="0" w:right="0" w:rightChars="0"/>
                    <w:jc w:val="center"/>
                    <w:rPr>
                      <w:rFonts w:hint="default" w:ascii="Times New Roman" w:hAnsi="Times New Roman" w:eastAsia="宋体" w:cs="Times New Roman"/>
                      <w:color w:val="auto"/>
                      <w:kern w:val="2"/>
                      <w:sz w:val="21"/>
                      <w:szCs w:val="21"/>
                    </w:rPr>
                  </w:pPr>
                  <w:r>
                    <w:rPr>
                      <w:rFonts w:hint="eastAsia" w:ascii="宋体" w:hAnsi="宋体" w:eastAsia="宋体" w:cs="宋体"/>
                      <w:color w:val="auto"/>
                      <w:kern w:val="2"/>
                      <w:sz w:val="21"/>
                      <w:szCs w:val="21"/>
                      <w:lang w:val="en-US" w:eastAsia="zh-CN" w:bidi="ar"/>
                    </w:rPr>
                    <w:t>类型</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ind w:left="0" w:right="0"/>
                    <w:jc w:val="center"/>
                    <w:rPr>
                      <w:rFonts w:hint="default" w:ascii="Times New Roman" w:hAnsi="Times New Roman" w:eastAsia="宋体" w:cs="Times New Roman"/>
                      <w:color w:val="auto"/>
                      <w:kern w:val="2"/>
                      <w:sz w:val="21"/>
                      <w:szCs w:val="21"/>
                    </w:rPr>
                  </w:pPr>
                  <w:r>
                    <w:rPr>
                      <w:rFonts w:hint="eastAsia" w:ascii="宋体" w:hAnsi="宋体" w:eastAsia="宋体" w:cs="宋体"/>
                      <w:color w:val="auto"/>
                      <w:kern w:val="2"/>
                      <w:sz w:val="21"/>
                      <w:szCs w:val="21"/>
                      <w:lang w:val="en-US" w:eastAsia="zh-CN" w:bidi="ar"/>
                    </w:rPr>
                    <w:t>标准及规范要求</w:t>
                  </w:r>
                </w:p>
              </w:tc>
              <w:tc>
                <w:tcPr>
                  <w:tcW w:w="375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ind w:left="0" w:right="0"/>
                    <w:jc w:val="center"/>
                    <w:rPr>
                      <w:rFonts w:hint="default" w:ascii="Times New Roman" w:hAnsi="Times New Roman" w:eastAsia="宋体" w:cs="Times New Roman"/>
                      <w:color w:val="auto"/>
                      <w:kern w:val="2"/>
                      <w:sz w:val="21"/>
                      <w:szCs w:val="21"/>
                    </w:rPr>
                  </w:pPr>
                  <w:r>
                    <w:rPr>
                      <w:rFonts w:hint="eastAsia" w:ascii="宋体" w:hAnsi="宋体" w:eastAsia="宋体" w:cs="宋体"/>
                      <w:color w:val="auto"/>
                      <w:kern w:val="2"/>
                      <w:sz w:val="21"/>
                      <w:szCs w:val="21"/>
                      <w:lang w:val="en-US" w:eastAsia="zh-CN" w:bidi="ar"/>
                    </w:rPr>
                    <w:t>项目情况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ind w:left="0" w:right="0" w:rightChars="0"/>
                    <w:jc w:val="both"/>
                    <w:rPr>
                      <w:rFonts w:hint="eastAsia" w:ascii="Times New Roman" w:hAnsi="Times New Roman" w:eastAsia="宋体" w:cs="Times New Roman"/>
                      <w:color w:val="auto"/>
                      <w:kern w:val="2"/>
                      <w:sz w:val="21"/>
                      <w:szCs w:val="21"/>
                    </w:rPr>
                  </w:pPr>
                  <w:r>
                    <w:rPr>
                      <w:rFonts w:hint="eastAsia" w:ascii="宋体" w:hAnsi="宋体" w:eastAsia="宋体" w:cs="宋体"/>
                      <w:color w:val="auto"/>
                      <w:kern w:val="2"/>
                      <w:sz w:val="21"/>
                      <w:szCs w:val="21"/>
                      <w:lang w:val="en-US" w:eastAsia="zh-CN" w:bidi="ar"/>
                    </w:rPr>
                    <w:t>油罐区布置合理性分析</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ind w:left="0" w:right="0"/>
                    <w:jc w:val="both"/>
                    <w:rPr>
                      <w:rFonts w:hint="default" w:ascii="Times New Roman" w:hAnsi="Times New Roman" w:eastAsia="宋体" w:cs="Times New Roman"/>
                      <w:color w:val="auto"/>
                      <w:kern w:val="2"/>
                      <w:sz w:val="21"/>
                      <w:szCs w:val="21"/>
                    </w:rPr>
                  </w:pPr>
                  <w:r>
                    <w:rPr>
                      <w:rFonts w:hint="eastAsia" w:ascii="宋体" w:hAnsi="宋体" w:eastAsia="宋体" w:cs="宋体"/>
                      <w:color w:val="auto"/>
                      <w:kern w:val="2"/>
                      <w:sz w:val="21"/>
                      <w:szCs w:val="21"/>
                      <w:lang w:val="en-US" w:eastAsia="zh-CN" w:bidi="ar"/>
                    </w:rPr>
                    <w:t>《石油天然气钻井、开发、储运防火防爆安全生产技术规程（</w:t>
                  </w:r>
                  <w:r>
                    <w:rPr>
                      <w:rFonts w:hint="default" w:ascii="Times New Roman" w:hAnsi="Times New Roman" w:eastAsia="宋体" w:cs="Times New Roman"/>
                      <w:color w:val="auto"/>
                      <w:kern w:val="2"/>
                      <w:sz w:val="21"/>
                      <w:szCs w:val="21"/>
                      <w:lang w:val="en-US" w:eastAsia="zh-CN" w:bidi="ar"/>
                    </w:rPr>
                    <w:t>SY5225-2012</w:t>
                  </w:r>
                  <w:r>
                    <w:rPr>
                      <w:rFonts w:hint="eastAsia" w:ascii="宋体" w:hAnsi="宋体" w:eastAsia="宋体" w:cs="宋体"/>
                      <w:color w:val="auto"/>
                      <w:kern w:val="2"/>
                      <w:sz w:val="21"/>
                      <w:szCs w:val="21"/>
                      <w:lang w:val="en-US" w:eastAsia="zh-CN" w:bidi="ar"/>
                    </w:rPr>
                    <w:t>）》中第</w:t>
                  </w:r>
                  <w:r>
                    <w:rPr>
                      <w:rFonts w:hint="default" w:ascii="Times New Roman" w:hAnsi="Times New Roman" w:eastAsia="宋体" w:cs="Times New Roman"/>
                      <w:color w:val="auto"/>
                      <w:kern w:val="2"/>
                      <w:sz w:val="21"/>
                      <w:szCs w:val="21"/>
                      <w:lang w:val="en-US" w:eastAsia="zh-CN" w:bidi="ar"/>
                    </w:rPr>
                    <w:t>3.1.3</w:t>
                  </w:r>
                  <w:r>
                    <w:rPr>
                      <w:rFonts w:hint="eastAsia" w:ascii="宋体" w:hAnsi="宋体" w:eastAsia="宋体" w:cs="宋体"/>
                      <w:color w:val="auto"/>
                      <w:kern w:val="2"/>
                      <w:sz w:val="21"/>
                      <w:szCs w:val="21"/>
                      <w:lang w:val="en-US" w:eastAsia="zh-CN" w:bidi="ar"/>
                    </w:rPr>
                    <w:t>条规定：柴油罐区距井口应不小于</w:t>
                  </w:r>
                  <w:r>
                    <w:rPr>
                      <w:rFonts w:hint="default" w:ascii="Times New Roman" w:hAnsi="Times New Roman" w:eastAsia="宋体" w:cs="Times New Roman"/>
                      <w:color w:val="auto"/>
                      <w:kern w:val="2"/>
                      <w:sz w:val="21"/>
                      <w:szCs w:val="21"/>
                      <w:lang w:val="en-US" w:eastAsia="zh-CN" w:bidi="ar"/>
                    </w:rPr>
                    <w:t>30m</w:t>
                  </w:r>
                </w:p>
              </w:tc>
              <w:tc>
                <w:tcPr>
                  <w:tcW w:w="375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ind w:left="0" w:right="0"/>
                    <w:jc w:val="both"/>
                    <w:rPr>
                      <w:rFonts w:hint="default" w:ascii="Times New Roman" w:hAnsi="Times New Roman" w:eastAsia="宋体" w:cs="Times New Roman"/>
                      <w:color w:val="auto"/>
                      <w:kern w:val="2"/>
                      <w:sz w:val="21"/>
                      <w:szCs w:val="21"/>
                    </w:rPr>
                  </w:pPr>
                  <w:r>
                    <w:rPr>
                      <w:rFonts w:hint="eastAsia" w:ascii="宋体" w:hAnsi="宋体" w:eastAsia="宋体" w:cs="宋体"/>
                      <w:color w:val="auto"/>
                      <w:kern w:val="2"/>
                      <w:sz w:val="21"/>
                      <w:szCs w:val="21"/>
                      <w:lang w:val="en-US" w:eastAsia="zh-CN" w:bidi="ar"/>
                    </w:rPr>
                    <w:t>油罐区布置在井场东侧，距离最近井口约</w:t>
                  </w:r>
                  <w:r>
                    <w:rPr>
                      <w:rFonts w:hint="default" w:ascii="Times New Roman" w:hAnsi="Times New Roman" w:eastAsia="宋体" w:cs="Times New Roman"/>
                      <w:color w:val="auto"/>
                      <w:kern w:val="2"/>
                      <w:sz w:val="21"/>
                      <w:szCs w:val="21"/>
                      <w:lang w:val="en-US" w:eastAsia="zh-CN" w:bidi="ar"/>
                    </w:rPr>
                    <w:t>5</w:t>
                  </w:r>
                  <w:r>
                    <w:rPr>
                      <w:rFonts w:hint="eastAsia" w:ascii="Times New Roman" w:hAnsi="Times New Roman" w:eastAsia="宋体" w:cs="Times New Roman"/>
                      <w:color w:val="auto"/>
                      <w:kern w:val="2"/>
                      <w:sz w:val="21"/>
                      <w:szCs w:val="21"/>
                      <w:lang w:val="en-US" w:eastAsia="zh-CN" w:bidi="ar"/>
                    </w:rPr>
                    <w:t>2</w:t>
                  </w:r>
                  <w:r>
                    <w:rPr>
                      <w:rFonts w:hint="default" w:ascii="Times New Roman" w:hAnsi="Times New Roman" w:eastAsia="宋体" w:cs="Times New Roman"/>
                      <w:color w:val="auto"/>
                      <w:kern w:val="2"/>
                      <w:sz w:val="21"/>
                      <w:szCs w:val="21"/>
                      <w:lang w:val="en-US" w:eastAsia="zh-CN" w:bidi="ar"/>
                    </w:rPr>
                    <w:t>m</w:t>
                  </w:r>
                  <w:r>
                    <w:rPr>
                      <w:rFonts w:hint="eastAsia" w:ascii="宋体" w:hAnsi="宋体" w:eastAsia="宋体" w:cs="宋体"/>
                      <w:color w:val="auto"/>
                      <w:kern w:val="2"/>
                      <w:sz w:val="21"/>
                      <w:szCs w:val="21"/>
                      <w:lang w:val="en-US" w:eastAsia="zh-CN" w:bidi="ar"/>
                    </w:rPr>
                    <w:t>，满足防火间距的要求。且油罐采用架空式储存，罐体下方设置</w:t>
                  </w:r>
                  <w:r>
                    <w:rPr>
                      <w:rFonts w:hint="default" w:ascii="Times New Roman" w:hAnsi="Times New Roman" w:eastAsia="宋体" w:cs="Times New Roman"/>
                      <w:color w:val="auto"/>
                      <w:kern w:val="2"/>
                      <w:sz w:val="21"/>
                      <w:szCs w:val="21"/>
                      <w:lang w:val="en-US" w:eastAsia="zh-CN" w:bidi="ar"/>
                    </w:rPr>
                    <w:t>10m×10m×0.3m</w:t>
                  </w:r>
                  <w:r>
                    <w:rPr>
                      <w:rFonts w:hint="eastAsia" w:ascii="宋体" w:hAnsi="宋体" w:eastAsia="宋体" w:cs="宋体"/>
                      <w:color w:val="auto"/>
                      <w:kern w:val="2"/>
                      <w:sz w:val="21"/>
                      <w:szCs w:val="21"/>
                      <w:lang w:val="en-US" w:eastAsia="zh-CN" w:bidi="ar"/>
                    </w:rPr>
                    <w:t>围堰，发生泄漏易发现，并能及时收集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ind w:left="0" w:right="0"/>
                    <w:jc w:val="both"/>
                    <w:rPr>
                      <w:rFonts w:hint="default" w:ascii="Times New Roman" w:hAnsi="Times New Roman" w:eastAsia="宋体" w:cs="Times New Roman"/>
                      <w:color w:val="auto"/>
                      <w:kern w:val="2"/>
                      <w:sz w:val="21"/>
                      <w:szCs w:val="21"/>
                    </w:rPr>
                  </w:pPr>
                  <w:r>
                    <w:rPr>
                      <w:rFonts w:hint="eastAsia" w:ascii="宋体" w:hAnsi="宋体" w:eastAsia="宋体" w:cs="宋体"/>
                      <w:color w:val="auto"/>
                      <w:kern w:val="2"/>
                      <w:sz w:val="21"/>
                      <w:szCs w:val="21"/>
                      <w:lang w:val="en-US" w:eastAsia="zh-CN" w:bidi="ar"/>
                    </w:rPr>
                    <w:t>放喷池布置合理性分析</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ind w:left="0" w:right="0"/>
                    <w:jc w:val="both"/>
                    <w:rPr>
                      <w:rFonts w:hint="default" w:ascii="Times New Roman" w:hAnsi="Times New Roman" w:eastAsia="宋体" w:cs="Times New Roman"/>
                      <w:color w:val="auto"/>
                      <w:kern w:val="2"/>
                      <w:sz w:val="21"/>
                      <w:szCs w:val="21"/>
                    </w:rPr>
                  </w:pPr>
                  <w:r>
                    <w:rPr>
                      <w:rFonts w:hint="eastAsia" w:ascii="宋体" w:hAnsi="宋体" w:cs="宋体"/>
                      <w:color w:val="auto"/>
                      <w:kern w:val="2"/>
                      <w:sz w:val="21"/>
                      <w:szCs w:val="21"/>
                      <w:lang w:val="en-US" w:eastAsia="zh-CN" w:bidi="ar"/>
                    </w:rPr>
                    <w:t>《</w:t>
                  </w:r>
                  <w:r>
                    <w:rPr>
                      <w:rFonts w:hint="eastAsia" w:ascii="宋体" w:hAnsi="宋体" w:eastAsia="宋体" w:cs="宋体"/>
                      <w:color w:val="auto"/>
                      <w:kern w:val="2"/>
                      <w:sz w:val="21"/>
                      <w:szCs w:val="21"/>
                      <w:lang w:val="en-US" w:eastAsia="zh-CN" w:bidi="ar"/>
                    </w:rPr>
                    <w:t>钻井井控技术规程》（</w:t>
                  </w:r>
                  <w:r>
                    <w:rPr>
                      <w:rFonts w:hint="default" w:ascii="Times New Roman" w:hAnsi="Times New Roman" w:eastAsia="宋体" w:cs="Times New Roman"/>
                      <w:color w:val="auto"/>
                      <w:kern w:val="2"/>
                      <w:sz w:val="21"/>
                      <w:szCs w:val="21"/>
                      <w:lang w:val="en-US" w:eastAsia="zh-CN" w:bidi="ar"/>
                    </w:rPr>
                    <w:t>Q/SY02552-2018</w:t>
                  </w:r>
                  <w:r>
                    <w:rPr>
                      <w:rFonts w:hint="eastAsia" w:ascii="宋体" w:hAnsi="宋体" w:eastAsia="宋体" w:cs="宋体"/>
                      <w:color w:val="auto"/>
                      <w:kern w:val="2"/>
                      <w:sz w:val="21"/>
                      <w:szCs w:val="21"/>
                      <w:lang w:val="en-US" w:eastAsia="zh-CN" w:bidi="ar"/>
                    </w:rPr>
                    <w:t>）中的第</w:t>
                  </w:r>
                  <w:r>
                    <w:rPr>
                      <w:rFonts w:hint="default" w:ascii="Times New Roman" w:hAnsi="Times New Roman" w:eastAsia="宋体" w:cs="Times New Roman"/>
                      <w:color w:val="auto"/>
                      <w:kern w:val="2"/>
                      <w:sz w:val="21"/>
                      <w:szCs w:val="21"/>
                      <w:lang w:val="en-US" w:eastAsia="zh-CN" w:bidi="ar"/>
                    </w:rPr>
                    <w:t>5.1.3.4</w:t>
                  </w:r>
                  <w:r>
                    <w:rPr>
                      <w:rFonts w:hint="eastAsia" w:ascii="宋体" w:hAnsi="宋体" w:eastAsia="宋体" w:cs="宋体"/>
                      <w:color w:val="auto"/>
                      <w:kern w:val="2"/>
                      <w:sz w:val="21"/>
                      <w:szCs w:val="21"/>
                      <w:lang w:val="en-US" w:eastAsia="zh-CN" w:bidi="ar"/>
                    </w:rPr>
                    <w:t>条规定：管线出口应接至距井口</w:t>
                  </w:r>
                  <w:r>
                    <w:rPr>
                      <w:rFonts w:hint="default" w:ascii="Times New Roman" w:hAnsi="Times New Roman" w:eastAsia="宋体" w:cs="Times New Roman"/>
                      <w:color w:val="auto"/>
                      <w:kern w:val="2"/>
                      <w:sz w:val="21"/>
                      <w:szCs w:val="21"/>
                      <w:lang w:val="en-US" w:eastAsia="zh-CN" w:bidi="ar"/>
                    </w:rPr>
                    <w:t>75m</w:t>
                  </w:r>
                  <w:r>
                    <w:rPr>
                      <w:rFonts w:hint="eastAsia" w:ascii="宋体" w:hAnsi="宋体" w:eastAsia="宋体" w:cs="宋体"/>
                      <w:color w:val="auto"/>
                      <w:kern w:val="2"/>
                      <w:sz w:val="21"/>
                      <w:szCs w:val="21"/>
                      <w:lang w:val="en-US" w:eastAsia="zh-CN" w:bidi="ar"/>
                    </w:rPr>
                    <w:t>以上的安全地带。《石油天然气钻井、开发、储运防火防爆安全生产技术规程》（</w:t>
                  </w:r>
                  <w:r>
                    <w:rPr>
                      <w:rFonts w:hint="default" w:ascii="Times New Roman" w:hAnsi="Times New Roman" w:eastAsia="宋体" w:cs="Times New Roman"/>
                      <w:color w:val="auto"/>
                      <w:kern w:val="2"/>
                      <w:sz w:val="21"/>
                      <w:szCs w:val="21"/>
                      <w:lang w:val="en-US" w:eastAsia="zh-CN" w:bidi="ar"/>
                    </w:rPr>
                    <w:t>SY5225-2012</w:t>
                  </w:r>
                  <w:r>
                    <w:rPr>
                      <w:rFonts w:hint="eastAsia" w:ascii="宋体" w:hAnsi="宋体" w:eastAsia="宋体" w:cs="宋体"/>
                      <w:color w:val="auto"/>
                      <w:kern w:val="2"/>
                      <w:sz w:val="21"/>
                      <w:szCs w:val="21"/>
                      <w:lang w:val="en-US" w:eastAsia="zh-CN" w:bidi="ar"/>
                    </w:rPr>
                    <w:t>）第</w:t>
                  </w:r>
                  <w:r>
                    <w:rPr>
                      <w:rFonts w:hint="default" w:ascii="Times New Roman" w:hAnsi="Times New Roman" w:eastAsia="宋体" w:cs="Times New Roman"/>
                      <w:color w:val="auto"/>
                      <w:kern w:val="2"/>
                      <w:sz w:val="21"/>
                      <w:szCs w:val="21"/>
                      <w:lang w:val="en-US" w:eastAsia="zh-CN" w:bidi="ar"/>
                    </w:rPr>
                    <w:t>3.1.4</w:t>
                  </w:r>
                  <w:r>
                    <w:rPr>
                      <w:rFonts w:hint="eastAsia" w:ascii="宋体" w:hAnsi="宋体" w:eastAsia="宋体" w:cs="宋体"/>
                      <w:color w:val="auto"/>
                      <w:kern w:val="2"/>
                      <w:sz w:val="21"/>
                      <w:szCs w:val="21"/>
                      <w:lang w:val="en-US" w:eastAsia="zh-CN" w:bidi="ar"/>
                    </w:rPr>
                    <w:t>规定：放喷管线出口距井口应不小于</w:t>
                  </w:r>
                  <w:r>
                    <w:rPr>
                      <w:rFonts w:hint="default" w:ascii="Times New Roman" w:hAnsi="Times New Roman" w:eastAsia="宋体" w:cs="Times New Roman"/>
                      <w:color w:val="auto"/>
                      <w:kern w:val="2"/>
                      <w:sz w:val="21"/>
                      <w:szCs w:val="21"/>
                      <w:lang w:val="en-US" w:eastAsia="zh-CN" w:bidi="ar"/>
                    </w:rPr>
                    <w:t>75m</w:t>
                  </w:r>
                  <w:r>
                    <w:rPr>
                      <w:rFonts w:hint="eastAsia" w:ascii="宋体" w:hAnsi="宋体" w:eastAsia="宋体" w:cs="宋体"/>
                      <w:color w:val="auto"/>
                      <w:kern w:val="2"/>
                      <w:sz w:val="21"/>
                      <w:szCs w:val="21"/>
                      <w:lang w:val="en-US" w:eastAsia="zh-CN" w:bidi="ar"/>
                    </w:rPr>
                    <w:t>；</w:t>
                  </w:r>
                </w:p>
              </w:tc>
              <w:tc>
                <w:tcPr>
                  <w:tcW w:w="375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ind w:left="0" w:right="0"/>
                    <w:jc w:val="both"/>
                    <w:rPr>
                      <w:rFonts w:hint="eastAsia" w:ascii="Times New Roman" w:hAnsi="Times New Roman" w:eastAsia="宋体" w:cs="Times New Roman"/>
                      <w:color w:val="auto"/>
                      <w:kern w:val="2"/>
                      <w:sz w:val="21"/>
                      <w:szCs w:val="21"/>
                    </w:rPr>
                  </w:pPr>
                  <w:r>
                    <w:rPr>
                      <w:rFonts w:hint="eastAsia" w:ascii="宋体" w:hAnsi="宋体" w:eastAsia="宋体" w:cs="宋体"/>
                      <w:color w:val="auto"/>
                      <w:kern w:val="2"/>
                      <w:sz w:val="21"/>
                      <w:szCs w:val="21"/>
                      <w:lang w:val="en-US" w:eastAsia="zh-CN" w:bidi="ar"/>
                    </w:rPr>
                    <w:t>本项目新建</w:t>
                  </w:r>
                  <w:r>
                    <w:rPr>
                      <w:rFonts w:hint="default" w:ascii="Times New Roman" w:hAnsi="Times New Roman" w:eastAsia="宋体" w:cs="Times New Roman"/>
                      <w:color w:val="auto"/>
                      <w:kern w:val="2"/>
                      <w:sz w:val="21"/>
                      <w:szCs w:val="21"/>
                      <w:lang w:val="en-US" w:eastAsia="zh-CN" w:bidi="ar"/>
                    </w:rPr>
                    <w:t>1</w:t>
                  </w:r>
                  <w:r>
                    <w:rPr>
                      <w:rFonts w:hint="eastAsia" w:ascii="宋体" w:hAnsi="宋体" w:eastAsia="宋体" w:cs="宋体"/>
                      <w:color w:val="auto"/>
                      <w:kern w:val="2"/>
                      <w:sz w:val="21"/>
                      <w:szCs w:val="21"/>
                      <w:lang w:val="en-US" w:eastAsia="zh-CN" w:bidi="ar"/>
                    </w:rPr>
                    <w:t>座放喷池，放喷池位于井场外东侧，距离井口分</w:t>
                  </w:r>
                  <w:r>
                    <w:rPr>
                      <w:rFonts w:hint="default" w:ascii="Times New Roman" w:hAnsi="Times New Roman" w:eastAsia="宋体" w:cs="Times New Roman"/>
                      <w:color w:val="auto"/>
                      <w:kern w:val="2"/>
                      <w:sz w:val="21"/>
                      <w:szCs w:val="21"/>
                      <w:lang w:val="en-US" w:eastAsia="zh-CN" w:bidi="ar"/>
                    </w:rPr>
                    <w:t>401X</w:t>
                  </w:r>
                  <w:r>
                    <w:rPr>
                      <w:rFonts w:hint="eastAsia" w:ascii="宋体" w:hAnsi="宋体" w:eastAsia="宋体" w:cs="宋体"/>
                      <w:color w:val="auto"/>
                      <w:kern w:val="2"/>
                      <w:sz w:val="21"/>
                      <w:szCs w:val="21"/>
                      <w:lang w:val="en-US" w:eastAsia="zh-CN" w:bidi="ar"/>
                    </w:rPr>
                    <w:t>井约为113</w:t>
                  </w:r>
                  <w:r>
                    <w:rPr>
                      <w:rFonts w:hint="default" w:ascii="Times New Roman" w:hAnsi="Times New Roman" w:eastAsia="宋体" w:cs="Times New Roman"/>
                      <w:color w:val="auto"/>
                      <w:kern w:val="2"/>
                      <w:sz w:val="21"/>
                      <w:szCs w:val="21"/>
                      <w:lang w:val="en-US" w:eastAsia="zh-CN" w:bidi="ar"/>
                    </w:rPr>
                    <w:t>m</w:t>
                  </w:r>
                  <w:r>
                    <w:rPr>
                      <w:rFonts w:hint="eastAsia" w:ascii="宋体" w:hAnsi="宋体" w:eastAsia="宋体" w:cs="宋体"/>
                      <w:color w:val="auto"/>
                      <w:kern w:val="2"/>
                      <w:sz w:val="21"/>
                      <w:szCs w:val="21"/>
                      <w:lang w:val="en-US" w:eastAsia="zh-CN" w:bidi="ar"/>
                    </w:rPr>
                    <w:t>，大于</w:t>
                  </w:r>
                  <w:r>
                    <w:rPr>
                      <w:rFonts w:hint="default" w:ascii="Times New Roman" w:hAnsi="Times New Roman" w:eastAsia="宋体" w:cs="Times New Roman"/>
                      <w:color w:val="auto"/>
                      <w:kern w:val="2"/>
                      <w:sz w:val="21"/>
                      <w:szCs w:val="21"/>
                      <w:lang w:val="en-US" w:eastAsia="zh-CN" w:bidi="ar"/>
                    </w:rPr>
                    <w:t>75m</w:t>
                  </w:r>
                  <w:r>
                    <w:rPr>
                      <w:rFonts w:hint="eastAsia" w:ascii="宋体" w:hAnsi="宋体" w:eastAsia="宋体" w:cs="宋体"/>
                      <w:color w:val="auto"/>
                      <w:kern w:val="2"/>
                      <w:sz w:val="21"/>
                      <w:szCs w:val="21"/>
                      <w:lang w:val="en-US" w:eastAsia="zh-CN" w:bidi="ar"/>
                    </w:rPr>
                    <w:t>。根据现场调查，放喷池周围</w:t>
                  </w:r>
                  <w:r>
                    <w:rPr>
                      <w:rFonts w:hint="default" w:ascii="Times New Roman" w:hAnsi="Times New Roman" w:eastAsia="宋体" w:cs="Times New Roman"/>
                      <w:color w:val="auto"/>
                      <w:kern w:val="2"/>
                      <w:sz w:val="21"/>
                      <w:szCs w:val="21"/>
                      <w:lang w:val="en-US" w:eastAsia="zh-CN" w:bidi="ar"/>
                    </w:rPr>
                    <w:t>50m</w:t>
                  </w:r>
                  <w:r>
                    <w:rPr>
                      <w:rFonts w:hint="eastAsia" w:ascii="宋体" w:hAnsi="宋体" w:eastAsia="宋体" w:cs="宋体"/>
                      <w:color w:val="auto"/>
                      <w:kern w:val="2"/>
                      <w:sz w:val="21"/>
                      <w:szCs w:val="21"/>
                      <w:lang w:val="en-US" w:eastAsia="zh-CN" w:bidi="ar"/>
                    </w:rPr>
                    <w:t>范围内无各类设施和民房。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ind w:left="0" w:right="0"/>
                    <w:jc w:val="both"/>
                    <w:rPr>
                      <w:rFonts w:hint="default" w:ascii="Times New Roman" w:hAnsi="Times New Roman" w:eastAsia="宋体" w:cs="Times New Roman"/>
                      <w:color w:val="auto"/>
                      <w:kern w:val="2"/>
                      <w:sz w:val="21"/>
                      <w:szCs w:val="21"/>
                    </w:rPr>
                  </w:pPr>
                  <w:r>
                    <w:rPr>
                      <w:rFonts w:hint="eastAsia" w:ascii="宋体" w:hAnsi="宋体" w:eastAsia="宋体" w:cs="宋体"/>
                      <w:color w:val="auto"/>
                      <w:kern w:val="2"/>
                      <w:sz w:val="21"/>
                      <w:szCs w:val="21"/>
                      <w:lang w:val="en-US" w:eastAsia="zh-CN" w:bidi="ar"/>
                    </w:rPr>
                    <w:t>环境监测池布置合理性分析</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ind w:left="0" w:right="0"/>
                    <w:jc w:val="both"/>
                    <w:rPr>
                      <w:rFonts w:hint="eastAsia" w:ascii="Times New Roman" w:hAnsi="Times New Roman" w:eastAsia="宋体" w:cs="Times New Roman"/>
                      <w:color w:val="auto"/>
                      <w:kern w:val="2"/>
                      <w:sz w:val="21"/>
                      <w:szCs w:val="21"/>
                    </w:rPr>
                  </w:pPr>
                  <w:r>
                    <w:rPr>
                      <w:rFonts w:hint="default" w:ascii="Times New Roman" w:hAnsi="Times New Roman" w:eastAsia="宋体" w:cs="Times New Roman"/>
                      <w:color w:val="auto"/>
                      <w:kern w:val="2"/>
                      <w:sz w:val="21"/>
                      <w:szCs w:val="21"/>
                      <w:lang w:val="en-US" w:eastAsia="zh-CN" w:bidi="ar"/>
                    </w:rPr>
                    <w:t>/</w:t>
                  </w:r>
                </w:p>
              </w:tc>
              <w:tc>
                <w:tcPr>
                  <w:tcW w:w="375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ind w:left="0" w:right="0"/>
                    <w:jc w:val="both"/>
                    <w:rPr>
                      <w:rFonts w:hint="default" w:ascii="Times New Roman" w:hAnsi="Times New Roman" w:eastAsia="宋体" w:cs="Times New Roman"/>
                      <w:color w:val="auto"/>
                      <w:kern w:val="2"/>
                      <w:sz w:val="21"/>
                      <w:szCs w:val="21"/>
                    </w:rPr>
                  </w:pPr>
                  <w:r>
                    <w:rPr>
                      <w:rFonts w:hint="eastAsia" w:ascii="宋体" w:hAnsi="宋体" w:eastAsia="宋体" w:cs="宋体"/>
                      <w:color w:val="auto"/>
                      <w:kern w:val="2"/>
                      <w:sz w:val="21"/>
                      <w:szCs w:val="21"/>
                      <w:lang w:val="en-US" w:eastAsia="zh-CN" w:bidi="ar"/>
                    </w:rPr>
                    <w:t>共设</w:t>
                  </w:r>
                  <w:r>
                    <w:rPr>
                      <w:rFonts w:hint="default" w:ascii="Times New Roman" w:hAnsi="Times New Roman" w:eastAsia="宋体" w:cs="Times New Roman"/>
                      <w:color w:val="auto"/>
                      <w:kern w:val="2"/>
                      <w:sz w:val="21"/>
                      <w:szCs w:val="21"/>
                      <w:lang w:val="en-US" w:eastAsia="zh-CN" w:bidi="ar"/>
                    </w:rPr>
                    <w:t>2</w:t>
                  </w:r>
                  <w:r>
                    <w:rPr>
                      <w:rFonts w:hint="eastAsia" w:ascii="宋体" w:hAnsi="宋体" w:eastAsia="宋体" w:cs="宋体"/>
                      <w:color w:val="auto"/>
                      <w:kern w:val="2"/>
                      <w:sz w:val="21"/>
                      <w:szCs w:val="21"/>
                      <w:lang w:val="en-US" w:eastAsia="zh-CN" w:bidi="ar"/>
                    </w:rPr>
                    <w:t>座环境监测池，生活区设</w:t>
                  </w:r>
                  <w:r>
                    <w:rPr>
                      <w:rFonts w:hint="default" w:ascii="Times New Roman" w:hAnsi="Times New Roman" w:eastAsia="宋体" w:cs="Times New Roman"/>
                      <w:color w:val="auto"/>
                      <w:kern w:val="2"/>
                      <w:sz w:val="21"/>
                      <w:szCs w:val="21"/>
                      <w:lang w:val="en-US" w:eastAsia="zh-CN" w:bidi="ar"/>
                    </w:rPr>
                    <w:t>1</w:t>
                  </w:r>
                  <w:r>
                    <w:rPr>
                      <w:rFonts w:hint="eastAsia" w:ascii="宋体" w:hAnsi="宋体" w:eastAsia="宋体" w:cs="宋体"/>
                      <w:color w:val="auto"/>
                      <w:kern w:val="2"/>
                      <w:sz w:val="21"/>
                      <w:szCs w:val="21"/>
                      <w:lang w:val="en-US" w:eastAsia="zh-CN" w:bidi="ar"/>
                    </w:rPr>
                    <w:t>个隔油池。井场内环境监测池地势较低，便于及时收集作业期间产生的含油废水；由于井场内钻井设备较多，分布较为零散，为确保污水全部收集，故通过井场四周排水沟收集后排入环境监测池，利于井场含油废水及雨水的收集，避免含油废水外泄到井场外的土壤及地下水环境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ind w:left="0" w:right="0"/>
                    <w:jc w:val="both"/>
                    <w:rPr>
                      <w:rFonts w:hint="default" w:ascii="Times New Roman" w:hAnsi="Times New Roman" w:eastAsia="宋体" w:cs="Times New Roman"/>
                      <w:color w:val="auto"/>
                      <w:kern w:val="2"/>
                      <w:sz w:val="21"/>
                      <w:szCs w:val="21"/>
                    </w:rPr>
                  </w:pPr>
                  <w:r>
                    <w:rPr>
                      <w:rFonts w:hint="eastAsia" w:ascii="宋体" w:hAnsi="宋体" w:eastAsia="宋体" w:cs="宋体"/>
                      <w:color w:val="auto"/>
                      <w:kern w:val="2"/>
                      <w:sz w:val="21"/>
                      <w:szCs w:val="21"/>
                      <w:lang w:val="en-US" w:eastAsia="zh-CN" w:bidi="ar"/>
                    </w:rPr>
                    <w:t>噪声源布置合理性分析</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ind w:left="0" w:right="0"/>
                    <w:jc w:val="both"/>
                    <w:rPr>
                      <w:rFonts w:hint="default" w:ascii="Times New Roman" w:hAnsi="Times New Roman" w:eastAsia="宋体" w:cs="Times New Roman"/>
                      <w:color w:val="auto"/>
                      <w:kern w:val="2"/>
                      <w:sz w:val="21"/>
                      <w:szCs w:val="21"/>
                    </w:rPr>
                  </w:pPr>
                  <w:r>
                    <w:rPr>
                      <w:rFonts w:hint="eastAsia" w:ascii="宋体" w:hAnsi="宋体" w:eastAsia="宋体" w:cs="宋体"/>
                      <w:color w:val="auto"/>
                      <w:kern w:val="2"/>
                      <w:sz w:val="21"/>
                      <w:szCs w:val="21"/>
                      <w:lang w:val="en-US" w:eastAsia="zh-CN" w:bidi="ar"/>
                    </w:rPr>
                    <w:t>《钻前工程及井场布置技术要求》（</w:t>
                  </w:r>
                  <w:r>
                    <w:rPr>
                      <w:rFonts w:hint="default" w:ascii="Times New Roman" w:hAnsi="Times New Roman" w:eastAsia="宋体" w:cs="Times New Roman"/>
                      <w:color w:val="auto"/>
                      <w:kern w:val="2"/>
                      <w:sz w:val="21"/>
                      <w:szCs w:val="21"/>
                      <w:lang w:val="en-US" w:eastAsia="zh-CN" w:bidi="ar"/>
                    </w:rPr>
                    <w:t>SY/T5466-2013</w:t>
                  </w:r>
                  <w:r>
                    <w:rPr>
                      <w:rFonts w:hint="eastAsia" w:ascii="宋体" w:hAnsi="宋体" w:eastAsia="宋体" w:cs="宋体"/>
                      <w:color w:val="auto"/>
                      <w:kern w:val="2"/>
                      <w:sz w:val="21"/>
                      <w:szCs w:val="21"/>
                      <w:lang w:val="en-US" w:eastAsia="zh-CN" w:bidi="ar"/>
                    </w:rPr>
                    <w:t>）中的第</w:t>
                  </w:r>
                  <w:r>
                    <w:rPr>
                      <w:rFonts w:hint="default" w:ascii="Times New Roman" w:hAnsi="Times New Roman" w:eastAsia="宋体" w:cs="Times New Roman"/>
                      <w:color w:val="auto"/>
                      <w:kern w:val="2"/>
                      <w:sz w:val="21"/>
                      <w:szCs w:val="21"/>
                      <w:lang w:val="en-US" w:eastAsia="zh-CN" w:bidi="ar"/>
                    </w:rPr>
                    <w:t>4.3.2</w:t>
                  </w:r>
                  <w:r>
                    <w:rPr>
                      <w:rFonts w:hint="eastAsia" w:ascii="宋体" w:hAnsi="宋体" w:eastAsia="宋体" w:cs="宋体"/>
                      <w:color w:val="auto"/>
                      <w:kern w:val="2"/>
                      <w:sz w:val="21"/>
                      <w:szCs w:val="21"/>
                      <w:lang w:val="en-US" w:eastAsia="zh-CN" w:bidi="ar"/>
                    </w:rPr>
                    <w:t>条规定：电动钻机发电机组和电控房应布置并排置于井场的后方。尽量远离敏感点或受噪声影响农户最少</w:t>
                  </w:r>
                </w:p>
              </w:tc>
              <w:tc>
                <w:tcPr>
                  <w:tcW w:w="375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ind w:left="0" w:right="0"/>
                    <w:jc w:val="both"/>
                    <w:rPr>
                      <w:rFonts w:hint="eastAsia" w:ascii="Times New Roman" w:hAnsi="Times New Roman" w:eastAsia="宋体" w:cs="Times New Roman"/>
                      <w:color w:val="auto"/>
                      <w:kern w:val="2"/>
                      <w:sz w:val="21"/>
                      <w:szCs w:val="21"/>
                    </w:rPr>
                  </w:pPr>
                  <w:r>
                    <w:rPr>
                      <w:rFonts w:hint="eastAsia" w:ascii="宋体" w:hAnsi="宋体" w:eastAsia="宋体" w:cs="宋体"/>
                      <w:color w:val="auto"/>
                      <w:kern w:val="2"/>
                      <w:sz w:val="21"/>
                      <w:szCs w:val="21"/>
                      <w:lang w:val="en-US" w:eastAsia="zh-CN" w:bidi="ar"/>
                    </w:rPr>
                    <w:t>本项目主要噪声源为柴油发电机、钻井设备、压裂车等高噪声设备，发电房位于井场北侧，压裂车位于井口两侧，放喷池位于井场东侧，根据人居分布情况，设备及放喷池布置于人口分布稀疏一侧，且井口周围散居农户主要分布在井场</w:t>
                  </w:r>
                  <w:r>
                    <w:rPr>
                      <w:rFonts w:hint="default" w:ascii="Times New Roman" w:hAnsi="Times New Roman" w:eastAsia="宋体" w:cs="Times New Roman"/>
                      <w:color w:val="auto"/>
                      <w:kern w:val="2"/>
                      <w:sz w:val="21"/>
                      <w:szCs w:val="21"/>
                      <w:lang w:val="en-US" w:eastAsia="zh-CN" w:bidi="ar"/>
                    </w:rPr>
                    <w:t>100m</w:t>
                  </w:r>
                  <w:r>
                    <w:rPr>
                      <w:rFonts w:hint="eastAsia" w:ascii="宋体" w:hAnsi="宋体" w:eastAsia="宋体" w:cs="宋体"/>
                      <w:color w:val="auto"/>
                      <w:kern w:val="2"/>
                      <w:sz w:val="21"/>
                      <w:szCs w:val="21"/>
                      <w:lang w:val="en-US" w:eastAsia="zh-CN" w:bidi="ar"/>
                    </w:rPr>
                    <w:t>外，与噪声源保持了一定的噪声衰减距离，最大限度地降低钻井噪声对敏感点的影响，噪声源布局合理。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ind w:left="0" w:right="0"/>
                    <w:jc w:val="both"/>
                    <w:rPr>
                      <w:rFonts w:hint="default" w:ascii="Times New Roman" w:hAnsi="Times New Roman" w:eastAsia="宋体" w:cs="Times New Roman"/>
                      <w:color w:val="auto"/>
                      <w:kern w:val="2"/>
                      <w:sz w:val="21"/>
                      <w:szCs w:val="21"/>
                    </w:rPr>
                  </w:pPr>
                  <w:r>
                    <w:rPr>
                      <w:rFonts w:hint="eastAsia" w:ascii="宋体" w:hAnsi="宋体" w:eastAsia="宋体" w:cs="宋体"/>
                      <w:color w:val="auto"/>
                      <w:kern w:val="2"/>
                      <w:sz w:val="21"/>
                      <w:szCs w:val="21"/>
                      <w:lang w:val="en-US" w:eastAsia="zh-CN" w:bidi="ar"/>
                    </w:rPr>
                    <w:t>废水收集暂存设施合理性分析</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ind w:left="0" w:right="0"/>
                    <w:jc w:val="both"/>
                    <w:rPr>
                      <w:rFonts w:hint="eastAsia" w:ascii="Times New Roman" w:hAnsi="Times New Roman" w:eastAsia="宋体" w:cs="Times New Roman"/>
                      <w:color w:val="auto"/>
                      <w:kern w:val="2"/>
                      <w:sz w:val="21"/>
                      <w:szCs w:val="21"/>
                    </w:rPr>
                  </w:pPr>
                  <w:r>
                    <w:rPr>
                      <w:rFonts w:hint="default" w:ascii="Times New Roman" w:hAnsi="Times New Roman" w:eastAsia="宋体" w:cs="Times New Roman"/>
                      <w:color w:val="auto"/>
                      <w:kern w:val="2"/>
                      <w:sz w:val="21"/>
                      <w:szCs w:val="21"/>
                      <w:lang w:val="en-US" w:eastAsia="zh-CN" w:bidi="ar"/>
                    </w:rPr>
                    <w:t>/</w:t>
                  </w:r>
                </w:p>
              </w:tc>
              <w:tc>
                <w:tcPr>
                  <w:tcW w:w="375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ind w:left="0" w:right="0"/>
                    <w:jc w:val="both"/>
                    <w:rPr>
                      <w:rFonts w:hint="default" w:ascii="Times New Roman" w:hAnsi="Times New Roman" w:eastAsia="宋体" w:cs="Times New Roman"/>
                      <w:color w:val="auto"/>
                      <w:kern w:val="2"/>
                      <w:sz w:val="21"/>
                      <w:szCs w:val="21"/>
                    </w:rPr>
                  </w:pPr>
                  <w:r>
                    <w:rPr>
                      <w:rFonts w:hint="eastAsia" w:ascii="宋体" w:hAnsi="宋体" w:eastAsia="宋体" w:cs="宋体"/>
                      <w:color w:val="auto"/>
                      <w:kern w:val="2"/>
                      <w:sz w:val="21"/>
                      <w:szCs w:val="21"/>
                      <w:lang w:val="en-US" w:eastAsia="zh-CN" w:bidi="ar"/>
                    </w:rPr>
                    <w:t>本项目废水收集、处理设备废水罐、沉淀罐等均位于泥浆不落地平台内，最近农户距离泥浆不落地平台约</w:t>
                  </w:r>
                  <w:r>
                    <w:rPr>
                      <w:rFonts w:hint="default" w:ascii="Times New Roman" w:hAnsi="Times New Roman" w:eastAsia="宋体" w:cs="Times New Roman"/>
                      <w:color w:val="auto"/>
                      <w:kern w:val="2"/>
                      <w:sz w:val="21"/>
                      <w:szCs w:val="21"/>
                      <w:lang w:val="en-US" w:eastAsia="zh-CN" w:bidi="ar"/>
                    </w:rPr>
                    <w:t>1</w:t>
                  </w:r>
                  <w:r>
                    <w:rPr>
                      <w:rFonts w:hint="eastAsia" w:ascii="Times New Roman" w:hAnsi="Times New Roman" w:eastAsia="宋体" w:cs="Times New Roman"/>
                      <w:color w:val="auto"/>
                      <w:kern w:val="2"/>
                      <w:sz w:val="21"/>
                      <w:szCs w:val="21"/>
                      <w:lang w:val="en-US" w:eastAsia="zh-CN" w:bidi="ar"/>
                    </w:rPr>
                    <w:t>8</w:t>
                  </w:r>
                  <w:r>
                    <w:rPr>
                      <w:rFonts w:hint="default" w:ascii="Times New Roman" w:hAnsi="Times New Roman" w:eastAsia="宋体" w:cs="Times New Roman"/>
                      <w:color w:val="auto"/>
                      <w:kern w:val="2"/>
                      <w:sz w:val="21"/>
                      <w:szCs w:val="21"/>
                      <w:lang w:val="en-US" w:eastAsia="zh-CN" w:bidi="ar"/>
                    </w:rPr>
                    <w:t>9m</w:t>
                  </w:r>
                  <w:r>
                    <w:rPr>
                      <w:rFonts w:hint="eastAsia" w:ascii="宋体" w:hAnsi="宋体" w:eastAsia="宋体" w:cs="宋体"/>
                      <w:color w:val="auto"/>
                      <w:kern w:val="2"/>
                      <w:sz w:val="21"/>
                      <w:szCs w:val="21"/>
                      <w:lang w:val="en-US" w:eastAsia="zh-CN" w:bidi="ar"/>
                    </w:rPr>
                    <w:t>，且泥浆不落地平台位于平台内南侧，距离农户场内有排水沟隔断，废水收集暂存设施选址有效减少了事故状态下废水外溢对周边居民的影响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29"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ind w:left="0" w:right="0"/>
                    <w:jc w:val="both"/>
                    <w:rPr>
                      <w:rFonts w:hint="default" w:ascii="Times New Roman" w:hAnsi="Times New Roman" w:eastAsia="宋体" w:cs="Times New Roman"/>
                      <w:color w:val="auto"/>
                      <w:kern w:val="2"/>
                      <w:sz w:val="21"/>
                      <w:szCs w:val="21"/>
                    </w:rPr>
                  </w:pPr>
                  <w:r>
                    <w:rPr>
                      <w:rFonts w:hint="eastAsia" w:ascii="宋体" w:hAnsi="宋体" w:eastAsia="宋体" w:cs="宋体"/>
                      <w:color w:val="auto"/>
                      <w:kern w:val="2"/>
                      <w:sz w:val="21"/>
                      <w:szCs w:val="21"/>
                      <w:lang w:val="en-US" w:eastAsia="zh-CN" w:bidi="ar"/>
                    </w:rPr>
                    <w:t>固废暂存设施布设合理性分析</w:t>
                  </w:r>
                </w:p>
              </w:tc>
              <w:tc>
                <w:tcPr>
                  <w:tcW w:w="241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ind w:left="0" w:right="0"/>
                    <w:jc w:val="both"/>
                    <w:rPr>
                      <w:rFonts w:hint="default" w:ascii="Times New Roman" w:hAnsi="Times New Roman" w:eastAsia="宋体" w:cs="Times New Roman"/>
                      <w:color w:val="auto"/>
                      <w:kern w:val="2"/>
                      <w:sz w:val="21"/>
                      <w:szCs w:val="21"/>
                    </w:rPr>
                  </w:pPr>
                  <w:r>
                    <w:rPr>
                      <w:rFonts w:hint="default" w:ascii="Times New Roman" w:hAnsi="Times New Roman" w:eastAsia="宋体" w:cs="Times New Roman"/>
                      <w:color w:val="auto"/>
                      <w:kern w:val="2"/>
                      <w:sz w:val="21"/>
                      <w:szCs w:val="21"/>
                      <w:lang w:val="en-US" w:eastAsia="zh-CN" w:bidi="ar"/>
                    </w:rPr>
                    <w:t>/</w:t>
                  </w:r>
                </w:p>
              </w:tc>
              <w:tc>
                <w:tcPr>
                  <w:tcW w:w="375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val="0"/>
                    <w:suppressLineNumbers w:val="0"/>
                    <w:autoSpaceDE w:val="0"/>
                    <w:autoSpaceDN/>
                    <w:adjustRightInd w:val="0"/>
                    <w:snapToGrid w:val="0"/>
                    <w:spacing w:before="0" w:beforeAutospacing="0" w:after="0" w:afterAutospacing="0"/>
                    <w:ind w:left="0" w:right="0"/>
                    <w:jc w:val="both"/>
                    <w:rPr>
                      <w:rFonts w:hint="eastAsia" w:ascii="Times New Roman" w:hAnsi="Times New Roman" w:eastAsia="宋体" w:cs="Times New Roman"/>
                      <w:color w:val="auto"/>
                      <w:kern w:val="2"/>
                      <w:sz w:val="21"/>
                      <w:szCs w:val="21"/>
                    </w:rPr>
                  </w:pPr>
                  <w:r>
                    <w:rPr>
                      <w:rFonts w:hint="eastAsia" w:ascii="宋体" w:hAnsi="宋体" w:eastAsia="宋体" w:cs="宋体"/>
                      <w:color w:val="auto"/>
                      <w:kern w:val="2"/>
                      <w:sz w:val="21"/>
                      <w:szCs w:val="21"/>
                      <w:lang w:val="en-US" w:eastAsia="zh-CN" w:bidi="ar"/>
                    </w:rPr>
                    <w:t>针对废水基泥浆、水基岩屑泥浆不落地平台内设置一般固废暂存点（岩屑堆放场）</w:t>
                  </w:r>
                  <w:r>
                    <w:rPr>
                      <w:rFonts w:hint="default" w:ascii="Times New Roman" w:hAnsi="Times New Roman" w:eastAsia="宋体" w:cs="Times New Roman"/>
                      <w:color w:val="auto"/>
                      <w:kern w:val="2"/>
                      <w:sz w:val="21"/>
                      <w:szCs w:val="21"/>
                      <w:lang w:val="en-US" w:eastAsia="zh-CN" w:bidi="ar"/>
                    </w:rPr>
                    <w:t>90m</w:t>
                  </w:r>
                  <w:r>
                    <w:rPr>
                      <w:rFonts w:hint="default" w:ascii="Times New Roman" w:hAnsi="Times New Roman" w:eastAsia="宋体" w:cs="Times New Roman"/>
                      <w:color w:val="auto"/>
                      <w:kern w:val="2"/>
                      <w:sz w:val="21"/>
                      <w:szCs w:val="21"/>
                      <w:vertAlign w:val="superscript"/>
                      <w:lang w:val="en-US" w:eastAsia="zh-CN" w:bidi="ar"/>
                    </w:rPr>
                    <w:t>2</w:t>
                  </w:r>
                  <w:r>
                    <w:rPr>
                      <w:rFonts w:hint="eastAsia" w:ascii="宋体" w:hAnsi="宋体" w:eastAsia="宋体" w:cs="宋体"/>
                      <w:color w:val="auto"/>
                      <w:kern w:val="2"/>
                      <w:sz w:val="21"/>
                      <w:szCs w:val="21"/>
                      <w:lang w:val="en-US" w:eastAsia="zh-CN" w:bidi="ar"/>
                    </w:rPr>
                    <w:t>；针对废油设置危险废物贮存点</w:t>
                  </w:r>
                  <w:r>
                    <w:rPr>
                      <w:rFonts w:hint="default" w:ascii="Times New Roman" w:hAnsi="Times New Roman" w:eastAsia="宋体" w:cs="Times New Roman"/>
                      <w:color w:val="auto"/>
                      <w:kern w:val="2"/>
                      <w:sz w:val="21"/>
                      <w:szCs w:val="21"/>
                      <w:lang w:val="en-US" w:eastAsia="zh-CN" w:bidi="ar"/>
                    </w:rPr>
                    <w:t>50m</w:t>
                  </w:r>
                  <w:r>
                    <w:rPr>
                      <w:rFonts w:hint="default" w:ascii="Times New Roman" w:hAnsi="Times New Roman" w:eastAsia="宋体" w:cs="Times New Roman"/>
                      <w:color w:val="auto"/>
                      <w:kern w:val="2"/>
                      <w:sz w:val="21"/>
                      <w:szCs w:val="21"/>
                      <w:vertAlign w:val="superscript"/>
                      <w:lang w:val="en-US" w:eastAsia="zh-CN" w:bidi="ar"/>
                    </w:rPr>
                    <w:t>2</w:t>
                  </w:r>
                  <w:r>
                    <w:rPr>
                      <w:rFonts w:hint="eastAsia" w:ascii="宋体" w:hAnsi="宋体" w:eastAsia="宋体" w:cs="宋体"/>
                      <w:color w:val="auto"/>
                      <w:kern w:val="2"/>
                      <w:sz w:val="21"/>
                      <w:szCs w:val="21"/>
                      <w:lang w:val="en-US" w:eastAsia="zh-CN" w:bidi="ar"/>
                    </w:rPr>
                    <w:t>，危险废物贮存点位于井场东侧，危险废物贮存点进行了重点防渗并设置相关防泄漏措施，距离下游环境保护目标较远，故事故状态下，对其影响较小。</w:t>
                  </w:r>
                </w:p>
              </w:tc>
            </w:tr>
          </w:tbl>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jc w:val="both"/>
              <w:textAlignment w:val="auto"/>
              <w:rPr>
                <w:rFonts w:hint="default" w:ascii="Times New Roman" w:hAnsi="Times New Roman" w:cs="Times New Roman"/>
                <w:color w:val="auto"/>
                <w:kern w:val="0"/>
                <w:szCs w:val="21"/>
              </w:rPr>
            </w:pPr>
            <w:r>
              <w:rPr>
                <w:rFonts w:hint="eastAsia" w:ascii="宋体" w:hAnsi="宋体" w:eastAsia="宋体" w:cs="宋体"/>
                <w:color w:val="auto"/>
                <w:kern w:val="2"/>
                <w:sz w:val="24"/>
                <w:szCs w:val="24"/>
                <w:lang w:val="en-US" w:eastAsia="zh-CN" w:bidi="ar"/>
              </w:rPr>
              <w:t>综上所述，本工程总图根据《钻井工程及井场布置技术要求</w:t>
            </w:r>
            <w:r>
              <w:rPr>
                <w:rFonts w:hint="default" w:ascii="Times New Roman" w:hAnsi="Times New Roman" w:eastAsia="宋体" w:cs="Times New Roman"/>
                <w:color w:val="auto"/>
                <w:kern w:val="2"/>
                <w:sz w:val="24"/>
                <w:szCs w:val="24"/>
                <w:lang w:val="en-US" w:eastAsia="zh-CN" w:bidi="ar"/>
              </w:rPr>
              <w:t>SYT5466-2013</w:t>
            </w:r>
            <w:r>
              <w:rPr>
                <w:rFonts w:hint="eastAsia" w:ascii="宋体" w:hAnsi="宋体" w:eastAsia="宋体" w:cs="宋体"/>
                <w:color w:val="auto"/>
                <w:kern w:val="2"/>
                <w:sz w:val="24"/>
                <w:szCs w:val="24"/>
                <w:lang w:val="en-US" w:eastAsia="zh-CN" w:bidi="ar"/>
              </w:rPr>
              <w:t>》《石油天然气钻井、开发、储运防火防爆安全生产技术规程》（</w:t>
            </w:r>
            <w:r>
              <w:rPr>
                <w:rFonts w:hint="default" w:ascii="Times New Roman" w:hAnsi="Times New Roman" w:eastAsia="宋体" w:cs="Times New Roman"/>
                <w:color w:val="auto"/>
                <w:kern w:val="2"/>
                <w:sz w:val="24"/>
                <w:szCs w:val="24"/>
                <w:lang w:val="en-US" w:eastAsia="zh-CN" w:bidi="ar"/>
              </w:rPr>
              <w:t>SY-T5225-2005</w:t>
            </w:r>
            <w:r>
              <w:rPr>
                <w:rFonts w:hint="eastAsia" w:ascii="宋体" w:hAnsi="宋体" w:eastAsia="宋体" w:cs="宋体"/>
                <w:color w:val="auto"/>
                <w:kern w:val="2"/>
                <w:sz w:val="24"/>
                <w:szCs w:val="24"/>
                <w:lang w:val="en-US" w:eastAsia="zh-CN" w:bidi="ar"/>
              </w:rPr>
              <w:t>）等规定的相关要求布置，对井场内各设施布置均已优化，从环保角度分析是合理可行的。</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24"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施工方案</w:t>
            </w:r>
          </w:p>
        </w:tc>
        <w:tc>
          <w:tcPr>
            <w:tcW w:w="8098" w:type="dxa"/>
            <w:vAlign w:val="center"/>
          </w:tcPr>
          <w:p>
            <w:pPr>
              <w:keepNext w:val="0"/>
              <w:keepLines w:val="0"/>
              <w:suppressLineNumbers w:val="0"/>
              <w:adjustRightInd w:val="0"/>
              <w:snapToGrid w:val="0"/>
              <w:spacing w:before="0" w:beforeAutospacing="0" w:after="0" w:afterAutospacing="0" w:line="360" w:lineRule="auto"/>
              <w:ind w:left="0" w:right="0"/>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2.11工艺流程：</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根据天然气钻井工程特点，拟建项目主要包括钻前工程（包括井场建设）、钻井作业阶段（钻井和固井、录井等）、试气工程阶段（酸化压裂、完井测试和完井作业后井队的撤离）。</w:t>
            </w:r>
          </w:p>
          <w:p>
            <w:pPr>
              <w:keepNext w:val="0"/>
              <w:keepLines w:val="0"/>
              <w:suppressLineNumbers w:val="0"/>
              <w:adjustRightInd w:val="0"/>
              <w:snapToGrid w:val="0"/>
              <w:spacing w:before="0" w:beforeAutospacing="0" w:after="0" w:afterAutospacing="0" w:line="360" w:lineRule="auto"/>
              <w:ind w:left="0" w:right="0"/>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2.11.1钻前工程</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钻前工程主要包括方井井口建设、钻井设备及其活动板房基础构筑等，主要为土建施工，由专业施工单位组织当地民工作业。钻前工艺流程见图2.11-1：</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Times New Roman" w:hAnsi="Times New Roman" w:cs="Times New Roman"/>
                <w:color w:val="auto"/>
                <w:kern w:val="0"/>
                <w:sz w:val="24"/>
              </w:rPr>
            </w:pPr>
            <w:r>
              <w:rPr>
                <w:rFonts w:hint="default" w:ascii="Times New Roman" w:hAnsi="Times New Roman" w:cs="Times New Roman"/>
                <w:color w:val="auto"/>
                <w:kern w:val="0"/>
                <w:sz w:val="24"/>
              </w:rPr>
              <mc:AlternateContent>
                <mc:Choice Requires="wpg">
                  <w:drawing>
                    <wp:inline distT="0" distB="0" distL="0" distR="0">
                      <wp:extent cx="4495165" cy="1722120"/>
                      <wp:effectExtent l="9525" t="5080" r="10160" b="25400"/>
                      <wp:docPr id="9" name="Group 1415"/>
                      <wp:cNvGraphicFramePr/>
                      <a:graphic xmlns:a="http://schemas.openxmlformats.org/drawingml/2006/main">
                        <a:graphicData uri="http://schemas.microsoft.com/office/word/2010/wordprocessingGroup">
                          <wpg:wgp>
                            <wpg:cNvGrpSpPr/>
                            <wpg:grpSpPr>
                              <a:xfrm>
                                <a:off x="0" y="0"/>
                                <a:ext cx="4495386" cy="1722211"/>
                                <a:chOff x="1841" y="11243"/>
                                <a:chExt cx="8691" cy="4225"/>
                              </a:xfrm>
                            </wpg:grpSpPr>
                            <wps:wsp>
                              <wps:cNvPr id="1524" name="矩形 1455"/>
                              <wps:cNvSpPr>
                                <a:spLocks noChangeArrowheads="1"/>
                              </wps:cNvSpPr>
                              <wps:spPr bwMode="auto">
                                <a:xfrm>
                                  <a:off x="8383" y="14144"/>
                                  <a:ext cx="2149" cy="633"/>
                                </a:xfrm>
                                <a:prstGeom prst="rect">
                                  <a:avLst/>
                                </a:prstGeom>
                                <a:solidFill>
                                  <a:srgbClr val="CCFFFF"/>
                                </a:solidFill>
                                <a:ln w="19050">
                                  <a:solidFill>
                                    <a:srgbClr val="000000"/>
                                  </a:solidFill>
                                  <a:miter lim="800000"/>
                                </a:ln>
                                <a:effectLst/>
                              </wps:spPr>
                              <wps:txbx>
                                <w:txbxContent>
                                  <w:p>
                                    <w:pPr>
                                      <w:pStyle w:val="36"/>
                                      <w:keepNext w:val="0"/>
                                      <w:keepLines w:val="0"/>
                                      <w:pageBreakBefore w:val="0"/>
                                      <w:widowControl w:val="0"/>
                                      <w:kinsoku/>
                                      <w:wordWrap/>
                                      <w:overflowPunct/>
                                      <w:topLinePunct w:val="0"/>
                                      <w:bidi w:val="0"/>
                                      <w:adjustRightInd/>
                                      <w:snapToGrid/>
                                      <w:spacing w:line="240" w:lineRule="auto"/>
                                      <w:textAlignment w:val="auto"/>
                                      <w:rPr>
                                        <w:sz w:val="22"/>
                                        <w:szCs w:val="22"/>
                                      </w:rPr>
                                    </w:pPr>
                                    <w:r>
                                      <w:rPr>
                                        <w:rFonts w:hint="eastAsia"/>
                                        <w:sz w:val="22"/>
                                        <w:szCs w:val="22"/>
                                      </w:rPr>
                                      <w:t>设备搬运安装</w:t>
                                    </w:r>
                                  </w:p>
                                </w:txbxContent>
                              </wps:txbx>
                              <wps:bodyPr rot="0" vert="horz" wrap="square" lIns="91440" tIns="0" rIns="91440" bIns="0" anchor="t" anchorCtr="0" upright="1">
                                <a:noAutofit/>
                              </wps:bodyPr>
                            </wps:wsp>
                            <wps:wsp>
                              <wps:cNvPr id="1525" name="矩形 1456"/>
                              <wps:cNvSpPr>
                                <a:spLocks noChangeArrowheads="1"/>
                              </wps:cNvSpPr>
                              <wps:spPr bwMode="auto">
                                <a:xfrm>
                                  <a:off x="1841" y="13321"/>
                                  <a:ext cx="2772" cy="2147"/>
                                </a:xfrm>
                                <a:prstGeom prst="rect">
                                  <a:avLst/>
                                </a:prstGeom>
                                <a:solidFill>
                                  <a:srgbClr val="CCFFFF"/>
                                </a:solidFill>
                                <a:ln w="19050">
                                  <a:solidFill>
                                    <a:srgbClr val="000000"/>
                                  </a:solidFill>
                                  <a:miter lim="800000"/>
                                </a:ln>
                                <a:effectLst/>
                              </wps:spPr>
                              <wps:txbx>
                                <w:txbxContent>
                                  <w:p>
                                    <w:pPr>
                                      <w:rPr>
                                        <w:sz w:val="22"/>
                                        <w:szCs w:val="22"/>
                                      </w:rPr>
                                    </w:pPr>
                                    <w:r>
                                      <w:rPr>
                                        <w:rFonts w:hint="eastAsia"/>
                                        <w:bCs/>
                                        <w:spacing w:val="20"/>
                                        <w:sz w:val="22"/>
                                        <w:szCs w:val="22"/>
                                      </w:rPr>
                                      <w:t>平台硬化、井口方井建设、进场道路建设等构筑物建设</w:t>
                                    </w:r>
                                  </w:p>
                                </w:txbxContent>
                              </wps:txbx>
                              <wps:bodyPr rot="0" vert="horz" wrap="square" lIns="91440" tIns="45720" rIns="91440" bIns="45720" anchor="t" anchorCtr="0" upright="1">
                                <a:noAutofit/>
                              </wps:bodyPr>
                            </wps:wsp>
                            <wps:wsp>
                              <wps:cNvPr id="1526" name="矩形 1457"/>
                              <wps:cNvSpPr>
                                <a:spLocks noChangeArrowheads="1"/>
                              </wps:cNvSpPr>
                              <wps:spPr bwMode="auto">
                                <a:xfrm>
                                  <a:off x="5205" y="14069"/>
                                  <a:ext cx="2334" cy="821"/>
                                </a:xfrm>
                                <a:prstGeom prst="rect">
                                  <a:avLst/>
                                </a:prstGeom>
                                <a:solidFill>
                                  <a:srgbClr val="CCFFFF"/>
                                </a:solidFill>
                                <a:ln w="19050">
                                  <a:solidFill>
                                    <a:srgbClr val="000000"/>
                                  </a:solidFill>
                                  <a:miter lim="800000"/>
                                </a:ln>
                                <a:effectLst/>
                              </wps:spPr>
                              <wps:txbx>
                                <w:txbxContent>
                                  <w:p>
                                    <w:pPr>
                                      <w:jc w:val="center"/>
                                      <w:rPr>
                                        <w:sz w:val="24"/>
                                      </w:rPr>
                                    </w:pPr>
                                    <w:r>
                                      <w:rPr>
                                        <w:rFonts w:hint="eastAsia"/>
                                        <w:sz w:val="24"/>
                                      </w:rPr>
                                      <w:t>设备基础</w:t>
                                    </w:r>
                                  </w:p>
                                </w:txbxContent>
                              </wps:txbx>
                              <wps:bodyPr rot="0" vert="horz" wrap="square" lIns="0" tIns="45720" rIns="0" bIns="45720" anchor="t" anchorCtr="0" upright="1">
                                <a:noAutofit/>
                              </wps:bodyPr>
                            </wps:wsp>
                            <wps:wsp>
                              <wps:cNvPr id="1527" name="直线 1458"/>
                              <wps:cNvCnPr>
                                <a:cxnSpLocks noChangeShapeType="1"/>
                              </wps:cNvCnPr>
                              <wps:spPr bwMode="auto">
                                <a:xfrm>
                                  <a:off x="7621" y="14479"/>
                                  <a:ext cx="776" cy="5"/>
                                </a:xfrm>
                                <a:prstGeom prst="line">
                                  <a:avLst/>
                                </a:prstGeom>
                                <a:noFill/>
                                <a:ln w="15875">
                                  <a:solidFill>
                                    <a:srgbClr val="0000FF"/>
                                  </a:solidFill>
                                  <a:round/>
                                  <a:tailEnd type="triangle" w="med" len="med"/>
                                </a:ln>
                                <a:effectLst/>
                              </wps:spPr>
                              <wps:bodyPr/>
                            </wps:wsp>
                            <wps:wsp>
                              <wps:cNvPr id="1528" name="直线 1459"/>
                              <wps:cNvCnPr>
                                <a:cxnSpLocks noChangeShapeType="1"/>
                              </wps:cNvCnPr>
                              <wps:spPr bwMode="auto">
                                <a:xfrm>
                                  <a:off x="4604" y="14524"/>
                                  <a:ext cx="545" cy="3"/>
                                </a:xfrm>
                                <a:prstGeom prst="line">
                                  <a:avLst/>
                                </a:prstGeom>
                                <a:noFill/>
                                <a:ln w="15875">
                                  <a:solidFill>
                                    <a:srgbClr val="0000FF"/>
                                  </a:solidFill>
                                  <a:round/>
                                  <a:tailEnd type="triangle" w="med" len="med"/>
                                </a:ln>
                                <a:effectLst/>
                              </wps:spPr>
                              <wps:bodyPr/>
                            </wps:wsp>
                            <wps:wsp>
                              <wps:cNvPr id="1529" name="自选图形 1460"/>
                              <wps:cNvSpPr>
                                <a:spLocks noChangeArrowheads="1"/>
                              </wps:cNvSpPr>
                              <wps:spPr bwMode="auto">
                                <a:xfrm>
                                  <a:off x="1992" y="11327"/>
                                  <a:ext cx="2837" cy="1294"/>
                                </a:xfrm>
                                <a:prstGeom prst="wedgeRectCallout">
                                  <a:avLst>
                                    <a:gd name="adj1" fmla="val -7315"/>
                                    <a:gd name="adj2" fmla="val 108898"/>
                                  </a:avLst>
                                </a:prstGeom>
                                <a:solidFill>
                                  <a:srgbClr val="FFFFFF"/>
                                </a:solidFill>
                                <a:ln w="9525">
                                  <a:solidFill>
                                    <a:srgbClr val="FF0000"/>
                                  </a:solidFill>
                                  <a:prstDash val="dash"/>
                                  <a:miter lim="800000"/>
                                </a:ln>
                                <a:effectLst/>
                              </wps:spPr>
                              <wps:txbx>
                                <w:txbxContent>
                                  <w:p>
                                    <w:r>
                                      <w:rPr>
                                        <w:rFonts w:hint="eastAsia"/>
                                      </w:rPr>
                                      <w:t>水土流失、施工噪声、施工扬尘、施工废渣等</w:t>
                                    </w:r>
                                  </w:p>
                                  <w:p/>
                                </w:txbxContent>
                              </wps:txbx>
                              <wps:bodyPr rot="0" vert="horz" wrap="square" lIns="0" tIns="45720" rIns="0" bIns="45720" anchor="t" anchorCtr="0" upright="1">
                                <a:noAutofit/>
                              </wps:bodyPr>
                            </wps:wsp>
                            <wps:wsp>
                              <wps:cNvPr id="1530" name="自选图形 1461"/>
                              <wps:cNvSpPr>
                                <a:spLocks noChangeArrowheads="1"/>
                              </wps:cNvSpPr>
                              <wps:spPr bwMode="auto">
                                <a:xfrm>
                                  <a:off x="5438" y="11243"/>
                                  <a:ext cx="2525" cy="1262"/>
                                </a:xfrm>
                                <a:prstGeom prst="wedgeRectCallout">
                                  <a:avLst>
                                    <a:gd name="adj1" fmla="val -7544"/>
                                    <a:gd name="adj2" fmla="val 180597"/>
                                  </a:avLst>
                                </a:prstGeom>
                                <a:solidFill>
                                  <a:srgbClr val="FFFFFF"/>
                                </a:solidFill>
                                <a:ln w="9525">
                                  <a:solidFill>
                                    <a:srgbClr val="FF0000"/>
                                  </a:solidFill>
                                  <a:prstDash val="dash"/>
                                  <a:miter lim="800000"/>
                                </a:ln>
                                <a:effectLst/>
                              </wps:spPr>
                              <wps:txbx>
                                <w:txbxContent>
                                  <w:p>
                                    <w:pPr>
                                      <w:jc w:val="center"/>
                                    </w:pPr>
                                    <w:r>
                                      <w:rPr>
                                        <w:rFonts w:hint="eastAsia"/>
                                      </w:rPr>
                                      <w:t>施工噪声、施工废渣等</w:t>
                                    </w:r>
                                  </w:p>
                                </w:txbxContent>
                              </wps:txbx>
                              <wps:bodyPr rot="0" vert="horz" wrap="square" lIns="91440" tIns="45720" rIns="91440" bIns="45720" anchor="t" anchorCtr="0" upright="1">
                                <a:noAutofit/>
                              </wps:bodyPr>
                            </wps:wsp>
                            <wps:wsp>
                              <wps:cNvPr id="1531" name="自选图形 1462"/>
                              <wps:cNvSpPr>
                                <a:spLocks noChangeArrowheads="1"/>
                              </wps:cNvSpPr>
                              <wps:spPr bwMode="auto">
                                <a:xfrm>
                                  <a:off x="8326" y="11511"/>
                                  <a:ext cx="1930" cy="1460"/>
                                </a:xfrm>
                                <a:prstGeom prst="wedgeRectCallout">
                                  <a:avLst>
                                    <a:gd name="adj1" fmla="val 14555"/>
                                    <a:gd name="adj2" fmla="val 131822"/>
                                  </a:avLst>
                                </a:prstGeom>
                                <a:solidFill>
                                  <a:srgbClr val="FFFFFF"/>
                                </a:solidFill>
                                <a:ln w="9525">
                                  <a:solidFill>
                                    <a:srgbClr val="FF0000"/>
                                  </a:solidFill>
                                  <a:prstDash val="dash"/>
                                  <a:miter lim="800000"/>
                                </a:ln>
                                <a:effectLst/>
                              </wps:spPr>
                              <wps:txbx>
                                <w:txbxContent>
                                  <w:p>
                                    <w:r>
                                      <w:rPr>
                                        <w:rFonts w:hint="eastAsia"/>
                                      </w:rPr>
                                      <w:t>施工噪声、废包装材料等</w:t>
                                    </w:r>
                                  </w:p>
                                </w:txbxContent>
                              </wps:txbx>
                              <wps:bodyPr rot="0" vert="horz" wrap="square" lIns="91440" tIns="45720" rIns="91440" bIns="45720" anchor="t" anchorCtr="0" upright="1">
                                <a:noAutofit/>
                              </wps:bodyPr>
                            </wps:wsp>
                          </wpg:wgp>
                        </a:graphicData>
                      </a:graphic>
                    </wp:inline>
                  </w:drawing>
                </mc:Choice>
                <mc:Fallback>
                  <w:pict>
                    <v:group id="Group 1415" o:spid="_x0000_s1026" o:spt="203" style="height:135.6pt;width:353.95pt;" coordorigin="1841,11243" coordsize="8691,4225" o:gfxdata="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">
                      <o:lock v:ext="edit" aspectratio="f"/>
                      <v:rect id="矩形 1455" o:spid="_x0000_s1026" o:spt="1" style="position:absolute;left:8383;top:14144;height:633;width:2149;" fillcolor="#CCFFFF" filled="t" stroked="t" coordsize="21600,21600" o:gfxdata="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g7jkaugAAAN0A&#10;AAAPAAAAAAAAAAEAIAAAACIAAABkcnMvZG93bnJldi54bWxQSwECFAAUAAAACACHTuJAMy8FnjsA&#10;AAA5AAAAEAAAAAAAAAABACAAAAAJAQAAZHJzL3NoYXBleG1sLnhtbFBLBQYAAAAABgAGAFsBAACz&#10;AwAAAAA=&#10;">
                        <v:fill on="t" focussize="0,0"/>
                        <v:stroke weight="1.5pt" color="#000000" miterlimit="8" joinstyle="miter"/>
                        <v:imagedata o:title=""/>
                        <o:lock v:ext="edit" aspectratio="f"/>
                        <v:textbox inset="2.54mm,0mm,2.54mm,0mm">
                          <w:txbxContent>
                            <w:p>
                              <w:pPr>
                                <w:pStyle w:val="36"/>
                                <w:keepNext w:val="0"/>
                                <w:keepLines w:val="0"/>
                                <w:pageBreakBefore w:val="0"/>
                                <w:widowControl w:val="0"/>
                                <w:kinsoku/>
                                <w:wordWrap/>
                                <w:overflowPunct/>
                                <w:topLinePunct w:val="0"/>
                                <w:bidi w:val="0"/>
                                <w:adjustRightInd/>
                                <w:snapToGrid/>
                                <w:spacing w:line="240" w:lineRule="auto"/>
                                <w:textAlignment w:val="auto"/>
                                <w:rPr>
                                  <w:sz w:val="22"/>
                                  <w:szCs w:val="22"/>
                                </w:rPr>
                              </w:pPr>
                              <w:r>
                                <w:rPr>
                                  <w:rFonts w:hint="eastAsia"/>
                                  <w:sz w:val="22"/>
                                  <w:szCs w:val="22"/>
                                </w:rPr>
                                <w:t>设备搬运安装</w:t>
                              </w:r>
                            </w:p>
                          </w:txbxContent>
                        </v:textbox>
                      </v:rect>
                      <v:rect id="矩形 1456" o:spid="_x0000_s1026" o:spt="1" style="position:absolute;left:1841;top:13321;height:2147;width:2772;" fillcolor="#CCFFFF" filled="t" stroked="t" coordsize="21600,21600" o:gfxdata="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OnHlm8AAAA&#10;3QAAAA8AAAAAAAAAAQAgAAAAIgAAAGRycy9kb3ducmV2LnhtbFBLAQIUABQAAAAIAIdO4kAzLwWe&#10;OwAAADkAAAAQAAAAAAAAAAEAIAAAAAsBAABkcnMvc2hhcGV4bWwueG1sUEsFBgAAAAAGAAYAWwEA&#10;ALUDAAAAAA==&#10;">
                        <v:fill on="t" focussize="0,0"/>
                        <v:stroke weight="1.5pt" color="#000000" miterlimit="8" joinstyle="miter"/>
                        <v:imagedata o:title=""/>
                        <o:lock v:ext="edit" aspectratio="f"/>
                        <v:textbox>
                          <w:txbxContent>
                            <w:p>
                              <w:pPr>
                                <w:rPr>
                                  <w:sz w:val="22"/>
                                  <w:szCs w:val="22"/>
                                </w:rPr>
                              </w:pPr>
                              <w:r>
                                <w:rPr>
                                  <w:rFonts w:hint="eastAsia"/>
                                  <w:bCs/>
                                  <w:spacing w:val="20"/>
                                  <w:sz w:val="22"/>
                                  <w:szCs w:val="22"/>
                                </w:rPr>
                                <w:t>平台硬化、井口方井建设、进场道路建设等构筑物建设</w:t>
                              </w:r>
                            </w:p>
                          </w:txbxContent>
                        </v:textbox>
                      </v:rect>
                      <v:rect id="矩形 1457" o:spid="_x0000_s1026" o:spt="1" style="position:absolute;left:5205;top:14069;height:821;width:2334;" fillcolor="#CCFFFF" filled="t" stroked="t" coordsize="21600,21600" o:gfxdata="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qqgGHbsAAADd&#10;AAAADwAAAAAAAAABACAAAAAiAAAAZHJzL2Rvd25yZXYueG1sUEsBAhQAFAAAAAgAh07iQDMvBZ47&#10;AAAAOQAAABAAAAAAAAAAAQAgAAAACgEAAGRycy9zaGFwZXhtbC54bWxQSwUGAAAAAAYABgBbAQAA&#10;tAMAAAAA&#10;">
                        <v:fill on="t" focussize="0,0"/>
                        <v:stroke weight="1.5pt" color="#000000" miterlimit="8" joinstyle="miter"/>
                        <v:imagedata o:title=""/>
                        <o:lock v:ext="edit" aspectratio="f"/>
                        <v:textbox inset="0mm,1.27mm,0mm,1.27mm">
                          <w:txbxContent>
                            <w:p>
                              <w:pPr>
                                <w:jc w:val="center"/>
                                <w:rPr>
                                  <w:sz w:val="24"/>
                                </w:rPr>
                              </w:pPr>
                              <w:r>
                                <w:rPr>
                                  <w:rFonts w:hint="eastAsia"/>
                                  <w:sz w:val="24"/>
                                </w:rPr>
                                <w:t>设备基础</w:t>
                              </w:r>
                            </w:p>
                          </w:txbxContent>
                        </v:textbox>
                      </v:rect>
                      <v:line id="直线 1458" o:spid="_x0000_s1026" o:spt="20" style="position:absolute;left:7621;top:14479;height:5;width:776;" filled="f" stroked="t" coordsize="21600,21600" o:gfxdata="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Ai3uSvQAA&#10;AN0AAAAPAAAAAAAAAAEAIAAAACIAAABkcnMvZG93bnJldi54bWxQSwECFAAUAAAACACHTuJAMy8F&#10;njsAAAA5AAAAEAAAAAAAAAABACAAAAAMAQAAZHJzL3NoYXBleG1sLnhtbFBLBQYAAAAABgAGAFsB&#10;AAC2AwAAAAA=&#10;">
                        <v:fill on="f" focussize="0,0"/>
                        <v:stroke weight="1.25pt" color="#0000FF" joinstyle="round" endarrow="block"/>
                        <v:imagedata o:title=""/>
                        <o:lock v:ext="edit" aspectratio="f"/>
                      </v:line>
                      <v:line id="直线 1459" o:spid="_x0000_s1026" o:spt="20" style="position:absolute;left:4604;top:14524;height:3;width:545;" filled="f" stroked="t" coordsize="21600,21600" o:gfxdata="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CxFO/g&#10;wAAAAN0AAAAPAAAAAAAAAAEAIAAAACIAAABkcnMvZG93bnJldi54bWxQSwECFAAUAAAACACHTuJA&#10;My8FnjsAAAA5AAAAEAAAAAAAAAABACAAAAAPAQAAZHJzL3NoYXBleG1sLnhtbFBLBQYAAAAABgAG&#10;AFsBAAC5AwAAAAA=&#10;">
                        <v:fill on="f" focussize="0,0"/>
                        <v:stroke weight="1.25pt" color="#0000FF" joinstyle="round" endarrow="block"/>
                        <v:imagedata o:title=""/>
                        <o:lock v:ext="edit" aspectratio="f"/>
                      </v:line>
                      <v:shape id="自选图形 1460" o:spid="_x0000_s1026" o:spt="61" type="#_x0000_t61" style="position:absolute;left:1992;top:11327;height:1294;width:2837;" fillcolor="#FFFFFF" filled="t" stroked="t" coordsize="21600,21600" o:gfxdata="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X7C4C8AAAA&#10;3QAAAA8AAAAAAAAAAQAgAAAAIgAAAGRycy9kb3ducmV2LnhtbFBLAQIUABQAAAAIAIdO4kAzLwWe&#10;OwAAADkAAAAQAAAAAAAAAAEAIAAAAAsBAABkcnMvc2hhcGV4bWwueG1sUEsFBgAAAAAGAAYAWwEA&#10;ALUDAAAAAA==&#10;" adj="9220,34322">
                        <v:fill on="t" focussize="0,0"/>
                        <v:stroke color="#FF0000" miterlimit="8" joinstyle="miter" dashstyle="dash"/>
                        <v:imagedata o:title=""/>
                        <o:lock v:ext="edit" aspectratio="f"/>
                        <v:textbox inset="0mm,1.27mm,0mm,1.27mm">
                          <w:txbxContent>
                            <w:p>
                              <w:r>
                                <w:rPr>
                                  <w:rFonts w:hint="eastAsia"/>
                                </w:rPr>
                                <w:t>水土流失、施工噪声、施工扬尘、施工废渣等</w:t>
                              </w:r>
                            </w:p>
                            <w:p/>
                          </w:txbxContent>
                        </v:textbox>
                      </v:shape>
                      <v:shape id="自选图形 1461" o:spid="_x0000_s1026" o:spt="61" type="#_x0000_t61" style="position:absolute;left:5438;top:11243;height:1262;width:2525;" fillcolor="#FFFFFF" filled="t" stroked="t" coordsize="21600,21600" o:gfxdata="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Qr6Db4A&#10;AADdAAAADwAAAAAAAAABACAAAAAiAAAAZHJzL2Rvd25yZXYueG1sUEsBAhQAFAAAAAgAh07iQDMv&#10;BZ47AAAAOQAAABAAAAAAAAAAAQAgAAAADQEAAGRycy9zaGFwZXhtbC54bWxQSwUGAAAAAAYABgBb&#10;AQAAtwMAAAAA&#10;" adj="9170,49809">
                        <v:fill on="t" focussize="0,0"/>
                        <v:stroke color="#FF0000" miterlimit="8" joinstyle="miter" dashstyle="dash"/>
                        <v:imagedata o:title=""/>
                        <o:lock v:ext="edit" aspectratio="f"/>
                        <v:textbox>
                          <w:txbxContent>
                            <w:p>
                              <w:pPr>
                                <w:jc w:val="center"/>
                              </w:pPr>
                              <w:r>
                                <w:rPr>
                                  <w:rFonts w:hint="eastAsia"/>
                                </w:rPr>
                                <w:t>施工噪声、施工废渣等</w:t>
                              </w:r>
                            </w:p>
                          </w:txbxContent>
                        </v:textbox>
                      </v:shape>
                      <v:shape id="自选图形 1462" o:spid="_x0000_s1026" o:spt="61" type="#_x0000_t61" style="position:absolute;left:8326;top:11511;height:1460;width:1930;" fillcolor="#FFFFFF" filled="t" stroked="t" coordsize="21600,21600" o:gfxdata="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H5v0O8AAAA&#10;3QAAAA8AAAAAAAAAAQAgAAAAIgAAAGRycy9kb3ducmV2LnhtbFBLAQIUABQAAAAIAIdO4kAzLwWe&#10;OwAAADkAAAAQAAAAAAAAAAEAIAAAAAsBAABkcnMvc2hhcGV4bWwueG1sUEsFBgAAAAAGAAYAWwEA&#10;ALUDAAAAAA==&#10;" adj="13944,39274">
                        <v:fill on="t" focussize="0,0"/>
                        <v:stroke color="#FF0000" miterlimit="8" joinstyle="miter" dashstyle="dash"/>
                        <v:imagedata o:title=""/>
                        <o:lock v:ext="edit" aspectratio="f"/>
                        <v:textbox>
                          <w:txbxContent>
                            <w:p>
                              <w:r>
                                <w:rPr>
                                  <w:rFonts w:hint="eastAsia"/>
                                </w:rPr>
                                <w:t>施工噪声、废包装材料等</w:t>
                              </w:r>
                            </w:p>
                          </w:txbxContent>
                        </v:textbox>
                      </v:shape>
                      <w10:wrap type="none"/>
                      <w10:anchorlock/>
                    </v:group>
                  </w:pict>
                </mc:Fallback>
              </mc:AlternateContent>
            </w:r>
          </w:p>
          <w:p>
            <w:pPr>
              <w:keepNext w:val="0"/>
              <w:keepLines w:val="0"/>
              <w:suppressLineNumbers w:val="0"/>
              <w:adjustRightInd w:val="0"/>
              <w:snapToGrid w:val="0"/>
              <w:spacing w:before="0" w:beforeAutospacing="0" w:after="0" w:afterAutospacing="0" w:line="360" w:lineRule="auto"/>
              <w:ind w:left="0" w:right="0" w:firstLine="482" w:firstLineChars="20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图2.11-1  钻前工艺总流程图</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（1）井场道路</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本项目进场道路约</w:t>
            </w:r>
            <w:r>
              <w:rPr>
                <w:rFonts w:hint="eastAsia" w:cs="Times New Roman"/>
                <w:color w:val="auto"/>
                <w:kern w:val="0"/>
                <w:sz w:val="24"/>
                <w:lang w:val="en-US" w:eastAsia="zh-CN"/>
              </w:rPr>
              <w:t>32</w:t>
            </w:r>
            <w:r>
              <w:rPr>
                <w:rFonts w:hint="default" w:ascii="Times New Roman" w:hAnsi="Times New Roman" w:cs="Times New Roman"/>
                <w:color w:val="auto"/>
                <w:kern w:val="0"/>
                <w:sz w:val="24"/>
              </w:rPr>
              <w:t>0m，路面结构为：20cm级配碎石+20cm厚6%水泥稳定碎石+20cmC30混凝土，设计行车速度20km/h，路基宽5.0m。为减轻路面水土流失，道路路面采用泥结碎石路面压实处理。</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（2）井场构筑</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①主要构筑物</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本项目井场大小为11</w:t>
            </w:r>
            <w:r>
              <w:rPr>
                <w:rFonts w:hint="eastAsia" w:cs="Times New Roman"/>
                <w:color w:val="auto"/>
                <w:kern w:val="0"/>
                <w:sz w:val="24"/>
                <w:lang w:val="en-US" w:eastAsia="zh-CN"/>
              </w:rPr>
              <w:t>4</w:t>
            </w:r>
            <w:r>
              <w:rPr>
                <w:rFonts w:hint="default" w:ascii="Times New Roman" w:hAnsi="Times New Roman" w:cs="Times New Roman"/>
                <w:color w:val="auto"/>
                <w:kern w:val="0"/>
                <w:sz w:val="24"/>
              </w:rPr>
              <w:t>×</w:t>
            </w:r>
            <w:r>
              <w:rPr>
                <w:rFonts w:hint="eastAsia" w:cs="Times New Roman"/>
                <w:color w:val="auto"/>
                <w:kern w:val="0"/>
                <w:sz w:val="24"/>
                <w:lang w:val="en-US" w:eastAsia="zh-CN"/>
              </w:rPr>
              <w:t>50</w:t>
            </w:r>
            <w:r>
              <w:rPr>
                <w:rFonts w:hint="default" w:ascii="Times New Roman" w:hAnsi="Times New Roman" w:cs="Times New Roman"/>
                <w:color w:val="auto"/>
                <w:kern w:val="0"/>
                <w:sz w:val="24"/>
              </w:rPr>
              <w:t>m，新建放喷池</w:t>
            </w:r>
            <w:r>
              <w:rPr>
                <w:rFonts w:hint="eastAsia" w:cs="Times New Roman"/>
                <w:color w:val="auto"/>
                <w:kern w:val="0"/>
                <w:sz w:val="24"/>
                <w:lang w:val="en-US" w:eastAsia="zh-CN"/>
              </w:rPr>
              <w:t>1</w:t>
            </w:r>
            <w:r>
              <w:rPr>
                <w:rFonts w:hint="default" w:ascii="Times New Roman" w:hAnsi="Times New Roman" w:cs="Times New Roman"/>
                <w:color w:val="auto"/>
                <w:kern w:val="0"/>
                <w:sz w:val="24"/>
              </w:rPr>
              <w:t>座，清水池1座；放喷池位于井场</w:t>
            </w:r>
            <w:r>
              <w:rPr>
                <w:rFonts w:hint="eastAsia" w:cs="Times New Roman"/>
                <w:color w:val="auto"/>
                <w:kern w:val="0"/>
                <w:sz w:val="24"/>
                <w:lang w:val="en-US" w:eastAsia="zh-CN"/>
              </w:rPr>
              <w:t>东侧</w:t>
            </w:r>
            <w:r>
              <w:rPr>
                <w:rFonts w:hint="default" w:ascii="Times New Roman" w:hAnsi="Times New Roman" w:cs="Times New Roman"/>
                <w:color w:val="auto"/>
                <w:kern w:val="0"/>
                <w:sz w:val="24"/>
              </w:rPr>
              <w:t>，清水池位于平台</w:t>
            </w:r>
            <w:r>
              <w:rPr>
                <w:rFonts w:hint="eastAsia" w:cs="Times New Roman"/>
                <w:color w:val="auto"/>
                <w:kern w:val="0"/>
                <w:sz w:val="24"/>
                <w:lang w:val="en-US" w:eastAsia="zh-CN"/>
              </w:rPr>
              <w:t>西</w:t>
            </w:r>
            <w:r>
              <w:rPr>
                <w:rFonts w:hint="default" w:ascii="Times New Roman" w:hAnsi="Times New Roman" w:cs="Times New Roman"/>
                <w:color w:val="auto"/>
                <w:kern w:val="0"/>
                <w:sz w:val="24"/>
              </w:rPr>
              <w:t>侧。</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②构筑物分区防渗</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井场内外各设备基础及附属设施严格落实《石油化工工程防渗技术规范》（GB/T50934-2013）要求，实施分区防渗防控。</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 xml:space="preserve">③清污分流及其他 </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清污分流：各井场实施清污分流。四周设边沟，用于排泄井场外的雨水，清水沟出水口处设置沉砂井。井场主要设备基础周边设环状污水沟，以便钻井过程中将井场产生的污水通过主排污沟排入环境监测池内收集。</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钻井工程生活区采用活动板房结构，现场仅构筑水泥基桩，生活区配套修建生活污水隔油处理设施、垃圾收集箱和厕所。</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bCs/>
                <w:color w:val="auto"/>
                <w:sz w:val="24"/>
              </w:rPr>
              <w:t>2.11.2钻井工程</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eastAsia" w:cs="Times New Roman"/>
                <w:color w:val="auto"/>
                <w:sz w:val="24"/>
                <w:lang w:eastAsia="zh-CN"/>
              </w:rPr>
              <w:t>普陆12HF井</w:t>
            </w:r>
            <w:r>
              <w:rPr>
                <w:rFonts w:hint="default" w:ascii="Times New Roman" w:hAnsi="Times New Roman" w:cs="Times New Roman"/>
                <w:color w:val="auto"/>
                <w:sz w:val="24"/>
              </w:rPr>
              <w:t>采用常规钻井工艺，使用钻机ZJ50型钻机对</w:t>
            </w:r>
            <w:r>
              <w:rPr>
                <w:rFonts w:hint="eastAsia" w:cs="Times New Roman"/>
                <w:color w:val="auto"/>
                <w:sz w:val="24"/>
                <w:lang w:eastAsia="zh-CN"/>
              </w:rPr>
              <w:t>普陆12HF井</w:t>
            </w:r>
            <w:r>
              <w:rPr>
                <w:rFonts w:hint="default" w:ascii="Times New Roman" w:hAnsi="Times New Roman" w:cs="Times New Roman"/>
                <w:color w:val="auto"/>
                <w:sz w:val="24"/>
              </w:rPr>
              <w:t>进行钻井作业。</w:t>
            </w:r>
            <w:r>
              <w:rPr>
                <w:rFonts w:hint="eastAsia" w:cs="Times New Roman"/>
                <w:color w:val="auto"/>
                <w:sz w:val="24"/>
                <w:lang w:eastAsia="zh-CN"/>
              </w:rPr>
              <w:t>普陆12HF井</w:t>
            </w:r>
            <w:r>
              <w:rPr>
                <w:rFonts w:hint="default" w:ascii="Times New Roman" w:hAnsi="Times New Roman" w:cs="Times New Roman"/>
                <w:color w:val="auto"/>
                <w:sz w:val="24"/>
              </w:rPr>
              <w:t>属于定向井；</w:t>
            </w:r>
            <w:r>
              <w:rPr>
                <w:rFonts w:hint="eastAsia" w:cs="Times New Roman"/>
                <w:color w:val="auto"/>
                <w:sz w:val="24"/>
                <w:lang w:val="en-US" w:eastAsia="zh-CN"/>
              </w:rPr>
              <w:t>一开</w:t>
            </w:r>
            <w:r>
              <w:rPr>
                <w:rFonts w:hint="default" w:ascii="Times New Roman" w:hAnsi="Times New Roman" w:cs="Times New Roman"/>
                <w:color w:val="auto"/>
                <w:sz w:val="24"/>
              </w:rPr>
              <w:t>段采用清水钻井；二开段采用气体钻井/水基钻井液常规钻井，三开段采用水基钻井液进行钻井，有利于降低作业成本，对地层污染较小。</w:t>
            </w:r>
            <w:r>
              <w:rPr>
                <w:rFonts w:hint="eastAsia" w:cs="Times New Roman"/>
                <w:color w:val="auto"/>
                <w:sz w:val="24"/>
                <w:lang w:eastAsia="zh-CN"/>
              </w:rPr>
              <w:t>普陆12HF井</w:t>
            </w:r>
            <w:r>
              <w:rPr>
                <w:rFonts w:hint="default" w:ascii="Times New Roman" w:hAnsi="Times New Roman" w:cs="Times New Roman"/>
                <w:color w:val="auto"/>
                <w:sz w:val="24"/>
              </w:rPr>
              <w:t>钻井轨迹水平投影示意图详见附图。</w:t>
            </w:r>
          </w:p>
          <w:p>
            <w:pPr>
              <w:keepNext w:val="0"/>
              <w:keepLines w:val="0"/>
              <w:suppressLineNumbers w:val="0"/>
              <w:spacing w:before="0" w:beforeAutospacing="0" w:after="0" w:afterAutospacing="0" w:line="360" w:lineRule="auto"/>
              <w:ind w:left="0" w:right="0" w:firstLine="482" w:firstLineChars="200"/>
              <w:jc w:val="center"/>
              <w:rPr>
                <w:rFonts w:hint="default" w:ascii="Times New Roman" w:hAnsi="Times New Roman" w:cs="Times New Roman"/>
                <w:b/>
                <w:bCs/>
                <w:color w:val="auto"/>
                <w:sz w:val="24"/>
              </w:rPr>
            </w:pPr>
            <w:r>
              <w:rPr>
                <w:rFonts w:hint="default" w:ascii="Times New Roman" w:hAnsi="Times New Roman" w:cs="Times New Roman"/>
                <w:b/>
                <w:bCs/>
                <w:color w:val="auto"/>
                <w:sz w:val="24"/>
              </w:rPr>
              <w:t xml:space="preserve">表2-8 </w:t>
            </w:r>
            <w:r>
              <w:rPr>
                <w:rFonts w:hint="eastAsia" w:cs="Times New Roman"/>
                <w:b/>
                <w:bCs/>
                <w:color w:val="auto"/>
                <w:sz w:val="24"/>
                <w:lang w:eastAsia="zh-CN"/>
              </w:rPr>
              <w:t>普陆12HF井</w:t>
            </w:r>
            <w:r>
              <w:rPr>
                <w:rFonts w:hint="default" w:ascii="Times New Roman" w:hAnsi="Times New Roman" w:cs="Times New Roman"/>
                <w:b/>
                <w:bCs/>
                <w:color w:val="auto"/>
                <w:sz w:val="24"/>
              </w:rPr>
              <w:t>井身结构一览表</w:t>
            </w:r>
          </w:p>
          <w:tbl>
            <w:tblPr>
              <w:tblStyle w:val="44"/>
              <w:tblW w:w="7462"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97"/>
              <w:gridCol w:w="892"/>
              <w:gridCol w:w="795"/>
              <w:gridCol w:w="1038"/>
              <w:gridCol w:w="1151"/>
              <w:gridCol w:w="1081"/>
              <w:gridCol w:w="160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7" w:type="dxa"/>
                  <w:tcBorders>
                    <w:tl2br w:val="nil"/>
                    <w:tr2bl w:val="nil"/>
                  </w:tcBorders>
                  <w:vAlign w:val="center"/>
                </w:tcPr>
                <w:p>
                  <w:pPr>
                    <w:pStyle w:val="388"/>
                    <w:keepNext w:val="0"/>
                    <w:keepLines w:val="0"/>
                    <w:suppressLineNumbers w:val="0"/>
                    <w:spacing w:before="0" w:beforeAutospacing="0" w:after="0" w:afterAutospacing="0" w:line="240" w:lineRule="auto"/>
                    <w:ind w:left="0" w:right="0"/>
                    <w:rPr>
                      <w:rFonts w:hint="default" w:ascii="Times New Roman" w:hAnsi="Times New Roman" w:eastAsia="宋体" w:cs="Times New Roman"/>
                      <w:color w:val="auto"/>
                    </w:rPr>
                  </w:pPr>
                  <w:r>
                    <w:rPr>
                      <w:rFonts w:hint="default" w:ascii="Times New Roman" w:hAnsi="Times New Roman" w:eastAsia="宋体" w:cs="Times New Roman"/>
                      <w:color w:val="auto"/>
                    </w:rPr>
                    <w:t>开次</w:t>
                  </w:r>
                </w:p>
              </w:tc>
              <w:tc>
                <w:tcPr>
                  <w:tcW w:w="892" w:type="dxa"/>
                  <w:tcBorders>
                    <w:tl2br w:val="nil"/>
                    <w:tr2bl w:val="nil"/>
                  </w:tcBorders>
                  <w:vAlign w:val="center"/>
                </w:tcPr>
                <w:p>
                  <w:pPr>
                    <w:pStyle w:val="388"/>
                    <w:keepNext w:val="0"/>
                    <w:keepLines w:val="0"/>
                    <w:suppressLineNumbers w:val="0"/>
                    <w:spacing w:before="0" w:beforeAutospacing="0" w:after="0" w:afterAutospacing="0" w:line="240" w:lineRule="auto"/>
                    <w:ind w:left="0" w:right="0"/>
                    <w:rPr>
                      <w:rFonts w:hint="default" w:ascii="Times New Roman" w:hAnsi="Times New Roman" w:eastAsia="宋体" w:cs="Times New Roman"/>
                      <w:color w:val="auto"/>
                    </w:rPr>
                  </w:pPr>
                  <w:r>
                    <w:rPr>
                      <w:rFonts w:hint="default" w:ascii="Times New Roman" w:hAnsi="Times New Roman" w:eastAsia="宋体" w:cs="Times New Roman"/>
                      <w:color w:val="auto"/>
                    </w:rPr>
                    <w:t>钻头尺寸（mm）</w:t>
                  </w:r>
                </w:p>
              </w:tc>
              <w:tc>
                <w:tcPr>
                  <w:tcW w:w="795" w:type="dxa"/>
                  <w:tcBorders>
                    <w:tl2br w:val="nil"/>
                    <w:tr2bl w:val="nil"/>
                  </w:tcBorders>
                  <w:vAlign w:val="center"/>
                </w:tcPr>
                <w:p>
                  <w:pPr>
                    <w:pStyle w:val="388"/>
                    <w:keepNext w:val="0"/>
                    <w:keepLines w:val="0"/>
                    <w:suppressLineNumbers w:val="0"/>
                    <w:spacing w:before="0" w:beforeAutospacing="0" w:after="0" w:afterAutospacing="0" w:line="240" w:lineRule="auto"/>
                    <w:ind w:left="0" w:right="0"/>
                    <w:rPr>
                      <w:rFonts w:hint="default" w:ascii="Times New Roman" w:hAnsi="Times New Roman" w:eastAsia="宋体" w:cs="Times New Roman"/>
                      <w:color w:val="auto"/>
                    </w:rPr>
                  </w:pPr>
                  <w:r>
                    <w:rPr>
                      <w:rFonts w:hint="default" w:ascii="Times New Roman" w:hAnsi="Times New Roman" w:eastAsia="宋体" w:cs="Times New Roman"/>
                      <w:color w:val="auto"/>
                    </w:rPr>
                    <w:t>钻深</w:t>
                  </w:r>
                </w:p>
                <w:p>
                  <w:pPr>
                    <w:pStyle w:val="388"/>
                    <w:keepNext w:val="0"/>
                    <w:keepLines w:val="0"/>
                    <w:suppressLineNumbers w:val="0"/>
                    <w:spacing w:before="0" w:beforeAutospacing="0" w:after="0" w:afterAutospacing="0" w:line="240" w:lineRule="auto"/>
                    <w:ind w:left="0" w:right="0"/>
                    <w:rPr>
                      <w:rFonts w:hint="default" w:ascii="Times New Roman" w:hAnsi="Times New Roman" w:eastAsia="宋体" w:cs="Times New Roman"/>
                      <w:color w:val="auto"/>
                    </w:rPr>
                  </w:pPr>
                  <w:r>
                    <w:rPr>
                      <w:rFonts w:hint="eastAsia" w:ascii="Times New Roman" w:eastAsia="宋体" w:cs="Times New Roman"/>
                      <w:color w:val="auto"/>
                      <w:lang w:eastAsia="zh-CN"/>
                    </w:rPr>
                    <w:t>(</w:t>
                  </w:r>
                  <w:r>
                    <w:rPr>
                      <w:rFonts w:hint="default" w:ascii="Times New Roman" w:hAnsi="Times New Roman" w:eastAsia="宋体" w:cs="Times New Roman"/>
                      <w:color w:val="auto"/>
                    </w:rPr>
                    <w:t>m</w:t>
                  </w:r>
                  <w:r>
                    <w:rPr>
                      <w:rFonts w:hint="eastAsia" w:ascii="Times New Roman" w:eastAsia="宋体" w:cs="Times New Roman"/>
                      <w:color w:val="auto"/>
                      <w:lang w:eastAsia="zh-CN"/>
                    </w:rPr>
                    <w:t>)</w:t>
                  </w:r>
                </w:p>
              </w:tc>
              <w:tc>
                <w:tcPr>
                  <w:tcW w:w="1038" w:type="dxa"/>
                  <w:tcBorders>
                    <w:tl2br w:val="nil"/>
                    <w:tr2bl w:val="nil"/>
                  </w:tcBorders>
                  <w:vAlign w:val="center"/>
                </w:tcPr>
                <w:p>
                  <w:pPr>
                    <w:pStyle w:val="388"/>
                    <w:keepNext w:val="0"/>
                    <w:keepLines w:val="0"/>
                    <w:suppressLineNumbers w:val="0"/>
                    <w:spacing w:before="0" w:beforeAutospacing="0" w:after="0" w:afterAutospacing="0" w:line="240" w:lineRule="auto"/>
                    <w:ind w:left="0" w:right="0"/>
                    <w:rPr>
                      <w:rFonts w:hint="default" w:ascii="Times New Roman" w:hAnsi="Times New Roman" w:eastAsia="宋体" w:cs="Times New Roman"/>
                      <w:color w:val="auto"/>
                    </w:rPr>
                  </w:pPr>
                  <w:r>
                    <w:rPr>
                      <w:rFonts w:hint="default" w:ascii="Times New Roman" w:hAnsi="Times New Roman" w:eastAsia="宋体" w:cs="Times New Roman"/>
                      <w:color w:val="auto"/>
                    </w:rPr>
                    <w:t>套管尺寸（mm）</w:t>
                  </w:r>
                </w:p>
              </w:tc>
              <w:tc>
                <w:tcPr>
                  <w:tcW w:w="1151" w:type="dxa"/>
                  <w:tcBorders>
                    <w:tl2br w:val="nil"/>
                    <w:tr2bl w:val="nil"/>
                  </w:tcBorders>
                  <w:vAlign w:val="center"/>
                </w:tcPr>
                <w:p>
                  <w:pPr>
                    <w:pStyle w:val="388"/>
                    <w:keepNext w:val="0"/>
                    <w:keepLines w:val="0"/>
                    <w:suppressLineNumbers w:val="0"/>
                    <w:spacing w:before="0" w:beforeAutospacing="0" w:after="0" w:afterAutospacing="0" w:line="240" w:lineRule="auto"/>
                    <w:ind w:left="0" w:right="0"/>
                    <w:rPr>
                      <w:rFonts w:hint="default" w:ascii="Times New Roman" w:hAnsi="Times New Roman" w:eastAsia="宋体" w:cs="Times New Roman"/>
                      <w:color w:val="auto"/>
                    </w:rPr>
                  </w:pPr>
                  <w:r>
                    <w:rPr>
                      <w:rFonts w:hint="default" w:ascii="Times New Roman" w:hAnsi="Times New Roman" w:eastAsia="宋体" w:cs="Times New Roman"/>
                      <w:color w:val="auto"/>
                    </w:rPr>
                    <w:t>套管下深（m）</w:t>
                  </w:r>
                </w:p>
              </w:tc>
              <w:tc>
                <w:tcPr>
                  <w:tcW w:w="1081" w:type="dxa"/>
                  <w:tcBorders>
                    <w:tl2br w:val="nil"/>
                    <w:tr2bl w:val="nil"/>
                  </w:tcBorders>
                  <w:vAlign w:val="center"/>
                </w:tcPr>
                <w:p>
                  <w:pPr>
                    <w:pStyle w:val="388"/>
                    <w:keepNext w:val="0"/>
                    <w:keepLines w:val="0"/>
                    <w:suppressLineNumbers w:val="0"/>
                    <w:spacing w:before="0" w:beforeAutospacing="0" w:after="0" w:afterAutospacing="0" w:line="240" w:lineRule="auto"/>
                    <w:ind w:left="0" w:right="0"/>
                    <w:rPr>
                      <w:rFonts w:hint="default" w:ascii="Times New Roman" w:hAnsi="Times New Roman" w:eastAsia="宋体" w:cs="Times New Roman"/>
                      <w:color w:val="auto"/>
                    </w:rPr>
                  </w:pPr>
                  <w:r>
                    <w:rPr>
                      <w:rFonts w:hint="default" w:ascii="Times New Roman" w:hAnsi="Times New Roman" w:eastAsia="宋体" w:cs="Times New Roman"/>
                      <w:color w:val="auto"/>
                    </w:rPr>
                    <w:t>水泥返高（m）</w:t>
                  </w:r>
                </w:p>
              </w:tc>
              <w:tc>
                <w:tcPr>
                  <w:tcW w:w="1608" w:type="dxa"/>
                  <w:tcBorders>
                    <w:tl2br w:val="nil"/>
                    <w:tr2bl w:val="nil"/>
                  </w:tcBorders>
                  <w:vAlign w:val="center"/>
                </w:tcPr>
                <w:p>
                  <w:pPr>
                    <w:pStyle w:val="388"/>
                    <w:keepNext w:val="0"/>
                    <w:keepLines w:val="0"/>
                    <w:suppressLineNumbers w:val="0"/>
                    <w:spacing w:before="0" w:beforeAutospacing="0" w:after="0" w:afterAutospacing="0" w:line="240" w:lineRule="auto"/>
                    <w:ind w:left="0" w:right="0"/>
                    <w:rPr>
                      <w:rFonts w:hint="default" w:ascii="Times New Roman" w:hAnsi="Times New Roman" w:eastAsia="宋体" w:cs="Times New Roman"/>
                      <w:color w:val="auto"/>
                    </w:rPr>
                  </w:pPr>
                  <w:r>
                    <w:rPr>
                      <w:rFonts w:hint="default" w:ascii="Times New Roman" w:hAnsi="Times New Roman" w:eastAsia="宋体" w:cs="Times New Roman"/>
                      <w:color w:val="auto"/>
                    </w:rPr>
                    <w:t>钻井方式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7"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kern w:val="0"/>
                      <w:szCs w:val="21"/>
                    </w:rPr>
                    <w:t>一</w:t>
                  </w:r>
                  <w:r>
                    <w:rPr>
                      <w:rFonts w:hint="default" w:ascii="Times New Roman" w:hAnsi="Times New Roman" w:eastAsia="宋体" w:cs="Times New Roman"/>
                      <w:color w:val="auto"/>
                      <w:kern w:val="0"/>
                      <w:szCs w:val="21"/>
                      <w:lang w:val="zh-CN"/>
                    </w:rPr>
                    <w:t>开</w:t>
                  </w:r>
                </w:p>
              </w:tc>
              <w:tc>
                <w:tcPr>
                  <w:tcW w:w="892"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kern w:val="0"/>
                      <w:sz w:val="22"/>
                      <w:szCs w:val="22"/>
                      <w:lang w:bidi="ar"/>
                    </w:rPr>
                  </w:pPr>
                  <w:r>
                    <w:rPr>
                      <w:rFonts w:hint="eastAsia" w:cs="Times New Roman"/>
                      <w:bCs/>
                      <w:color w:val="auto"/>
                      <w:sz w:val="21"/>
                      <w:szCs w:val="21"/>
                      <w:lang w:val="en-US" w:eastAsia="zh-CN"/>
                    </w:rPr>
                    <w:t>*</w:t>
                  </w:r>
                </w:p>
              </w:tc>
              <w:tc>
                <w:tcPr>
                  <w:tcW w:w="795"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kern w:val="0"/>
                      <w:sz w:val="22"/>
                      <w:szCs w:val="22"/>
                      <w:lang w:bidi="ar"/>
                    </w:rPr>
                  </w:pPr>
                  <w:r>
                    <w:rPr>
                      <w:rFonts w:hint="eastAsia" w:cs="Times New Roman"/>
                      <w:bCs/>
                      <w:color w:val="auto"/>
                      <w:sz w:val="21"/>
                      <w:szCs w:val="21"/>
                      <w:lang w:val="en-US" w:eastAsia="zh-CN"/>
                    </w:rPr>
                    <w:t>*</w:t>
                  </w:r>
                </w:p>
              </w:tc>
              <w:tc>
                <w:tcPr>
                  <w:tcW w:w="1038"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kern w:val="0"/>
                      <w:sz w:val="22"/>
                      <w:szCs w:val="22"/>
                      <w:lang w:bidi="ar"/>
                    </w:rPr>
                  </w:pPr>
                  <w:r>
                    <w:rPr>
                      <w:rFonts w:hint="eastAsia" w:cs="Times New Roman"/>
                      <w:bCs/>
                      <w:color w:val="auto"/>
                      <w:sz w:val="21"/>
                      <w:szCs w:val="21"/>
                      <w:lang w:val="en-US" w:eastAsia="zh-CN"/>
                    </w:rPr>
                    <w:t>*</w:t>
                  </w:r>
                </w:p>
              </w:tc>
              <w:tc>
                <w:tcPr>
                  <w:tcW w:w="1151"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kern w:val="0"/>
                      <w:sz w:val="22"/>
                      <w:szCs w:val="22"/>
                      <w:lang w:bidi="ar"/>
                    </w:rPr>
                  </w:pPr>
                  <w:r>
                    <w:rPr>
                      <w:rFonts w:hint="eastAsia" w:cs="Times New Roman"/>
                      <w:bCs/>
                      <w:color w:val="auto"/>
                      <w:sz w:val="21"/>
                      <w:szCs w:val="21"/>
                      <w:lang w:val="en-US" w:eastAsia="zh-CN"/>
                    </w:rPr>
                    <w:t>*</w:t>
                  </w:r>
                </w:p>
              </w:tc>
              <w:tc>
                <w:tcPr>
                  <w:tcW w:w="1081"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rPr>
                  </w:pPr>
                  <w:r>
                    <w:rPr>
                      <w:rFonts w:hint="eastAsia" w:cs="Times New Roman"/>
                      <w:bCs/>
                      <w:color w:val="auto"/>
                      <w:sz w:val="21"/>
                      <w:szCs w:val="21"/>
                      <w:lang w:val="en-US" w:eastAsia="zh-CN"/>
                    </w:rPr>
                    <w:t>*</w:t>
                  </w:r>
                </w:p>
              </w:tc>
              <w:tc>
                <w:tcPr>
                  <w:tcW w:w="1608"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清水钻井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7"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kern w:val="0"/>
                      <w:szCs w:val="21"/>
                    </w:rPr>
                    <w:t>二开</w:t>
                  </w:r>
                </w:p>
              </w:tc>
              <w:tc>
                <w:tcPr>
                  <w:tcW w:w="892"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kern w:val="0"/>
                      <w:sz w:val="22"/>
                      <w:szCs w:val="22"/>
                      <w:lang w:bidi="ar"/>
                    </w:rPr>
                  </w:pPr>
                  <w:r>
                    <w:rPr>
                      <w:rFonts w:hint="eastAsia" w:cs="Times New Roman"/>
                      <w:bCs/>
                      <w:color w:val="auto"/>
                      <w:sz w:val="21"/>
                      <w:szCs w:val="21"/>
                      <w:lang w:val="en-US" w:eastAsia="zh-CN"/>
                    </w:rPr>
                    <w:t>*</w:t>
                  </w:r>
                </w:p>
              </w:tc>
              <w:tc>
                <w:tcPr>
                  <w:tcW w:w="795"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kern w:val="0"/>
                      <w:sz w:val="22"/>
                      <w:szCs w:val="22"/>
                      <w:lang w:bidi="ar"/>
                    </w:rPr>
                  </w:pPr>
                  <w:r>
                    <w:rPr>
                      <w:rFonts w:hint="eastAsia" w:cs="Times New Roman"/>
                      <w:bCs/>
                      <w:color w:val="auto"/>
                      <w:sz w:val="21"/>
                      <w:szCs w:val="21"/>
                      <w:lang w:val="en-US" w:eastAsia="zh-CN"/>
                    </w:rPr>
                    <w:t>*</w:t>
                  </w:r>
                </w:p>
              </w:tc>
              <w:tc>
                <w:tcPr>
                  <w:tcW w:w="1038"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kern w:val="0"/>
                      <w:sz w:val="22"/>
                      <w:szCs w:val="22"/>
                      <w:lang w:bidi="ar"/>
                    </w:rPr>
                  </w:pPr>
                  <w:r>
                    <w:rPr>
                      <w:rFonts w:hint="eastAsia" w:cs="Times New Roman"/>
                      <w:bCs/>
                      <w:color w:val="auto"/>
                      <w:sz w:val="21"/>
                      <w:szCs w:val="21"/>
                      <w:lang w:val="en-US" w:eastAsia="zh-CN"/>
                    </w:rPr>
                    <w:t>*</w:t>
                  </w:r>
                </w:p>
              </w:tc>
              <w:tc>
                <w:tcPr>
                  <w:tcW w:w="1151"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kern w:val="0"/>
                      <w:sz w:val="22"/>
                      <w:szCs w:val="22"/>
                      <w:lang w:bidi="ar"/>
                    </w:rPr>
                  </w:pPr>
                  <w:r>
                    <w:rPr>
                      <w:rFonts w:hint="eastAsia" w:cs="Times New Roman"/>
                      <w:bCs/>
                      <w:color w:val="auto"/>
                      <w:sz w:val="21"/>
                      <w:szCs w:val="21"/>
                      <w:lang w:val="en-US" w:eastAsia="zh-CN"/>
                    </w:rPr>
                    <w:t>*</w:t>
                  </w:r>
                </w:p>
              </w:tc>
              <w:tc>
                <w:tcPr>
                  <w:tcW w:w="1081"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rPr>
                  </w:pPr>
                  <w:r>
                    <w:rPr>
                      <w:rFonts w:hint="eastAsia" w:cs="Times New Roman"/>
                      <w:bCs/>
                      <w:color w:val="auto"/>
                      <w:sz w:val="21"/>
                      <w:szCs w:val="21"/>
                      <w:lang w:val="en-US" w:eastAsia="zh-CN"/>
                    </w:rPr>
                    <w:t>*</w:t>
                  </w:r>
                </w:p>
              </w:tc>
              <w:tc>
                <w:tcPr>
                  <w:tcW w:w="1608" w:type="dxa"/>
                  <w:vMerge w:val="restar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lang w:val="en-US" w:eastAsia="zh-CN"/>
                    </w:rPr>
                    <w:t>优先采用</w:t>
                  </w:r>
                  <w:r>
                    <w:rPr>
                      <w:rFonts w:hint="default" w:ascii="Times New Roman" w:hAnsi="Times New Roman" w:eastAsia="宋体" w:cs="Times New Roman"/>
                      <w:color w:val="auto"/>
                      <w:szCs w:val="21"/>
                    </w:rPr>
                    <w:t>气体钻</w:t>
                  </w:r>
                  <w:r>
                    <w:rPr>
                      <w:rFonts w:hint="default" w:ascii="Times New Roman" w:hAnsi="Times New Roman" w:eastAsia="宋体" w:cs="Times New Roman"/>
                      <w:color w:val="auto"/>
                      <w:szCs w:val="21"/>
                      <w:lang w:val="en-US" w:eastAsia="zh-CN"/>
                    </w:rPr>
                    <w:t>井，当不满足钻井要求时更换为</w:t>
                  </w:r>
                  <w:r>
                    <w:rPr>
                      <w:rFonts w:hint="default" w:ascii="Times New Roman" w:hAnsi="Times New Roman" w:eastAsia="宋体" w:cs="Times New Roman"/>
                      <w:color w:val="auto"/>
                      <w:szCs w:val="21"/>
                    </w:rPr>
                    <w:t>常规水基钻井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7"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kern w:val="0"/>
                      <w:szCs w:val="21"/>
                    </w:rPr>
                    <w:t>三开导眼</w:t>
                  </w:r>
                </w:p>
              </w:tc>
              <w:tc>
                <w:tcPr>
                  <w:tcW w:w="892"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kern w:val="0"/>
                      <w:sz w:val="22"/>
                      <w:szCs w:val="22"/>
                      <w:lang w:bidi="ar"/>
                    </w:rPr>
                  </w:pPr>
                  <w:r>
                    <w:rPr>
                      <w:rFonts w:hint="eastAsia" w:cs="Times New Roman"/>
                      <w:bCs/>
                      <w:color w:val="auto"/>
                      <w:sz w:val="21"/>
                      <w:szCs w:val="21"/>
                      <w:lang w:val="en-US" w:eastAsia="zh-CN"/>
                    </w:rPr>
                    <w:t>*</w:t>
                  </w:r>
                </w:p>
              </w:tc>
              <w:tc>
                <w:tcPr>
                  <w:tcW w:w="795"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kern w:val="0"/>
                      <w:sz w:val="22"/>
                      <w:szCs w:val="22"/>
                      <w:lang w:bidi="ar"/>
                    </w:rPr>
                  </w:pPr>
                  <w:r>
                    <w:rPr>
                      <w:rFonts w:hint="eastAsia" w:cs="Times New Roman"/>
                      <w:bCs/>
                      <w:color w:val="auto"/>
                      <w:sz w:val="21"/>
                      <w:szCs w:val="21"/>
                      <w:lang w:val="en-US" w:eastAsia="zh-CN"/>
                    </w:rPr>
                    <w:t>*</w:t>
                  </w:r>
                </w:p>
              </w:tc>
              <w:tc>
                <w:tcPr>
                  <w:tcW w:w="1038"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kern w:val="0"/>
                      <w:sz w:val="22"/>
                      <w:szCs w:val="22"/>
                      <w:lang w:bidi="ar"/>
                    </w:rPr>
                  </w:pPr>
                  <w:r>
                    <w:rPr>
                      <w:rFonts w:hint="eastAsia" w:cs="Times New Roman"/>
                      <w:bCs/>
                      <w:color w:val="auto"/>
                      <w:sz w:val="21"/>
                      <w:szCs w:val="21"/>
                      <w:lang w:val="en-US" w:eastAsia="zh-CN"/>
                    </w:rPr>
                    <w:t>*</w:t>
                  </w:r>
                </w:p>
              </w:tc>
              <w:tc>
                <w:tcPr>
                  <w:tcW w:w="1151"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kern w:val="0"/>
                      <w:sz w:val="22"/>
                      <w:szCs w:val="22"/>
                      <w:lang w:bidi="ar"/>
                    </w:rPr>
                  </w:pPr>
                  <w:r>
                    <w:rPr>
                      <w:rFonts w:hint="eastAsia" w:cs="Times New Roman"/>
                      <w:bCs/>
                      <w:color w:val="auto"/>
                      <w:sz w:val="21"/>
                      <w:szCs w:val="21"/>
                      <w:lang w:val="en-US" w:eastAsia="zh-CN"/>
                    </w:rPr>
                    <w:t>*</w:t>
                  </w:r>
                </w:p>
              </w:tc>
              <w:tc>
                <w:tcPr>
                  <w:tcW w:w="1081"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rPr>
                  </w:pPr>
                  <w:r>
                    <w:rPr>
                      <w:rFonts w:hint="eastAsia" w:cs="Times New Roman"/>
                      <w:bCs/>
                      <w:color w:val="auto"/>
                      <w:sz w:val="21"/>
                      <w:szCs w:val="21"/>
                      <w:lang w:val="en-US" w:eastAsia="zh-CN"/>
                    </w:rPr>
                    <w:t>*</w:t>
                  </w:r>
                </w:p>
              </w:tc>
              <w:tc>
                <w:tcPr>
                  <w:tcW w:w="1608" w:type="dxa"/>
                  <w:vMerge w:val="continue"/>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7"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kern w:val="0"/>
                      <w:szCs w:val="21"/>
                    </w:rPr>
                    <w:t>三开（侧钻）</w:t>
                  </w:r>
                </w:p>
              </w:tc>
              <w:tc>
                <w:tcPr>
                  <w:tcW w:w="892"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kern w:val="0"/>
                      <w:sz w:val="22"/>
                      <w:szCs w:val="22"/>
                      <w:lang w:bidi="ar"/>
                    </w:rPr>
                  </w:pPr>
                  <w:r>
                    <w:rPr>
                      <w:rFonts w:hint="eastAsia" w:cs="Times New Roman"/>
                      <w:bCs/>
                      <w:color w:val="auto"/>
                      <w:sz w:val="21"/>
                      <w:szCs w:val="21"/>
                      <w:lang w:val="en-US" w:eastAsia="zh-CN"/>
                    </w:rPr>
                    <w:t>*</w:t>
                  </w:r>
                </w:p>
              </w:tc>
              <w:tc>
                <w:tcPr>
                  <w:tcW w:w="795"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kern w:val="0"/>
                      <w:sz w:val="22"/>
                      <w:szCs w:val="22"/>
                      <w:lang w:bidi="ar"/>
                    </w:rPr>
                  </w:pPr>
                  <w:r>
                    <w:rPr>
                      <w:rFonts w:hint="eastAsia" w:cs="Times New Roman"/>
                      <w:bCs/>
                      <w:color w:val="auto"/>
                      <w:sz w:val="21"/>
                      <w:szCs w:val="21"/>
                      <w:lang w:val="en-US" w:eastAsia="zh-CN"/>
                    </w:rPr>
                    <w:t>*</w:t>
                  </w:r>
                </w:p>
              </w:tc>
              <w:tc>
                <w:tcPr>
                  <w:tcW w:w="1038"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kern w:val="0"/>
                      <w:sz w:val="22"/>
                      <w:szCs w:val="22"/>
                      <w:lang w:bidi="ar"/>
                    </w:rPr>
                  </w:pPr>
                  <w:r>
                    <w:rPr>
                      <w:rFonts w:hint="eastAsia" w:cs="Times New Roman"/>
                      <w:bCs/>
                      <w:color w:val="auto"/>
                      <w:sz w:val="21"/>
                      <w:szCs w:val="21"/>
                      <w:lang w:val="en-US" w:eastAsia="zh-CN"/>
                    </w:rPr>
                    <w:t>*</w:t>
                  </w:r>
                </w:p>
              </w:tc>
              <w:tc>
                <w:tcPr>
                  <w:tcW w:w="1151"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kern w:val="0"/>
                      <w:sz w:val="22"/>
                      <w:szCs w:val="22"/>
                      <w:lang w:bidi="ar"/>
                    </w:rPr>
                  </w:pPr>
                  <w:r>
                    <w:rPr>
                      <w:rFonts w:hint="eastAsia" w:cs="Times New Roman"/>
                      <w:bCs/>
                      <w:color w:val="auto"/>
                      <w:sz w:val="21"/>
                      <w:szCs w:val="21"/>
                      <w:lang w:val="en-US" w:eastAsia="zh-CN"/>
                    </w:rPr>
                    <w:t>*</w:t>
                  </w:r>
                </w:p>
              </w:tc>
              <w:tc>
                <w:tcPr>
                  <w:tcW w:w="1081"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rPr>
                  </w:pPr>
                  <w:r>
                    <w:rPr>
                      <w:rFonts w:hint="eastAsia" w:cs="Times New Roman"/>
                      <w:bCs/>
                      <w:color w:val="auto"/>
                      <w:sz w:val="21"/>
                      <w:szCs w:val="21"/>
                      <w:lang w:val="en-US" w:eastAsia="zh-CN"/>
                    </w:rPr>
                    <w:t>*</w:t>
                  </w:r>
                </w:p>
              </w:tc>
              <w:tc>
                <w:tcPr>
                  <w:tcW w:w="1608"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rPr>
                    <w:t>常规水基钻井</w:t>
                  </w:r>
                  <w:r>
                    <w:rPr>
                      <w:rFonts w:hint="default" w:ascii="Times New Roman" w:hAnsi="Times New Roman" w:eastAsia="宋体" w:cs="Times New Roman"/>
                      <w:color w:val="auto"/>
                      <w:szCs w:val="21"/>
                      <w:lang w:eastAsia="zh-CN"/>
                    </w:rPr>
                    <w:t>，</w:t>
                  </w:r>
                  <w:r>
                    <w:rPr>
                      <w:rFonts w:hint="default" w:ascii="Times New Roman" w:hAnsi="Times New Roman" w:eastAsia="宋体" w:cs="Times New Roman"/>
                      <w:color w:val="auto"/>
                      <w:szCs w:val="21"/>
                      <w:lang w:val="en-US" w:eastAsia="zh-CN"/>
                    </w:rPr>
                    <w:t>当不满足钻井要求时，更换为油基钻井液</w:t>
                  </w:r>
                </w:p>
              </w:tc>
            </w:tr>
          </w:tbl>
          <w:p>
            <w:pPr>
              <w:pStyle w:val="19"/>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4"/>
              </w:rPr>
            </w:pPr>
            <w:r>
              <w:rPr>
                <w:rFonts w:hint="default" w:ascii="Times New Roman" w:hAnsi="Times New Roman" w:cs="Times New Roman"/>
                <w:b/>
                <w:bCs/>
                <w:color w:val="auto"/>
                <w:sz w:val="24"/>
              </w:rPr>
              <w:t xml:space="preserve">表2-9 </w:t>
            </w:r>
            <w:r>
              <w:rPr>
                <w:rFonts w:hint="eastAsia" w:cs="Times New Roman"/>
                <w:b/>
                <w:bCs/>
                <w:color w:val="auto"/>
                <w:sz w:val="24"/>
                <w:lang w:eastAsia="zh-CN"/>
              </w:rPr>
              <w:t>普陆12HF井</w:t>
            </w:r>
            <w:r>
              <w:rPr>
                <w:rFonts w:hint="eastAsia" w:cs="Times New Roman"/>
                <w:b/>
                <w:bCs/>
                <w:color w:val="auto"/>
                <w:sz w:val="24"/>
                <w:lang w:val="en-US" w:eastAsia="zh-CN"/>
              </w:rPr>
              <w:t>导眼井</w:t>
            </w:r>
            <w:r>
              <w:rPr>
                <w:rFonts w:hint="default" w:ascii="Times New Roman" w:hAnsi="Times New Roman" w:cs="Times New Roman"/>
                <w:b/>
                <w:bCs/>
                <w:color w:val="auto"/>
                <w:sz w:val="24"/>
              </w:rPr>
              <w:t>井身结构设计表</w:t>
            </w:r>
          </w:p>
          <w:p>
            <w:pPr>
              <w:keepNext w:val="0"/>
              <w:keepLines w:val="0"/>
              <w:suppressLineNumbers w:val="0"/>
              <w:spacing w:before="0" w:beforeAutospacing="0" w:after="0" w:afterAutospacing="0"/>
              <w:ind w:left="0" w:right="0"/>
              <w:rPr>
                <w:rFonts w:hint="default" w:ascii="Times New Roman" w:hAnsi="Times New Roman" w:cs="Times New Roman"/>
                <w:color w:val="auto"/>
                <w:lang w:val="en-GB"/>
              </w:rPr>
            </w:pPr>
          </w:p>
          <w:p>
            <w:pPr>
              <w:keepNext w:val="0"/>
              <w:keepLines w:val="0"/>
              <w:suppressLineNumbers w:val="0"/>
              <w:spacing w:before="0" w:beforeAutospacing="0" w:after="0" w:afterAutospacing="0"/>
              <w:ind w:left="0" w:right="0"/>
              <w:jc w:val="center"/>
              <w:rPr>
                <w:rFonts w:hint="default" w:ascii="Times New Roman" w:hAnsi="Times New Roman" w:cs="Times New Roman"/>
                <w:color w:val="auto"/>
                <w:lang w:val="en-GB"/>
              </w:rPr>
            </w:pPr>
            <w:r>
              <w:rPr>
                <w:rFonts w:hint="default" w:ascii="Times New Roman" w:hAnsi="Times New Roman" w:cs="Times New Roman"/>
                <w:color w:val="auto"/>
                <w:lang w:val="en-GB"/>
              </w:rPr>
              <w:t xml:space="preserve">表2-9 </w:t>
            </w:r>
            <w:r>
              <w:rPr>
                <w:rFonts w:hint="default" w:ascii="Times New Roman" w:hAnsi="Times New Roman" w:cs="Times New Roman"/>
                <w:color w:val="auto"/>
                <w:lang w:val="en-GB" w:eastAsia="zh-CN"/>
              </w:rPr>
              <w:t>普陆12HF井侧钻水平井井身结构</w:t>
            </w:r>
            <w:r>
              <w:rPr>
                <w:rFonts w:hint="default" w:ascii="Times New Roman" w:hAnsi="Times New Roman" w:cs="Times New Roman"/>
                <w:color w:val="auto"/>
                <w:lang w:val="en-GB"/>
              </w:rPr>
              <w:t>设计表</w:t>
            </w:r>
          </w:p>
          <w:p>
            <w:pPr>
              <w:keepNext w:val="0"/>
              <w:keepLines w:val="0"/>
              <w:suppressLineNumbers w:val="0"/>
              <w:spacing w:before="0" w:beforeAutospacing="0" w:after="0" w:afterAutospacing="0"/>
              <w:ind w:left="0" w:right="0"/>
              <w:rPr>
                <w:rFonts w:hint="default" w:ascii="Times New Roman" w:hAnsi="Times New Roman" w:cs="Times New Roman"/>
                <w:color w:val="auto"/>
                <w:lang w:val="en-GB"/>
              </w:rPr>
            </w:pPr>
          </w:p>
          <w:p>
            <w:pPr>
              <w:keepNext w:val="0"/>
              <w:keepLines w:val="0"/>
              <w:suppressLineNumbers w:val="0"/>
              <w:spacing w:before="0" w:beforeAutospacing="0" w:after="0" w:afterAutospacing="0"/>
              <w:ind w:left="0" w:right="0"/>
              <w:rPr>
                <w:rFonts w:hint="default" w:ascii="Times New Roman" w:hAnsi="Times New Roman" w:cs="Times New Roman"/>
                <w:color w:val="auto"/>
                <w:sz w:val="24"/>
              </w:rPr>
            </w:pPr>
          </w:p>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 w:val="24"/>
              </w:rPr>
            </w:pPr>
            <w:r>
              <w:rPr>
                <w:rFonts w:hint="default" w:ascii="Times New Roman" w:hAnsi="Times New Roman" w:cs="Times New Roman"/>
                <w:b/>
                <w:bCs/>
                <w:color w:val="auto"/>
                <w:sz w:val="24"/>
              </w:rPr>
              <w:t>图2-2 井身结构示意图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钻井工程主要包括钻井设备安装、钻井、钻井辅助作业、固井和完钻设备搬迁等过程；试气工程包括完钻后洗井、射孔、压裂、测试，以及完井后设备的搬迁和井场的清理等过程。</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（1）钻井工艺</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①清水钻阶段</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前工程完成后，便将开展钻井作业。在表层钻进阶段，为了保护地表含水层，避免聚合物泥浆等钻井液对地下水环境造成不利影响，建设单位拟采用清水钻工艺进行钻井作业，最大程度地保护浅层地下水环境，及时下套管、固井并根据现场实际钻探情况，一开段套管下井深度以完全封隔浅层裂隙水发育区为原则，必要时可加长。</w:t>
            </w:r>
            <w:r>
              <w:rPr>
                <w:rFonts w:hint="eastAsia" w:cs="Times New Roman"/>
                <w:color w:val="auto"/>
                <w:sz w:val="24"/>
                <w:lang w:val="en-US" w:eastAsia="zh-CN"/>
              </w:rPr>
              <w:t>钻井完成后下入套管并采用</w:t>
            </w:r>
            <w:r>
              <w:rPr>
                <w:rFonts w:hint="default" w:ascii="Times New Roman" w:hAnsi="Times New Roman" w:cs="Times New Roman"/>
                <w:color w:val="auto"/>
                <w:sz w:val="24"/>
              </w:rPr>
              <w:t>水泥封固</w:t>
            </w:r>
            <w:r>
              <w:rPr>
                <w:rFonts w:hint="eastAsia" w:cs="Times New Roman"/>
                <w:color w:val="auto"/>
                <w:sz w:val="24"/>
                <w:lang w:val="en-US" w:eastAsia="zh-CN"/>
              </w:rPr>
              <w:t>套管与井壁间隙</w:t>
            </w:r>
            <w:r>
              <w:rPr>
                <w:rFonts w:hint="default" w:ascii="Times New Roman" w:hAnsi="Times New Roman" w:cs="Times New Roman"/>
                <w:color w:val="auto"/>
                <w:sz w:val="24"/>
              </w:rPr>
              <w:t>（返至地面），封隔地表松散流砂、砂砾层，封过表层水。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清水钻阶段中，返回地表的含屑钻井液通过泥浆管输入振动筛进行分离，将钻井液中粒径大于0.1mm的钻屑留于筛上，振动筛筛下的泥浆直接进入循环罐暂存，使用时先通过除砂器将粒径大于0.07mm的钻屑进行分离，液相循环用于本阶段的钻井作业和后续水基泥浆钻阶段的配浆作业；振动筛的筛上物质和除砂器分离出的钻屑则通过螺旋传输器进入沉淀罐中自然沉淀，沉淀后上层清液进入循环罐，用于配制泥浆。沉淀罐中的下层固相物质由岩屑接收罐进行收集，后暂存于岩屑暂存罐，按照《达州市生态环境局办公室关于进一步加强固体废物污染防治工作的通知》（达市环办发〔2021〕24号）要求，就近交给依法取得生态环境部门关于利用和处置相关工业固体废物项目环评批复、具有处理处置相应固体废物能力并配套建设有废气、废水、固废等污染物治理设施的单位进行资源化利用。清水钻阶段作业流程及产污节点框图见下图。</w:t>
            </w:r>
          </w:p>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24"/>
              </w:rPr>
            </w:pPr>
            <w:r>
              <w:rPr>
                <w:rFonts w:hint="default" w:ascii="Times New Roman" w:hAnsi="Times New Roman" w:cs="Times New Roman"/>
                <w:color w:val="auto"/>
                <w:sz w:val="24"/>
              </w:rPr>
              <mc:AlternateContent>
                <mc:Choice Requires="wps">
                  <w:drawing>
                    <wp:anchor distT="0" distB="0" distL="114300" distR="114300" simplePos="0" relativeHeight="251660288" behindDoc="0" locked="0" layoutInCell="1" allowOverlap="1">
                      <wp:simplePos x="0" y="0"/>
                      <wp:positionH relativeFrom="column">
                        <wp:posOffset>3591560</wp:posOffset>
                      </wp:positionH>
                      <wp:positionV relativeFrom="paragraph">
                        <wp:posOffset>3126740</wp:posOffset>
                      </wp:positionV>
                      <wp:extent cx="1099820" cy="363855"/>
                      <wp:effectExtent l="0" t="0" r="0" b="0"/>
                      <wp:wrapNone/>
                      <wp:docPr id="5" name="文本框 5"/>
                      <wp:cNvGraphicFramePr/>
                      <a:graphic xmlns:a="http://schemas.openxmlformats.org/drawingml/2006/main">
                        <a:graphicData uri="http://schemas.microsoft.com/office/word/2010/wordprocessingShape">
                          <wps:wsp>
                            <wps:cNvSpPr txBox="1"/>
                            <wps:spPr>
                              <a:xfrm>
                                <a:off x="5467985" y="4947285"/>
                                <a:ext cx="1099820" cy="3638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
                                    <w:rPr>
                                      <w:rFonts w:hint="eastAsia"/>
                                    </w:rPr>
                                    <w:t>资源化利用</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82.8pt;margin-top:246.2pt;height:28.65pt;width:86.6pt;z-index:251660288;mso-width-relative:page;mso-height-relative:page;" filled="f" stroked="f" coordsize="21600,21600" o:gfxdata="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">
                      <v:fill on="f" focussize="0,0"/>
                      <v:stroke on="f" weight="0.5pt"/>
                      <v:imagedata o:title=""/>
                      <o:lock v:ext="edit" aspectratio="f"/>
                      <v:textbox>
                        <w:txbxContent>
                          <w:p>
                            <w:r>
                              <w:rPr>
                                <w:rFonts w:hint="eastAsia"/>
                              </w:rPr>
                              <w:t>资源化利用</w:t>
                            </w:r>
                          </w:p>
                        </w:txbxContent>
                      </v:textbox>
                    </v:shape>
                  </w:pict>
                </mc:Fallback>
              </mc:AlternateContent>
            </w:r>
            <w:r>
              <w:rPr>
                <w:rFonts w:hint="default" w:ascii="Times New Roman" w:hAnsi="Times New Roman" w:cs="Times New Roman"/>
                <w:color w:val="auto"/>
                <w:sz w:val="24"/>
              </w:rPr>
              <w:drawing>
                <wp:inline distT="0" distB="0" distL="114300" distR="114300">
                  <wp:extent cx="4792980" cy="3452495"/>
                  <wp:effectExtent l="0" t="0" r="7620" b="14605"/>
                  <wp:docPr id="2" name="图片 2"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片"/>
                          <pic:cNvPicPr>
                            <a:picLocks noChangeAspect="1"/>
                          </pic:cNvPicPr>
                        </pic:nvPicPr>
                        <pic:blipFill>
                          <a:blip r:embed="rId11"/>
                          <a:stretch>
                            <a:fillRect/>
                          </a:stretch>
                        </pic:blipFill>
                        <pic:spPr>
                          <a:xfrm>
                            <a:off x="0" y="0"/>
                            <a:ext cx="4792980" cy="3452495"/>
                          </a:xfrm>
                          <a:prstGeom prst="rect">
                            <a:avLst/>
                          </a:prstGeom>
                        </pic:spPr>
                      </pic:pic>
                    </a:graphicData>
                  </a:graphic>
                </wp:inline>
              </w:drawing>
            </w:r>
          </w:p>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24"/>
              </w:rPr>
            </w:pPr>
            <w:r>
              <w:rPr>
                <w:rFonts w:hint="default" w:ascii="Times New Roman" w:hAnsi="Times New Roman" w:cs="Times New Roman"/>
                <w:b/>
                <w:bCs/>
                <w:color w:val="auto"/>
                <w:sz w:val="24"/>
              </w:rPr>
              <w:t>图2-3 清水钻井工艺及产污示意图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②气体钻阶段</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根据井身结构设计，</w:t>
            </w:r>
            <w:r>
              <w:rPr>
                <w:rFonts w:hint="default" w:ascii="Times New Roman" w:hAnsi="Times New Roman" w:cs="Times New Roman"/>
                <w:color w:val="auto"/>
                <w:sz w:val="24"/>
                <w:lang w:val="en-US" w:eastAsia="zh-CN"/>
              </w:rPr>
              <w:t>一开、</w:t>
            </w:r>
            <w:r>
              <w:rPr>
                <w:rFonts w:hint="default" w:ascii="Times New Roman" w:hAnsi="Times New Roman" w:cs="Times New Roman"/>
                <w:color w:val="auto"/>
                <w:sz w:val="24"/>
              </w:rPr>
              <w:t>二开上部井段</w:t>
            </w:r>
            <w:r>
              <w:rPr>
                <w:rFonts w:hint="default" w:ascii="Times New Roman" w:hAnsi="Times New Roman" w:cs="Times New Roman"/>
                <w:color w:val="auto"/>
                <w:sz w:val="24"/>
                <w:lang w:val="en-US" w:eastAsia="zh-CN"/>
              </w:rPr>
              <w:t>优先</w:t>
            </w:r>
            <w:r>
              <w:rPr>
                <w:rFonts w:hint="default" w:ascii="Times New Roman" w:hAnsi="Times New Roman" w:cs="Times New Roman"/>
                <w:color w:val="auto"/>
                <w:sz w:val="24"/>
              </w:rPr>
              <w:t>采用气体钻井方式，预计空气钻井深2500m，若钻井过程中出现异常复杂情况，应转为常规钻井。</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气体钻井是以空气</w:t>
            </w:r>
            <w:r>
              <w:rPr>
                <w:rFonts w:hint="eastAsia" w:cs="Times New Roman"/>
                <w:color w:val="auto"/>
                <w:sz w:val="24"/>
                <w:lang w:eastAsia="zh-CN"/>
              </w:rPr>
              <w:t>（</w:t>
            </w:r>
            <w:r>
              <w:rPr>
                <w:rFonts w:hint="default" w:ascii="Times New Roman" w:hAnsi="Times New Roman" w:cs="Times New Roman"/>
                <w:color w:val="auto"/>
                <w:sz w:val="24"/>
              </w:rPr>
              <w:t>或氮气</w:t>
            </w:r>
            <w:r>
              <w:rPr>
                <w:rFonts w:hint="eastAsia" w:cs="Times New Roman"/>
                <w:color w:val="auto"/>
                <w:sz w:val="24"/>
                <w:lang w:eastAsia="zh-CN"/>
              </w:rPr>
              <w:t>）</w:t>
            </w:r>
            <w:r>
              <w:rPr>
                <w:rFonts w:hint="default" w:ascii="Times New Roman" w:hAnsi="Times New Roman" w:cs="Times New Roman"/>
                <w:color w:val="auto"/>
                <w:sz w:val="24"/>
              </w:rPr>
              <w:t>为循环介质，用气体压缩机等设备作为增压装置，用旋转防喷器作为井口控制设备的一种欠平衡钻井工艺。空气钻井能够提高坚硬地层机械钻速，延长钻头使用寿命，避免井塌、井漏等复杂情况发生，利于环保。工艺流程是用空压机对空气先进行初级压缩后，经过降温、除水，然后再用增压机将空气增压至钻井需要的工作压力，并将增压后的空气从立管三通压入钻具，利用压缩空气完成冷却钻头、携带岩屑的任务，在排岩管线利用岩屑取样口取得岩屑样品，利用除尘器消除钻屑粉尘。钻井过程中如遇可燃气体，采用氮气钻井。其工艺流程是以氮气为工作介质，先使用空压机对空气进行输气，经过制氮设备产生氮气，然后经过增压机再增压入井。</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为降低空气钻排岩口粉尘对周边大气环境的影响，本项目在排岩管线末端降尘口处安装一个连接有水雾喷嘴进行降尘处理，含水岩屑进入“泥浆不落地”环保装置区进入岩屑暂存罐，按照《达州市生态环境局办公室关于进一步加强固体废物污染防治工作的通知》（达市环办发〔2021〕24号）要求，就近交给依法取得生态环境部门关于利用和处置相关工业固体废物项目环评批复、具有处理处置相应固体废物能力并配套建设有废气、废水、固废等污染物治理设施的单位进行资源化利用。</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drawing>
                <wp:inline distT="0" distB="0" distL="114300" distR="114300">
                  <wp:extent cx="4750435" cy="2205990"/>
                  <wp:effectExtent l="0" t="0" r="12065" b="3810"/>
                  <wp:docPr id="2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3"/>
                          <pic:cNvPicPr>
                            <a:picLocks noChangeAspect="1"/>
                          </pic:cNvPicPr>
                        </pic:nvPicPr>
                        <pic:blipFill>
                          <a:blip r:embed="rId12"/>
                          <a:stretch>
                            <a:fillRect/>
                          </a:stretch>
                        </pic:blipFill>
                        <pic:spPr>
                          <a:xfrm>
                            <a:off x="0" y="0"/>
                            <a:ext cx="4750435" cy="2205990"/>
                          </a:xfrm>
                          <a:prstGeom prst="rect">
                            <a:avLst/>
                          </a:prstGeom>
                          <a:noFill/>
                          <a:ln>
                            <a:noFill/>
                          </a:ln>
                        </pic:spPr>
                      </pic:pic>
                    </a:graphicData>
                  </a:graphic>
                </wp:inline>
              </w:drawing>
            </w:r>
          </w:p>
          <w:p>
            <w:pPr>
              <w:keepNext w:val="0"/>
              <w:keepLines w:val="0"/>
              <w:suppressLineNumbers w:val="0"/>
              <w:spacing w:before="0" w:beforeAutospacing="0" w:after="0" w:afterAutospacing="0" w:line="360" w:lineRule="auto"/>
              <w:ind w:left="0" w:right="0" w:firstLine="482" w:firstLineChars="200"/>
              <w:jc w:val="center"/>
              <w:rPr>
                <w:rFonts w:hint="default" w:ascii="Times New Roman" w:hAnsi="Times New Roman" w:cs="Times New Roman"/>
                <w:b/>
                <w:bCs/>
                <w:color w:val="auto"/>
                <w:sz w:val="24"/>
              </w:rPr>
            </w:pPr>
            <w:r>
              <w:rPr>
                <w:rFonts w:hint="default" w:ascii="Times New Roman" w:hAnsi="Times New Roman" w:cs="Times New Roman"/>
                <w:b/>
                <w:bCs/>
                <w:color w:val="auto"/>
                <w:sz w:val="24"/>
              </w:rPr>
              <w:t>图2-4 空气钻阶段作业流程及产污节点图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fldChar w:fldCharType="begin"/>
            </w:r>
            <w:r>
              <w:rPr>
                <w:rFonts w:hint="default" w:ascii="Times New Roman" w:hAnsi="Times New Roman" w:cs="Times New Roman"/>
                <w:color w:val="auto"/>
                <w:sz w:val="24"/>
              </w:rPr>
              <w:instrText xml:space="preserve"> = 3 \* GB3 </w:instrText>
            </w:r>
            <w:r>
              <w:rPr>
                <w:rFonts w:hint="default" w:ascii="Times New Roman" w:hAnsi="Times New Roman" w:cs="Times New Roman"/>
                <w:color w:val="auto"/>
                <w:sz w:val="24"/>
              </w:rPr>
              <w:fldChar w:fldCharType="separate"/>
            </w:r>
            <w:r>
              <w:rPr>
                <w:rFonts w:hint="default" w:ascii="Times New Roman" w:hAnsi="Times New Roman" w:cs="Times New Roman"/>
                <w:color w:val="auto"/>
                <w:sz w:val="24"/>
              </w:rPr>
              <w:t>③</w:t>
            </w:r>
            <w:r>
              <w:rPr>
                <w:rFonts w:hint="default" w:ascii="Times New Roman" w:hAnsi="Times New Roman" w:cs="Times New Roman"/>
                <w:color w:val="auto"/>
                <w:sz w:val="24"/>
              </w:rPr>
              <w:fldChar w:fldCharType="end"/>
            </w:r>
            <w:r>
              <w:rPr>
                <w:rFonts w:hint="default" w:ascii="Times New Roman" w:hAnsi="Times New Roman" w:cs="Times New Roman"/>
                <w:color w:val="auto"/>
                <w:sz w:val="24"/>
              </w:rPr>
              <w:t>水基泥浆钻阶段</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w:t>
            </w:r>
            <w:r>
              <w:rPr>
                <w:rFonts w:hint="default" w:ascii="Times New Roman" w:hAnsi="Times New Roman" w:cs="Times New Roman"/>
                <w:color w:val="auto"/>
                <w:sz w:val="24"/>
                <w:lang w:val="en-US" w:eastAsia="zh-CN"/>
              </w:rPr>
              <w:t>若</w:t>
            </w:r>
            <w:r>
              <w:rPr>
                <w:rFonts w:hint="default" w:ascii="Times New Roman" w:hAnsi="Times New Roman" w:cs="Times New Roman"/>
                <w:color w:val="auto"/>
                <w:sz w:val="24"/>
              </w:rPr>
              <w:t>一开、二开部分井段</w:t>
            </w:r>
            <w:r>
              <w:rPr>
                <w:rFonts w:hint="default" w:ascii="Times New Roman" w:hAnsi="Times New Roman" w:cs="Times New Roman"/>
                <w:color w:val="auto"/>
                <w:sz w:val="24"/>
                <w:lang w:val="en-US" w:eastAsia="zh-CN"/>
              </w:rPr>
              <w:t>空气钻不满足钻井要求时，则更换为水基钻井液，本项目</w:t>
            </w:r>
            <w:r>
              <w:rPr>
                <w:rFonts w:hint="default" w:ascii="Times New Roman" w:hAnsi="Times New Roman" w:cs="Times New Roman"/>
                <w:color w:val="auto"/>
                <w:sz w:val="24"/>
              </w:rPr>
              <w:t>三开采用水基泥浆钻井工艺，水基泥浆钻井阶段采用钻井现场清洁化生产方案，在振动筛排砂口、离心机下方安装螺旋传送装置，与“泥浆不落地”环保处理装置相连。</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水基泥浆通过钻杆立柱不断地由井口进入井底，带动钻头旋转不断切割岩石，同时泥浆夹带着产生的岩屑由钻杆与井壁之间的环形空间返回至井口。水基泥浆钻阶段中，钻井循环系统振动筛、除砂器、除泥器产生的钻井废弃物通过滑槽及螺旋传输器运至岩屑接收罐暂存。若钻井废弃物中岩屑含量高则经过振动筛分离岩屑，避免岩屑对设备及管线的磨损后进入脱稳反应装置；若岩屑含量低直接提升到脱稳反应装置中，当废弃泥浆产生量大于设备处理能力或设备临时检维修时废弃泥浆泵入应急暂存罐临时存放，在具备处置条件后再泵入系统进行处置。</w:t>
            </w:r>
            <w:r>
              <w:rPr>
                <w:rFonts w:hint="default" w:ascii="Times New Roman" w:hAnsi="Times New Roman" w:cs="Times New Roman"/>
                <w:color w:val="auto"/>
                <w:sz w:val="24"/>
                <w:lang w:val="en-US" w:eastAsia="zh-CN"/>
              </w:rPr>
              <w:t>水基岩屑</w:t>
            </w:r>
            <w:r>
              <w:rPr>
                <w:rFonts w:hint="default" w:ascii="Times New Roman" w:hAnsi="Times New Roman" w:cs="Times New Roman"/>
                <w:color w:val="auto"/>
                <w:sz w:val="24"/>
              </w:rPr>
              <w:t>按照《达州市生态环境局办公室关于进一步加强固体废物污染防治工作的通知》（达市环办发〔2021〕24号）要求，就近交给依法取得生态环境部门关于利用和处置相关工业固体废物项目环评批复、具有处理处置相应固体废物能力并配套建设有废气、废水、固废等污染物治理设施的单位进行资源化利用。</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钻井废泥浆和岩屑经泥浆不落地工艺后，分离出的上清液进入污水罐回用于泥浆配制，</w:t>
            </w:r>
            <w:r>
              <w:rPr>
                <w:rFonts w:hint="default" w:ascii="Times New Roman" w:hAnsi="Times New Roman" w:cs="Times New Roman"/>
                <w:color w:val="auto"/>
                <w:sz w:val="24"/>
                <w:lang w:val="en-US" w:eastAsia="zh-CN"/>
              </w:rPr>
              <w:t>不能回用时由罐车拉运至</w:t>
            </w:r>
            <w:r>
              <w:rPr>
                <w:rFonts w:hint="eastAsia" w:cs="Times New Roman"/>
                <w:color w:val="auto"/>
                <w:sz w:val="24"/>
                <w:lang w:val="en-US" w:eastAsia="zh-CN"/>
              </w:rPr>
              <w:t>赵家坝污水处理站</w:t>
            </w:r>
            <w:r>
              <w:rPr>
                <w:rFonts w:hint="default" w:ascii="Times New Roman" w:hAnsi="Times New Roman" w:cs="Times New Roman"/>
                <w:color w:val="auto"/>
                <w:sz w:val="24"/>
                <w:lang w:val="en-US" w:eastAsia="zh-CN"/>
              </w:rPr>
              <w:t>处理后拉运至普光3井等回注站回注处理</w:t>
            </w:r>
            <w:r>
              <w:rPr>
                <w:rFonts w:hint="default" w:ascii="Times New Roman" w:hAnsi="Times New Roman" w:cs="Times New Roman"/>
                <w:color w:val="auto"/>
                <w:sz w:val="24"/>
              </w:rPr>
              <w:t xml:space="preserve">。 </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泥浆不落地装置现场需配备固液分离设备，设备主要由接收、脱稳和固液分离单元构成，泥浆不落地基础占地面积约1</w:t>
            </w:r>
            <w:r>
              <w:rPr>
                <w:rFonts w:hint="default" w:ascii="Times New Roman" w:hAnsi="Times New Roman" w:cs="Times New Roman"/>
                <w:color w:val="auto"/>
                <w:sz w:val="24"/>
                <w:lang w:val="en-US" w:eastAsia="zh-CN"/>
              </w:rPr>
              <w:t>8</w:t>
            </w:r>
            <w:r>
              <w:rPr>
                <w:rFonts w:hint="default" w:ascii="Times New Roman" w:hAnsi="Times New Roman" w:cs="Times New Roman"/>
                <w:color w:val="auto"/>
                <w:sz w:val="24"/>
              </w:rPr>
              <w:t>0m</w:t>
            </w:r>
            <w:r>
              <w:rPr>
                <w:rFonts w:hint="default" w:ascii="Times New Roman" w:hAnsi="Times New Roman" w:cs="Times New Roman"/>
                <w:color w:val="auto"/>
                <w:sz w:val="24"/>
                <w:vertAlign w:val="superscript"/>
              </w:rPr>
              <w:t>2</w:t>
            </w:r>
            <w:r>
              <w:rPr>
                <w:rFonts w:hint="default" w:ascii="Times New Roman" w:hAnsi="Times New Roman" w:cs="Times New Roman"/>
                <w:color w:val="auto"/>
                <w:sz w:val="24"/>
              </w:rPr>
              <w:t>。</w:t>
            </w:r>
          </w:p>
          <w:p>
            <w:pPr>
              <w:keepNext w:val="0"/>
              <w:keepLines w:val="0"/>
              <w:suppressLineNumbers w:val="0"/>
              <w:spacing w:before="0" w:beforeAutospacing="0" w:after="0" w:afterAutospacing="0"/>
              <w:ind w:left="0" w:right="0"/>
              <w:rPr>
                <w:rFonts w:hint="default" w:ascii="Times New Roman" w:hAnsi="Times New Roman" w:cs="Times New Roman"/>
                <w:color w:val="auto"/>
                <w:sz w:val="24"/>
              </w:rPr>
            </w:pPr>
            <w:r>
              <w:rPr>
                <w:rFonts w:hint="default" w:ascii="Times New Roman" w:hAnsi="Times New Roman" w:cs="Times New Roman"/>
                <w:color w:val="auto"/>
                <w:sz w:val="24"/>
              </w:rPr>
              <w:drawing>
                <wp:inline distT="0" distB="0" distL="114300" distR="114300">
                  <wp:extent cx="4740910" cy="3123565"/>
                  <wp:effectExtent l="0" t="0" r="2540" b="635"/>
                  <wp:docPr id="8"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
                          <pic:cNvPicPr>
                            <a:picLocks noChangeAspect="1"/>
                          </pic:cNvPicPr>
                        </pic:nvPicPr>
                        <pic:blipFill>
                          <a:blip r:embed="rId13"/>
                          <a:stretch>
                            <a:fillRect/>
                          </a:stretch>
                        </pic:blipFill>
                        <pic:spPr>
                          <a:xfrm>
                            <a:off x="0" y="0"/>
                            <a:ext cx="4740910" cy="3123565"/>
                          </a:xfrm>
                          <a:prstGeom prst="rect">
                            <a:avLst/>
                          </a:prstGeom>
                          <a:noFill/>
                          <a:ln>
                            <a:noFill/>
                          </a:ln>
                        </pic:spPr>
                      </pic:pic>
                    </a:graphicData>
                  </a:graphic>
                </wp:inline>
              </w:drawing>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由上图可知，水基泥浆钻阶段产生的污染物主要为钻机、泥浆泵、振动筛和离心机等设备产生的噪声；钻井作业产生的钻井固废、废弃水基泥浆；散落的钻井泥浆原辅材料、水泥、废弃包装材料等；钻井施工人员产生的生活垃圾；此外，钻井过程各钻井设备将使用润滑油，将产生少量废油等。</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若</w:t>
            </w:r>
            <w:r>
              <w:rPr>
                <w:rFonts w:hint="eastAsia" w:cs="Times New Roman"/>
                <w:color w:val="auto"/>
                <w:sz w:val="24"/>
                <w:lang w:val="en-US" w:eastAsia="zh-CN"/>
              </w:rPr>
              <w:t>常规</w:t>
            </w:r>
            <w:r>
              <w:rPr>
                <w:rFonts w:hint="default" w:ascii="Times New Roman" w:hAnsi="Times New Roman" w:cs="Times New Roman"/>
                <w:color w:val="auto"/>
                <w:sz w:val="24"/>
              </w:rPr>
              <w:t>钻井液不能满足三开井段安全钻井要求，则更换为白油基钻井液体系，白油基钻井液维护处理措施如下：</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①配制转换油基钻井液之前，需清洁地面循环系统杜绝水基钻井液残余，所有橡胶件必须耐油和耐腐蚀，循环罐上搭防雨棚严禁雨水或污水进入油基钻井液，罐面安装轴流风机防止油气聚集。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②油基钻井液配制，按设计配方或现场试验配方配制钻井液，首先基油、乳化剂、氯化钙盐水混配，地面搅拌、低压循环充分剪切2h，使水相在低粘条件下充分细化分散，补入有机土循环剪切1h形成稳定乳液，再加入降滤失剂氧化钙等材料，循环剪切1h形成稳定基液，最后按设计密度逐步加重，充分搅拌循环2-3h形成稳定加重体系。</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③本井替浆转换涉及较长裸眼段，裸眼段前期掉块严重井壁不规则，提高替浆转换效果采用10m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高</w:t>
            </w:r>
            <w:r>
              <w:rPr>
                <w:rFonts w:hint="default" w:ascii="Times New Roman" w:hAnsi="Times New Roman" w:cs="Times New Roman"/>
                <w:color w:val="auto"/>
                <w:sz w:val="24"/>
                <w:lang w:eastAsia="zh-CN"/>
              </w:rPr>
              <w:t>黏度</w:t>
            </w:r>
            <w:r>
              <w:rPr>
                <w:rFonts w:hint="default" w:ascii="Times New Roman" w:hAnsi="Times New Roman" w:cs="Times New Roman"/>
                <w:color w:val="auto"/>
                <w:sz w:val="24"/>
              </w:rPr>
              <w:t>油基液做顶替隔离液（漏斗</w:t>
            </w:r>
            <w:r>
              <w:rPr>
                <w:rFonts w:hint="default" w:ascii="Times New Roman" w:hAnsi="Times New Roman" w:cs="Times New Roman"/>
                <w:color w:val="auto"/>
                <w:sz w:val="24"/>
                <w:lang w:eastAsia="zh-CN"/>
              </w:rPr>
              <w:t>黏度</w:t>
            </w:r>
            <w:r>
              <w:rPr>
                <w:rFonts w:hint="default" w:ascii="Times New Roman" w:hAnsi="Times New Roman" w:cs="Times New Roman"/>
                <w:color w:val="auto"/>
                <w:sz w:val="24"/>
              </w:rPr>
              <w:t>＞80s），高</w:t>
            </w:r>
            <w:r>
              <w:rPr>
                <w:rFonts w:hint="default" w:ascii="Times New Roman" w:hAnsi="Times New Roman" w:cs="Times New Roman"/>
                <w:color w:val="auto"/>
                <w:sz w:val="24"/>
                <w:lang w:eastAsia="zh-CN"/>
              </w:rPr>
              <w:t>黏度</w:t>
            </w:r>
            <w:r>
              <w:rPr>
                <w:rFonts w:hint="default" w:ascii="Times New Roman" w:hAnsi="Times New Roman" w:cs="Times New Roman"/>
                <w:color w:val="auto"/>
                <w:sz w:val="24"/>
              </w:rPr>
              <w:t>隔离液配方：油基泥浆基液+2-3%有机土+2-3%乳化剂。顶替先泵入10m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隔离液，然后再泵入油基泥浆，顶替过程采用大排量、不停泵确保顶替效率。参考隔离液返排时间和流型变化，加密监测密度与破乳电压，当密度出现U型拐点并且破乳电压50-100V可读时，结束顶替作业。</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④油基泥浆转换完后，大排量充分循环2～3个循环周至油基钻井液性能稳定，测定全套性能，符合设计要求后开始定向施工作业。为减少残余水基和水基虚泥饼污染带来的振动筛跑浆以及未溶助剂的损耗，油基钻井液转换及调整性能期间振动筛应首先使用120目筛布，再逐步过渡到200目以上筛布。</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⑤油水比控制，一级固控环节水相蒸发损耗较大，结合油水比、泥浆流变性、破乳电压测试情况，持续稳定的补充氯化钙盐水，控制好油水比，保持钻井液性能稳定。</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⑥乳化稳定性控制，流变性、固相含量、油水比、碱度等均会对破乳电压产生影响，测定分析确认主要影响因素并及时进行调整。保持油水比在设计范围内，及时补充乳化剂、润湿剂，维持钻井液碱度不低于2.0。</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⑦流变性控制，加强固控设备管理保持钻井液清洁，及时补充乳化剂、润湿剂，保持钻井液良好的乳化稳定性和固相润湿性能，通过调整有机土、乳化剂加量和油水比，以及防漏堵漏材料的合理浓度来调整粘切。</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⑧滤失量控制，钻井液乳化稳定性是有效降低滤失量的重要保证，高温高压滤液中不应含自由水，若HTHP滤失量较大或滤液中有自由水，及时补充乳化剂、有机土、降滤失剂等材料，控制高温高压滤失量≤4mL。</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⑨固相控制，充分利用固控设备清除钻井液中的有害固相，振动筛、除砂、除泥器运转率100%，离心机运转率不低于30%，确保密度、固相含量、含砂量控制在设计范围内。接立柱期间和除砂器见到钻屑时要及时检查更换破损筛布，冲洗检查振动筛必须使用基油。正常钻进振动筛易采用200-240目筛布，低钻速钻进及通井拉划井壁时钻屑细小、含砂量高，振动筛易采用240目以上筛布。</w:t>
            </w:r>
          </w:p>
          <w:p>
            <w:pPr>
              <w:keepNext w:val="0"/>
              <w:keepLines w:val="0"/>
              <w:suppressLineNumbers w:val="0"/>
              <w:spacing w:before="0" w:beforeAutospacing="0" w:after="0" w:afterAutospacing="0" w:line="360" w:lineRule="auto"/>
              <w:ind w:left="0" w:right="0" w:firstLine="480" w:firstLineChars="200"/>
              <w:rPr>
                <w:rFonts w:hint="eastAsia" w:ascii="Times New Roman" w:hAnsi="Times New Roman" w:eastAsia="宋体" w:cs="Times New Roman"/>
                <w:color w:val="auto"/>
                <w:sz w:val="24"/>
                <w:lang w:eastAsia="zh-CN"/>
              </w:rPr>
            </w:pPr>
            <w:r>
              <w:rPr>
                <w:rFonts w:hint="default" w:ascii="Times New Roman" w:hAnsi="Times New Roman" w:cs="Times New Roman"/>
                <w:color w:val="auto"/>
                <w:sz w:val="24"/>
              </w:rPr>
              <w:t>泥浆循环系统：首先泥浆泵从泥浆罐中抽取泥浆，通过连接管汇到达钻台立管阀门组，送到井下的钻头处，高压泥浆对井底进行喷冲并且携带固相钻屑，由钻杆和套管中间的环形空间流回井口。携带钻屑的泥浆从井口转盘下部的口部返出，经振动筛、除砂器等设备分离开岩屑与钻井液。岩屑经振动筛输送至清洁化操作平台，钻井液经除砂、除泥、钻井液离心机处理后进入泥浆循环罐循环使用</w:t>
            </w:r>
            <w:r>
              <w:rPr>
                <w:rFonts w:hint="eastAsia" w:cs="Times New Roman"/>
                <w:color w:val="auto"/>
                <w:sz w:val="24"/>
                <w:lang w:eastAsia="zh-CN"/>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（2）钻井辅助作业</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钻井辅助作业由测井、取心钻进、录井、中途测试等作业组成。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测井是利用电、磁、声、热、核等物理原理制造的各种测井仪器，由测井电缆下入井内，使地面电测仪可沿着井筒连续记录随深度变化的各种参数。通过表示这类参数的曲线，来识别地下的岩层，如油、气、水层、煤层、金属矿床等。目前中原油田普光分公司测井还未用核元素测井。</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取心是在钻井过程中使用特殊的取心工具把地下岩石成块地取到地面上来，这种成块的岩石叫做岩心，通过它可以测定岩石的各种性质，直观地研究地下构造和岩石沉积环境，了解其中的流体性质等。</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录井是根据测井数据、现场录井数据及综合分析化验数据进行岩性解释、归位，确定含油、气、水产状情况。</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中途测试是在钻井过程中如果发现良好油气显示即停止钻进，对可能的油、气层进行测试求产。其方法一般有钻杆地层测试，是使用钻杆或油管把带封隔器的地层测试器下入井中进行试油的一种先进技术。它既可以在已下入套管的井中进行测试，也可在未下入套管的裸眼井中进行测试；既可在钻井完成后进行测试，又可在钻井中途进行测试。</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（3）固井作业</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固井是在已钻成的井眼内下入套管，再在套管与井壁之间环空内注入水泥将套管和地层固结在一起的工艺过程，以保证安全继续钻进下一段井眼或保证顺利开采生产层中的油、气。</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固井作业包括下套管和注水泥两个过程。下套管就是在已经钻成的井眼中按规定深度下入一定直径、由某种或几种不同钢级及壁厚的套管组成的套管柱。注水泥就是在地面上将水泥浆通过套管柱注入井眼与套管柱之间的环形空间中的过程。固井的主要目的是封隔疏松的易塌、易漏地层；封隔油、气、水层，防止互相窜漏。固井作业的主要设备有水泥搅拌机、下灰罐车、混合漏斗和其他附属安全放喷设备等。</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固井现场施工前根据实际情况要作固井液配方及性能复核试验，若钻进中井漏严重，则应考虑采用双凝水泥浆体系固井，从而提高固井质量，防止因为井漏事故造成地下水环境污染。</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2.11.3试气工程</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eastAsia" w:ascii="宋体" w:hAnsi="宋体" w:eastAsia="宋体" w:cs="宋体"/>
                <w:color w:val="auto"/>
                <w:kern w:val="2"/>
                <w:sz w:val="24"/>
                <w:szCs w:val="24"/>
                <w:lang w:val="en-US" w:eastAsia="zh-CN" w:bidi="ar"/>
              </w:rPr>
              <w:t>当钻井钻至目的层后，将对气井进行压裂测试作业，以取得该井施工段流体性质、</w:t>
            </w:r>
            <w:r>
              <w:rPr>
                <w:rFonts w:hint="default" w:ascii="Times New Roman" w:hAnsi="Times New Roman" w:eastAsia="宋体" w:cs="Times New Roman"/>
                <w:color w:val="auto"/>
                <w:kern w:val="2"/>
                <w:sz w:val="24"/>
                <w:szCs w:val="24"/>
                <w:lang w:val="en-US" w:eastAsia="zh-CN" w:bidi="ar"/>
              </w:rPr>
              <w:t xml:space="preserve"> </w:t>
            </w:r>
            <w:r>
              <w:rPr>
                <w:rFonts w:hint="eastAsia" w:ascii="宋体" w:hAnsi="宋体" w:eastAsia="宋体" w:cs="宋体"/>
                <w:color w:val="auto"/>
                <w:kern w:val="2"/>
                <w:sz w:val="24"/>
                <w:szCs w:val="24"/>
                <w:lang w:val="en-US" w:eastAsia="zh-CN" w:bidi="ar"/>
              </w:rPr>
              <w:t>测试产能、地层压力等详细工程资料。压裂即用高压将地层压开一条或几条水平的或</w:t>
            </w:r>
            <w:r>
              <w:rPr>
                <w:rFonts w:hint="default" w:ascii="Times New Roman" w:hAnsi="Times New Roman" w:eastAsia="宋体" w:cs="Times New Roman"/>
                <w:color w:val="auto"/>
                <w:kern w:val="2"/>
                <w:sz w:val="24"/>
                <w:szCs w:val="24"/>
                <w:lang w:val="en-US" w:eastAsia="zh-CN" w:bidi="ar"/>
              </w:rPr>
              <w:t xml:space="preserve"> </w:t>
            </w:r>
            <w:r>
              <w:rPr>
                <w:rFonts w:hint="eastAsia" w:ascii="宋体" w:hAnsi="宋体" w:eastAsia="宋体" w:cs="宋体"/>
                <w:color w:val="auto"/>
                <w:kern w:val="2"/>
                <w:sz w:val="24"/>
                <w:szCs w:val="24"/>
                <w:lang w:val="en-US" w:eastAsia="zh-CN" w:bidi="ar"/>
              </w:rPr>
              <w:t>垂直的裂缝（裂缝长度控制在</w:t>
            </w:r>
            <w:r>
              <w:rPr>
                <w:rFonts w:hint="default" w:ascii="Times New Roman" w:hAnsi="Times New Roman" w:eastAsia="宋体" w:cs="Times New Roman"/>
                <w:color w:val="auto"/>
                <w:kern w:val="2"/>
                <w:sz w:val="24"/>
                <w:szCs w:val="24"/>
                <w:lang w:val="en-US" w:eastAsia="zh-CN" w:bidi="ar"/>
              </w:rPr>
              <w:t>100m</w:t>
            </w:r>
            <w:r>
              <w:rPr>
                <w:rFonts w:hint="eastAsia" w:ascii="宋体" w:hAnsi="宋体" w:eastAsia="宋体" w:cs="宋体"/>
                <w:color w:val="auto"/>
                <w:kern w:val="2"/>
                <w:sz w:val="24"/>
                <w:szCs w:val="24"/>
                <w:lang w:val="en-US" w:eastAsia="zh-CN" w:bidi="ar"/>
              </w:rPr>
              <w:t>长度范围内），并用支撑剂将裂缝支撑起来，减小油、气、水的流动阻力，沟通油、气、水的流动通道，从而达到增产的效果。压裂测试作业包括洗井、射孔、压裂和测试放喷等过程，本项目采用泵送桥塞电缆射孔 作多段压裂工艺，分</w:t>
            </w:r>
            <w:r>
              <w:rPr>
                <w:rFonts w:hint="eastAsia" w:ascii="Times New Roman" w:hAnsi="Times New Roman" w:eastAsia="宋体" w:cs="Times New Roman"/>
                <w:color w:val="auto"/>
                <w:kern w:val="2"/>
                <w:sz w:val="24"/>
                <w:szCs w:val="24"/>
                <w:lang w:val="en-US" w:eastAsia="zh-CN" w:bidi="ar"/>
              </w:rPr>
              <w:t>12</w:t>
            </w:r>
            <w:r>
              <w:rPr>
                <w:rFonts w:hint="eastAsia" w:ascii="宋体" w:hAnsi="宋体" w:eastAsia="宋体" w:cs="宋体"/>
                <w:color w:val="auto"/>
                <w:kern w:val="2"/>
                <w:sz w:val="24"/>
                <w:szCs w:val="24"/>
                <w:lang w:val="en-US" w:eastAsia="zh-CN" w:bidi="ar"/>
              </w:rPr>
              <w:t>段加砂压裂改造。根据工程设计，普陆12H井压裂作业每次压裂液泵入时间约</w:t>
            </w:r>
            <w:r>
              <w:rPr>
                <w:rFonts w:hint="default" w:ascii="Times New Roman" w:hAnsi="Times New Roman" w:eastAsia="宋体" w:cs="Times New Roman"/>
                <w:color w:val="auto"/>
                <w:kern w:val="2"/>
                <w:sz w:val="24"/>
                <w:szCs w:val="24"/>
                <w:lang w:val="en-US" w:eastAsia="zh-CN" w:bidi="ar"/>
              </w:rPr>
              <w:t>2</w:t>
            </w:r>
            <w:r>
              <w:rPr>
                <w:rFonts w:hint="eastAsia" w:ascii="宋体" w:hAnsi="宋体" w:eastAsia="宋体" w:cs="宋体"/>
                <w:color w:val="auto"/>
                <w:kern w:val="2"/>
                <w:sz w:val="24"/>
                <w:szCs w:val="24"/>
                <w:lang w:val="en-US" w:eastAsia="zh-CN" w:bidi="ar"/>
              </w:rPr>
              <w:t>～</w:t>
            </w:r>
            <w:r>
              <w:rPr>
                <w:rFonts w:hint="default" w:ascii="Times New Roman" w:hAnsi="Times New Roman" w:eastAsia="宋体" w:cs="Times New Roman"/>
                <w:color w:val="auto"/>
                <w:kern w:val="2"/>
                <w:sz w:val="24"/>
                <w:szCs w:val="24"/>
                <w:lang w:val="en-US" w:eastAsia="zh-CN" w:bidi="ar"/>
              </w:rPr>
              <w:t>3</w:t>
            </w:r>
            <w:r>
              <w:rPr>
                <w:rFonts w:hint="eastAsia" w:ascii="宋体" w:hAnsi="宋体" w:eastAsia="宋体" w:cs="宋体"/>
                <w:color w:val="auto"/>
                <w:kern w:val="2"/>
                <w:sz w:val="24"/>
                <w:szCs w:val="24"/>
                <w:lang w:val="en-US" w:eastAsia="zh-CN" w:bidi="ar"/>
              </w:rPr>
              <w:t>小时，均在白天进行，一天最长压裂作业时间不超过</w:t>
            </w:r>
            <w:r>
              <w:rPr>
                <w:rFonts w:hint="default" w:ascii="Times New Roman" w:hAnsi="Times New Roman" w:eastAsia="宋体" w:cs="Times New Roman"/>
                <w:color w:val="auto"/>
                <w:kern w:val="2"/>
                <w:sz w:val="24"/>
                <w:szCs w:val="24"/>
                <w:lang w:val="en-US" w:eastAsia="zh-CN" w:bidi="ar"/>
              </w:rPr>
              <w:t>15</w:t>
            </w:r>
            <w:r>
              <w:rPr>
                <w:rFonts w:hint="eastAsia" w:ascii="宋体" w:hAnsi="宋体" w:eastAsia="宋体" w:cs="宋体"/>
                <w:color w:val="auto"/>
                <w:kern w:val="2"/>
                <w:sz w:val="24"/>
                <w:szCs w:val="24"/>
                <w:lang w:val="en-US" w:eastAsia="zh-CN" w:bidi="ar"/>
              </w:rPr>
              <w:t>个小时，并且最迟在晚上</w:t>
            </w:r>
            <w:r>
              <w:rPr>
                <w:rFonts w:hint="default" w:ascii="Times New Roman" w:hAnsi="Times New Roman" w:eastAsia="宋体" w:cs="Times New Roman"/>
                <w:color w:val="auto"/>
                <w:kern w:val="2"/>
                <w:sz w:val="24"/>
                <w:szCs w:val="24"/>
                <w:lang w:val="en-US" w:eastAsia="zh-CN" w:bidi="ar"/>
              </w:rPr>
              <w:t>10</w:t>
            </w:r>
            <w:r>
              <w:rPr>
                <w:rFonts w:hint="eastAsia" w:ascii="宋体" w:hAnsi="宋体" w:eastAsia="宋体" w:cs="宋体"/>
                <w:color w:val="auto"/>
                <w:kern w:val="2"/>
                <w:sz w:val="24"/>
                <w:szCs w:val="24"/>
                <w:lang w:val="en-US" w:eastAsia="zh-CN" w:bidi="ar"/>
              </w:rPr>
              <w:t>点之前停止压裂作业，压裂作业完成后进行测试作业。</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eastAsia" w:ascii="宋体" w:hAnsi="宋体" w:eastAsia="宋体" w:cs="宋体"/>
                <w:color w:val="auto"/>
                <w:kern w:val="2"/>
                <w:sz w:val="24"/>
                <w:szCs w:val="24"/>
                <w:lang w:val="en-US" w:eastAsia="zh-CN" w:bidi="ar"/>
              </w:rPr>
              <w:t>其作业工艺流程见下图。</w:t>
            </w:r>
          </w:p>
          <w:p>
            <w:pPr>
              <w:keepNext w:val="0"/>
              <w:keepLines w:val="0"/>
              <w:widowControl w:val="0"/>
              <w:suppressLineNumbers w:val="0"/>
              <w:autoSpaceDE w:val="0"/>
              <w:autoSpaceDN/>
              <w:spacing w:before="0" w:beforeAutospacing="0" w:after="0" w:afterAutospacing="0" w:line="360" w:lineRule="auto"/>
              <w:ind w:left="0" w:right="0" w:firstLine="0" w:firstLineChars="0"/>
              <w:jc w:val="center"/>
              <w:rPr>
                <w:rFonts w:hint="default" w:ascii="Times New Roman" w:hAnsi="Times New Roman" w:eastAsia="宋体" w:cs="Times New Roman"/>
                <w:color w:val="auto"/>
                <w:kern w:val="2"/>
                <w:sz w:val="24"/>
                <w:szCs w:val="24"/>
              </w:rPr>
            </w:pPr>
            <w:r>
              <w:rPr>
                <w:rFonts w:hint="default" w:ascii="Times New Roman" w:hAnsi="Times New Roman" w:eastAsia="宋体" w:cs="Times New Roman"/>
                <w:color w:val="auto"/>
                <w:kern w:val="2"/>
                <w:sz w:val="21"/>
                <w:szCs w:val="21"/>
                <w:lang w:val="en-US" w:eastAsia="zh-CN" w:bidi="ar"/>
              </w:rPr>
              <w:drawing>
                <wp:inline distT="0" distB="0" distL="114300" distR="114300">
                  <wp:extent cx="4762500" cy="1971675"/>
                  <wp:effectExtent l="0" t="0" r="0" b="9525"/>
                  <wp:docPr id="22"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 descr="IMG_256"/>
                          <pic:cNvPicPr>
                            <a:picLocks noChangeAspect="1"/>
                          </pic:cNvPicPr>
                        </pic:nvPicPr>
                        <pic:blipFill>
                          <a:blip r:embed="rId14"/>
                          <a:stretch>
                            <a:fillRect/>
                          </a:stretch>
                        </pic:blipFill>
                        <pic:spPr>
                          <a:xfrm>
                            <a:off x="0" y="0"/>
                            <a:ext cx="4762500" cy="1971675"/>
                          </a:xfrm>
                          <a:prstGeom prst="rect">
                            <a:avLst/>
                          </a:prstGeom>
                          <a:noFill/>
                          <a:ln w="9525">
                            <a:noFill/>
                          </a:ln>
                        </pic:spPr>
                      </pic:pic>
                    </a:graphicData>
                  </a:graphic>
                </wp:inline>
              </w:drawing>
            </w:r>
            <w:r>
              <w:rPr>
                <w:rFonts w:hint="default" w:ascii="Times New Roman" w:hAnsi="Times New Roman" w:eastAsia="宋体" w:cs="Times New Roman"/>
                <w:color w:val="auto"/>
                <w:kern w:val="2"/>
                <w:sz w:val="24"/>
                <w:szCs w:val="24"/>
                <w:lang w:val="en-US" w:eastAsia="zh-CN" w:bidi="ar"/>
              </w:rPr>
              <w:t xml:space="preserve"> </w:t>
            </w:r>
            <w:r>
              <w:rPr>
                <w:rFonts w:hint="eastAsia" w:ascii="宋体" w:hAnsi="宋体" w:eastAsia="宋体" w:cs="宋体"/>
                <w:color w:val="auto"/>
                <w:kern w:val="2"/>
                <w:sz w:val="24"/>
                <w:szCs w:val="24"/>
                <w:lang w:val="en-US" w:eastAsia="zh-CN" w:bidi="ar"/>
              </w:rPr>
              <w:t>图</w:t>
            </w:r>
            <w:r>
              <w:rPr>
                <w:rFonts w:hint="default" w:ascii="Times New Roman" w:hAnsi="Times New Roman" w:eastAsia="宋体" w:cs="Times New Roman"/>
                <w:color w:val="auto"/>
                <w:kern w:val="2"/>
                <w:sz w:val="24"/>
                <w:szCs w:val="24"/>
                <w:lang w:val="en-US" w:eastAsia="zh-CN" w:bidi="ar"/>
              </w:rPr>
              <w:t xml:space="preserve">2-6    </w:t>
            </w:r>
            <w:r>
              <w:rPr>
                <w:rFonts w:hint="eastAsia" w:ascii="宋体" w:hAnsi="宋体" w:eastAsia="宋体" w:cs="宋体"/>
                <w:color w:val="auto"/>
                <w:kern w:val="2"/>
                <w:sz w:val="24"/>
                <w:szCs w:val="24"/>
                <w:lang w:val="en-US" w:eastAsia="zh-CN" w:bidi="ar"/>
              </w:rPr>
              <w:t>完井作业工艺流程示意图</w:t>
            </w:r>
          </w:p>
          <w:p>
            <w:pPr>
              <w:keepNext w:val="0"/>
              <w:keepLines w:val="0"/>
              <w:widowControl w:val="0"/>
              <w:suppressLineNumbers w:val="0"/>
              <w:autoSpaceDE w:val="0"/>
              <w:autoSpaceDN/>
              <w:spacing w:before="0" w:beforeAutospacing="0" w:after="0" w:afterAutospacing="0"/>
              <w:ind w:left="0" w:right="0" w:firstLine="0" w:firstLineChars="0"/>
              <w:jc w:val="center"/>
              <w:rPr>
                <w:rFonts w:hint="default" w:ascii="Times New Roman" w:hAnsi="Times New Roman" w:eastAsia="宋体" w:cs="Times New Roman"/>
                <w:b/>
                <w:bCs/>
                <w:color w:val="auto"/>
                <w:kern w:val="2"/>
                <w:sz w:val="24"/>
                <w:szCs w:val="24"/>
              </w:rPr>
            </w:pPr>
            <w:r>
              <w:rPr>
                <w:rFonts w:hint="default" w:ascii="Times New Roman" w:hAnsi="Times New Roman" w:eastAsia="宋体" w:cs="Times New Roman"/>
                <w:color w:val="auto"/>
                <w:kern w:val="2"/>
                <w:sz w:val="21"/>
                <w:szCs w:val="21"/>
                <w:lang w:val="en-US" w:eastAsia="zh-CN" w:bidi="ar"/>
              </w:rPr>
              <w:drawing>
                <wp:inline distT="0" distB="0" distL="114300" distR="114300">
                  <wp:extent cx="4762500" cy="2657475"/>
                  <wp:effectExtent l="0" t="0" r="0" b="9525"/>
                  <wp:docPr id="19"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2" descr="IMG_257"/>
                          <pic:cNvPicPr>
                            <a:picLocks noChangeAspect="1"/>
                          </pic:cNvPicPr>
                        </pic:nvPicPr>
                        <pic:blipFill>
                          <a:blip r:embed="rId15"/>
                          <a:stretch>
                            <a:fillRect/>
                          </a:stretch>
                        </pic:blipFill>
                        <pic:spPr>
                          <a:xfrm>
                            <a:off x="0" y="0"/>
                            <a:ext cx="4762500" cy="2657475"/>
                          </a:xfrm>
                          <a:prstGeom prst="rect">
                            <a:avLst/>
                          </a:prstGeom>
                          <a:noFill/>
                          <a:ln w="9525">
                            <a:noFill/>
                          </a:ln>
                        </pic:spPr>
                      </pic:pic>
                    </a:graphicData>
                  </a:graphic>
                </wp:inline>
              </w:drawing>
            </w:r>
            <w:r>
              <w:rPr>
                <w:rFonts w:hint="eastAsia" w:ascii="宋体" w:hAnsi="宋体" w:eastAsia="宋体" w:cs="宋体"/>
                <w:b/>
                <w:bCs/>
                <w:color w:val="auto"/>
                <w:kern w:val="2"/>
                <w:sz w:val="24"/>
                <w:szCs w:val="24"/>
                <w:lang w:val="en-US" w:eastAsia="zh-CN" w:bidi="ar"/>
              </w:rPr>
              <w:t>图</w:t>
            </w:r>
            <w:r>
              <w:rPr>
                <w:rFonts w:hint="default" w:ascii="Times New Roman" w:hAnsi="Times New Roman" w:eastAsia="宋体" w:cs="Times New Roman"/>
                <w:b/>
                <w:bCs/>
                <w:color w:val="auto"/>
                <w:kern w:val="2"/>
                <w:sz w:val="24"/>
                <w:szCs w:val="24"/>
                <w:lang w:val="en-US" w:eastAsia="zh-CN" w:bidi="ar"/>
              </w:rPr>
              <w:t xml:space="preserve">2-7    </w:t>
            </w:r>
            <w:r>
              <w:rPr>
                <w:rFonts w:hint="eastAsia" w:ascii="宋体" w:hAnsi="宋体" w:eastAsia="宋体" w:cs="宋体"/>
                <w:b/>
                <w:bCs/>
                <w:color w:val="auto"/>
                <w:kern w:val="2"/>
                <w:sz w:val="24"/>
                <w:szCs w:val="24"/>
                <w:lang w:val="en-US" w:eastAsia="zh-CN" w:bidi="ar"/>
              </w:rPr>
              <w:t>加砂压裂作业示意图</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eastAsia" w:ascii="宋体" w:hAnsi="宋体" w:eastAsia="宋体" w:cs="宋体"/>
                <w:color w:val="auto"/>
                <w:kern w:val="2"/>
                <w:sz w:val="24"/>
                <w:szCs w:val="24"/>
                <w:lang w:val="en-US" w:eastAsia="zh-CN" w:bidi="ar"/>
              </w:rPr>
              <w:t>（</w:t>
            </w:r>
            <w:r>
              <w:rPr>
                <w:rFonts w:hint="default" w:ascii="Times New Roman" w:hAnsi="Times New Roman" w:eastAsia="宋体" w:cs="Times New Roman"/>
                <w:color w:val="auto"/>
                <w:kern w:val="2"/>
                <w:sz w:val="24"/>
                <w:szCs w:val="24"/>
                <w:lang w:val="en-US" w:eastAsia="zh-CN" w:bidi="ar"/>
              </w:rPr>
              <w:t>1</w:t>
            </w:r>
            <w:r>
              <w:rPr>
                <w:rFonts w:hint="eastAsia" w:ascii="宋体" w:hAnsi="宋体" w:eastAsia="宋体" w:cs="宋体"/>
                <w:color w:val="auto"/>
                <w:kern w:val="2"/>
                <w:sz w:val="24"/>
                <w:szCs w:val="24"/>
                <w:lang w:val="en-US" w:eastAsia="zh-CN" w:bidi="ar"/>
              </w:rPr>
              <w:t>）洗井</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eastAsia" w:ascii="宋体" w:hAnsi="宋体" w:eastAsia="宋体" w:cs="宋体"/>
                <w:color w:val="auto"/>
                <w:kern w:val="2"/>
                <w:sz w:val="24"/>
                <w:szCs w:val="24"/>
                <w:lang w:val="en-US" w:eastAsia="zh-CN" w:bidi="ar"/>
              </w:rPr>
              <w:t>本项目在进行完井作业前将对气井进行洗井作业，采用清水对套管进行清洗，替换井下的泥浆，为下一步完井作业做准备。根据建设单位统计，区域内洗井处理会产生洗井废水约</w:t>
            </w:r>
            <w:r>
              <w:rPr>
                <w:rFonts w:hint="default" w:ascii="Times New Roman" w:hAnsi="Times New Roman" w:eastAsia="宋体" w:cs="Times New Roman"/>
                <w:color w:val="auto"/>
                <w:kern w:val="2"/>
                <w:sz w:val="24"/>
                <w:szCs w:val="24"/>
                <w:lang w:val="en-US" w:eastAsia="zh-CN" w:bidi="ar"/>
              </w:rPr>
              <w:t>300m</w:t>
            </w:r>
            <w:r>
              <w:rPr>
                <w:rFonts w:hint="default" w:ascii="Times New Roman" w:hAnsi="Times New Roman" w:eastAsia="宋体" w:cs="Times New Roman"/>
                <w:color w:val="auto"/>
                <w:kern w:val="2"/>
                <w:sz w:val="24"/>
                <w:szCs w:val="24"/>
                <w:vertAlign w:val="superscript"/>
                <w:lang w:val="en-US" w:eastAsia="zh-CN" w:bidi="ar"/>
              </w:rPr>
              <w:t>3</w:t>
            </w:r>
            <w:r>
              <w:rPr>
                <w:rFonts w:hint="eastAsia" w:ascii="宋体" w:hAnsi="宋体" w:eastAsia="宋体" w:cs="宋体"/>
                <w:color w:val="auto"/>
                <w:kern w:val="2"/>
                <w:sz w:val="24"/>
                <w:szCs w:val="24"/>
                <w:lang w:val="en-US" w:eastAsia="zh-CN" w:bidi="ar"/>
              </w:rPr>
              <w:t>。</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eastAsia" w:ascii="宋体" w:hAnsi="宋体" w:eastAsia="宋体" w:cs="宋体"/>
                <w:color w:val="auto"/>
                <w:kern w:val="2"/>
                <w:sz w:val="24"/>
                <w:szCs w:val="24"/>
                <w:lang w:val="en-US" w:eastAsia="zh-CN" w:bidi="ar"/>
              </w:rPr>
              <w:t>（</w:t>
            </w:r>
            <w:r>
              <w:rPr>
                <w:rFonts w:hint="default" w:ascii="Times New Roman" w:hAnsi="Times New Roman" w:eastAsia="宋体" w:cs="Times New Roman"/>
                <w:color w:val="auto"/>
                <w:kern w:val="2"/>
                <w:sz w:val="24"/>
                <w:szCs w:val="24"/>
                <w:lang w:val="en-US" w:eastAsia="zh-CN" w:bidi="ar"/>
              </w:rPr>
              <w:t>2</w:t>
            </w:r>
            <w:r>
              <w:rPr>
                <w:rFonts w:hint="eastAsia" w:ascii="宋体" w:hAnsi="宋体" w:eastAsia="宋体" w:cs="宋体"/>
                <w:color w:val="auto"/>
                <w:kern w:val="2"/>
                <w:sz w:val="24"/>
                <w:szCs w:val="24"/>
                <w:lang w:val="en-US" w:eastAsia="zh-CN" w:bidi="ar"/>
              </w:rPr>
              <w:t>）射孔完井</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eastAsia" w:ascii="宋体" w:hAnsi="宋体" w:eastAsia="宋体" w:cs="宋体"/>
                <w:color w:val="auto"/>
                <w:kern w:val="2"/>
                <w:sz w:val="24"/>
                <w:szCs w:val="24"/>
                <w:lang w:val="en-US" w:eastAsia="zh-CN" w:bidi="ar"/>
              </w:rPr>
              <w:t>本工程拟采用射孔完井方式。射孔完井是目前国内外使用最广泛的完井方法。射孔技术是将射孔专用设备送至井下预定深度，对准目的层引爆射孔器，射孔弹被导爆索引爆后，产生高温、高压冲击波，从而穿透套管、水泥环进入地层，形成一个孔道，构成目的层至套管内连通的一项技术。射穿产层后油气井的生产能力受产层压力、产层性质、射孔参数及质量影响。</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eastAsia" w:ascii="宋体" w:hAnsi="宋体" w:eastAsia="宋体" w:cs="宋体"/>
                <w:color w:val="auto"/>
                <w:kern w:val="2"/>
                <w:sz w:val="24"/>
                <w:szCs w:val="24"/>
                <w:lang w:val="en-US" w:eastAsia="zh-CN" w:bidi="ar"/>
              </w:rPr>
              <w:t>（</w:t>
            </w:r>
            <w:r>
              <w:rPr>
                <w:rFonts w:hint="default" w:ascii="Times New Roman" w:hAnsi="Times New Roman" w:eastAsia="宋体" w:cs="Times New Roman"/>
                <w:color w:val="auto"/>
                <w:kern w:val="2"/>
                <w:sz w:val="24"/>
                <w:szCs w:val="24"/>
                <w:lang w:val="en-US" w:eastAsia="zh-CN" w:bidi="ar"/>
              </w:rPr>
              <w:t>3</w:t>
            </w:r>
            <w:r>
              <w:rPr>
                <w:rFonts w:hint="eastAsia" w:ascii="宋体" w:hAnsi="宋体" w:eastAsia="宋体" w:cs="宋体"/>
                <w:color w:val="auto"/>
                <w:kern w:val="2"/>
                <w:sz w:val="24"/>
                <w:szCs w:val="24"/>
                <w:lang w:val="en-US" w:eastAsia="zh-CN" w:bidi="ar"/>
              </w:rPr>
              <w:t>）压裂作业工艺</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eastAsia" w:ascii="宋体" w:hAnsi="宋体" w:eastAsia="宋体" w:cs="宋体"/>
                <w:color w:val="auto"/>
                <w:kern w:val="2"/>
                <w:sz w:val="24"/>
                <w:szCs w:val="24"/>
                <w:lang w:val="en-US" w:eastAsia="zh-CN" w:bidi="ar"/>
              </w:rPr>
              <w:t>射孔后，为提高产层的渗透能力，实施压裂作业。加砂压裂是将含纤维携砂液和</w:t>
            </w:r>
            <w:r>
              <w:rPr>
                <w:rFonts w:hint="default" w:ascii="Times New Roman" w:hAnsi="Times New Roman" w:eastAsia="宋体" w:cs="Times New Roman"/>
                <w:color w:val="auto"/>
                <w:kern w:val="2"/>
                <w:sz w:val="24"/>
                <w:szCs w:val="24"/>
                <w:lang w:val="en-US" w:eastAsia="zh-CN" w:bidi="ar"/>
              </w:rPr>
              <w:t xml:space="preserve"> </w:t>
            </w:r>
            <w:r>
              <w:rPr>
                <w:rFonts w:hint="eastAsia" w:ascii="宋体" w:hAnsi="宋体" w:eastAsia="宋体" w:cs="宋体"/>
                <w:color w:val="auto"/>
                <w:kern w:val="2"/>
                <w:sz w:val="24"/>
                <w:szCs w:val="24"/>
                <w:lang w:val="en-US" w:eastAsia="zh-CN" w:bidi="ar"/>
              </w:rPr>
              <w:t>纯冻胶间隔液以交替循环的方式泵入油气井裂缝内，进入油气井裂缝内的含纤维携砂</w:t>
            </w:r>
            <w:r>
              <w:rPr>
                <w:rFonts w:hint="default" w:ascii="Times New Roman" w:hAnsi="Times New Roman" w:eastAsia="宋体" w:cs="Times New Roman"/>
                <w:color w:val="auto"/>
                <w:kern w:val="2"/>
                <w:sz w:val="24"/>
                <w:szCs w:val="24"/>
                <w:lang w:val="en-US" w:eastAsia="zh-CN" w:bidi="ar"/>
              </w:rPr>
              <w:t xml:space="preserve"> </w:t>
            </w:r>
            <w:r>
              <w:rPr>
                <w:rFonts w:hint="eastAsia" w:ascii="宋体" w:hAnsi="宋体" w:eastAsia="宋体" w:cs="宋体"/>
                <w:color w:val="auto"/>
                <w:kern w:val="2"/>
                <w:sz w:val="24"/>
                <w:szCs w:val="24"/>
                <w:lang w:val="en-US" w:eastAsia="zh-CN" w:bidi="ar"/>
              </w:rPr>
              <w:t>液被管柱上的射孔炮眼分散成形状各异的团块状，这些团块状的含纤维携砂液由内向</w:t>
            </w:r>
            <w:r>
              <w:rPr>
                <w:rFonts w:hint="default" w:ascii="Times New Roman" w:hAnsi="Times New Roman" w:eastAsia="宋体" w:cs="Times New Roman"/>
                <w:color w:val="auto"/>
                <w:kern w:val="2"/>
                <w:sz w:val="24"/>
                <w:szCs w:val="24"/>
                <w:lang w:val="en-US" w:eastAsia="zh-CN" w:bidi="ar"/>
              </w:rPr>
              <w:t xml:space="preserve"> </w:t>
            </w:r>
            <w:r>
              <w:rPr>
                <w:rFonts w:hint="eastAsia" w:ascii="宋体" w:hAnsi="宋体" w:eastAsia="宋体" w:cs="宋体"/>
                <w:color w:val="auto"/>
                <w:kern w:val="2"/>
                <w:sz w:val="24"/>
                <w:szCs w:val="24"/>
                <w:lang w:val="en-US" w:eastAsia="zh-CN" w:bidi="ar"/>
              </w:rPr>
              <w:t>外堆砌在裂缝内形成砂柱，该砂柱中相邻团块状的含纤维携砂液之间缝隙被纯冻胶间</w:t>
            </w:r>
            <w:r>
              <w:rPr>
                <w:rFonts w:hint="default" w:ascii="Times New Roman" w:hAnsi="Times New Roman" w:eastAsia="宋体" w:cs="Times New Roman"/>
                <w:color w:val="auto"/>
                <w:kern w:val="2"/>
                <w:sz w:val="24"/>
                <w:szCs w:val="24"/>
                <w:lang w:val="en-US" w:eastAsia="zh-CN" w:bidi="ar"/>
              </w:rPr>
              <w:t xml:space="preserve"> </w:t>
            </w:r>
            <w:r>
              <w:rPr>
                <w:rFonts w:hint="eastAsia" w:ascii="宋体" w:hAnsi="宋体" w:eastAsia="宋体" w:cs="宋体"/>
                <w:color w:val="auto"/>
                <w:kern w:val="2"/>
                <w:sz w:val="24"/>
                <w:szCs w:val="24"/>
                <w:lang w:val="en-US" w:eastAsia="zh-CN" w:bidi="ar"/>
              </w:rPr>
              <w:t>隔液填充，整个砂柱的截面呈堆砌的石墙状；所述砂柱对闭合过程中的裂缝及闭合后</w:t>
            </w:r>
            <w:r>
              <w:rPr>
                <w:rFonts w:hint="default" w:ascii="Times New Roman" w:hAnsi="Times New Roman" w:eastAsia="宋体" w:cs="Times New Roman"/>
                <w:color w:val="auto"/>
                <w:kern w:val="2"/>
                <w:sz w:val="24"/>
                <w:szCs w:val="24"/>
                <w:lang w:val="en-US" w:eastAsia="zh-CN" w:bidi="ar"/>
              </w:rPr>
              <w:t xml:space="preserve"> </w:t>
            </w:r>
            <w:r>
              <w:rPr>
                <w:rFonts w:hint="eastAsia" w:ascii="宋体" w:hAnsi="宋体" w:eastAsia="宋体" w:cs="宋体"/>
                <w:color w:val="auto"/>
                <w:kern w:val="2"/>
                <w:sz w:val="24"/>
                <w:szCs w:val="24"/>
                <w:lang w:val="en-US" w:eastAsia="zh-CN" w:bidi="ar"/>
              </w:rPr>
              <w:t>的裂缝进行支撑，砂柱中的纯冻胶间隔液部位在破胶后形成油气的低阻力，高流速渗</w:t>
            </w:r>
            <w:r>
              <w:rPr>
                <w:rFonts w:hint="default" w:ascii="Times New Roman" w:hAnsi="Times New Roman" w:eastAsia="宋体" w:cs="Times New Roman"/>
                <w:color w:val="auto"/>
                <w:kern w:val="2"/>
                <w:sz w:val="24"/>
                <w:szCs w:val="24"/>
                <w:lang w:val="en-US" w:eastAsia="zh-CN" w:bidi="ar"/>
              </w:rPr>
              <w:t xml:space="preserve"> </w:t>
            </w:r>
            <w:r>
              <w:rPr>
                <w:rFonts w:hint="eastAsia" w:ascii="宋体" w:hAnsi="宋体" w:eastAsia="宋体" w:cs="宋体"/>
                <w:color w:val="auto"/>
                <w:kern w:val="2"/>
                <w:sz w:val="24"/>
                <w:szCs w:val="24"/>
                <w:lang w:val="en-US" w:eastAsia="zh-CN" w:bidi="ar"/>
              </w:rPr>
              <w:t>流通道，本发明使油气井裂缝在优异支撑的导流能力下，油气形成大面积，低阻力，</w:t>
            </w:r>
            <w:r>
              <w:rPr>
                <w:rFonts w:hint="default" w:ascii="Times New Roman" w:hAnsi="Times New Roman" w:eastAsia="宋体" w:cs="Times New Roman"/>
                <w:color w:val="auto"/>
                <w:kern w:val="2"/>
                <w:sz w:val="24"/>
                <w:szCs w:val="24"/>
                <w:lang w:val="en-US" w:eastAsia="zh-CN" w:bidi="ar"/>
              </w:rPr>
              <w:t xml:space="preserve"> </w:t>
            </w:r>
            <w:r>
              <w:rPr>
                <w:rFonts w:hint="eastAsia" w:ascii="宋体" w:hAnsi="宋体" w:eastAsia="宋体" w:cs="宋体"/>
                <w:color w:val="auto"/>
                <w:kern w:val="2"/>
                <w:sz w:val="24"/>
                <w:szCs w:val="24"/>
                <w:lang w:val="en-US" w:eastAsia="zh-CN" w:bidi="ar"/>
              </w:rPr>
              <w:t>高流速的渗流，进而使得油气井的单井产量被大幅增加，有效降低了油气井的开采成</w:t>
            </w:r>
            <w:r>
              <w:rPr>
                <w:rFonts w:hint="default" w:ascii="Times New Roman" w:hAnsi="Times New Roman" w:eastAsia="宋体" w:cs="Times New Roman"/>
                <w:color w:val="auto"/>
                <w:kern w:val="2"/>
                <w:sz w:val="24"/>
                <w:szCs w:val="24"/>
                <w:lang w:val="en-US" w:eastAsia="zh-CN" w:bidi="ar"/>
              </w:rPr>
              <w:t xml:space="preserve"> </w:t>
            </w:r>
            <w:r>
              <w:rPr>
                <w:rFonts w:hint="eastAsia" w:ascii="宋体" w:hAnsi="宋体" w:eastAsia="宋体" w:cs="宋体"/>
                <w:color w:val="auto"/>
                <w:kern w:val="2"/>
                <w:sz w:val="24"/>
                <w:szCs w:val="24"/>
                <w:lang w:val="en-US" w:eastAsia="zh-CN" w:bidi="ar"/>
              </w:rPr>
              <w:t>本，实用性强，可靠性高。该环节产生的污染物主要为压裂作业设备产生的噪声及返</w:t>
            </w:r>
            <w:r>
              <w:rPr>
                <w:rFonts w:hint="default" w:ascii="Times New Roman" w:hAnsi="Times New Roman" w:eastAsia="宋体" w:cs="Times New Roman"/>
                <w:color w:val="auto"/>
                <w:kern w:val="2"/>
                <w:sz w:val="24"/>
                <w:szCs w:val="24"/>
                <w:lang w:val="en-US" w:eastAsia="zh-CN" w:bidi="ar"/>
              </w:rPr>
              <w:t xml:space="preserve"> </w:t>
            </w:r>
            <w:r>
              <w:rPr>
                <w:rFonts w:hint="eastAsia" w:ascii="宋体" w:hAnsi="宋体" w:eastAsia="宋体" w:cs="宋体"/>
                <w:color w:val="auto"/>
                <w:kern w:val="2"/>
                <w:sz w:val="24"/>
                <w:szCs w:val="24"/>
                <w:lang w:val="en-US" w:eastAsia="zh-CN" w:bidi="ar"/>
              </w:rPr>
              <w:t>排出的压裂液。</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eastAsia" w:ascii="宋体" w:hAnsi="宋体" w:eastAsia="宋体" w:cs="宋体"/>
                <w:color w:val="auto"/>
                <w:kern w:val="2"/>
                <w:sz w:val="24"/>
                <w:szCs w:val="24"/>
                <w:lang w:val="en-US" w:eastAsia="zh-CN" w:bidi="ar"/>
              </w:rPr>
              <w:t>压裂酸化过程产生压裂酸化废水，本项目压裂过程使用压裂量约</w:t>
            </w:r>
            <w:r>
              <w:rPr>
                <w:rFonts w:hint="eastAsia" w:ascii="宋体" w:hAnsi="宋体" w:cs="宋体"/>
                <w:color w:val="auto"/>
                <w:kern w:val="2"/>
                <w:sz w:val="24"/>
                <w:szCs w:val="24"/>
                <w:lang w:val="en-US" w:eastAsia="zh-CN" w:bidi="ar"/>
              </w:rPr>
              <w:t>19250</w:t>
            </w:r>
            <w:r>
              <w:rPr>
                <w:rFonts w:hint="default" w:ascii="Times New Roman" w:hAnsi="Times New Roman" w:eastAsia="宋体" w:cs="Times New Roman"/>
                <w:color w:val="auto"/>
                <w:kern w:val="2"/>
                <w:sz w:val="24"/>
                <w:szCs w:val="24"/>
                <w:lang w:val="en-US" w:eastAsia="zh-CN" w:bidi="ar"/>
              </w:rPr>
              <w:t>m</w:t>
            </w:r>
            <w:r>
              <w:rPr>
                <w:rFonts w:hint="default" w:ascii="Times New Roman" w:hAnsi="Times New Roman" w:eastAsia="宋体" w:cs="Times New Roman"/>
                <w:color w:val="auto"/>
                <w:kern w:val="2"/>
                <w:sz w:val="24"/>
                <w:szCs w:val="24"/>
                <w:vertAlign w:val="superscript"/>
                <w:lang w:val="en-US" w:eastAsia="zh-CN" w:bidi="ar"/>
              </w:rPr>
              <w:t>3</w:t>
            </w:r>
            <w:r>
              <w:rPr>
                <w:rFonts w:hint="eastAsia" w:ascii="宋体" w:hAnsi="宋体" w:eastAsia="宋体" w:cs="宋体"/>
                <w:color w:val="auto"/>
                <w:kern w:val="2"/>
                <w:sz w:val="24"/>
                <w:szCs w:val="24"/>
                <w:lang w:val="en-US" w:eastAsia="zh-CN" w:bidi="ar"/>
              </w:rPr>
              <w:t>，根据该区域已完钻钻井工程可知，该区域钻井工程压裂返排液返排率为</w:t>
            </w:r>
            <w:r>
              <w:rPr>
                <w:rFonts w:hint="default" w:ascii="Times New Roman" w:hAnsi="Times New Roman" w:eastAsia="宋体" w:cs="Times New Roman"/>
                <w:color w:val="auto"/>
                <w:kern w:val="2"/>
                <w:sz w:val="24"/>
                <w:szCs w:val="24"/>
                <w:lang w:val="en-US" w:eastAsia="zh-CN" w:bidi="ar"/>
              </w:rPr>
              <w:t>30%</w:t>
            </w:r>
            <w:r>
              <w:rPr>
                <w:rFonts w:hint="eastAsia" w:ascii="宋体" w:hAnsi="宋体" w:eastAsia="宋体" w:cs="宋体"/>
                <w:color w:val="auto"/>
                <w:kern w:val="2"/>
                <w:sz w:val="24"/>
                <w:szCs w:val="24"/>
                <w:lang w:val="en-US" w:eastAsia="zh-CN" w:bidi="ar"/>
              </w:rPr>
              <w:t>，则本项目压裂酸化废水量为</w:t>
            </w:r>
            <w:r>
              <w:rPr>
                <w:rFonts w:hint="eastAsia" w:cs="Times New Roman"/>
                <w:color w:val="auto"/>
                <w:kern w:val="2"/>
                <w:sz w:val="24"/>
                <w:szCs w:val="24"/>
                <w:lang w:val="en-US" w:eastAsia="zh-CN" w:bidi="ar"/>
              </w:rPr>
              <w:t>5775</w:t>
            </w:r>
            <w:r>
              <w:rPr>
                <w:rFonts w:hint="default" w:ascii="Times New Roman" w:hAnsi="Times New Roman" w:eastAsia="宋体" w:cs="Times New Roman"/>
                <w:color w:val="auto"/>
                <w:kern w:val="2"/>
                <w:sz w:val="24"/>
                <w:szCs w:val="24"/>
                <w:lang w:val="en-US" w:eastAsia="zh-CN" w:bidi="ar"/>
              </w:rPr>
              <w:t>m</w:t>
            </w:r>
            <w:r>
              <w:rPr>
                <w:rFonts w:hint="default" w:ascii="Times New Roman" w:hAnsi="Times New Roman" w:eastAsia="宋体" w:cs="Times New Roman"/>
                <w:color w:val="auto"/>
                <w:kern w:val="2"/>
                <w:sz w:val="24"/>
                <w:szCs w:val="24"/>
                <w:vertAlign w:val="superscript"/>
                <w:lang w:val="en-US" w:eastAsia="zh-CN" w:bidi="ar"/>
              </w:rPr>
              <w:t>3</w:t>
            </w:r>
            <w:r>
              <w:rPr>
                <w:rFonts w:hint="eastAsia" w:ascii="宋体" w:hAnsi="宋体" w:eastAsia="宋体" w:cs="宋体"/>
                <w:color w:val="auto"/>
                <w:kern w:val="2"/>
                <w:sz w:val="24"/>
                <w:szCs w:val="24"/>
                <w:lang w:val="en-US" w:eastAsia="zh-CN" w:bidi="ar"/>
              </w:rPr>
              <w:t>，压裂酸化废水输至放喷池；放喷分离气体经专用管线引至放喷池燃烧，测试放喷时间一般为</w:t>
            </w:r>
            <w:r>
              <w:rPr>
                <w:rFonts w:hint="default" w:ascii="Times New Roman" w:hAnsi="Times New Roman" w:eastAsia="宋体" w:cs="Times New Roman"/>
                <w:color w:val="auto"/>
                <w:kern w:val="2"/>
                <w:sz w:val="24"/>
                <w:szCs w:val="24"/>
                <w:lang w:val="en-US" w:eastAsia="zh-CN" w:bidi="ar"/>
              </w:rPr>
              <w:t>4h</w:t>
            </w:r>
            <w:r>
              <w:rPr>
                <w:rFonts w:hint="eastAsia" w:ascii="宋体" w:hAnsi="宋体" w:eastAsia="宋体" w:cs="宋体"/>
                <w:color w:val="auto"/>
                <w:kern w:val="2"/>
                <w:sz w:val="24"/>
                <w:szCs w:val="24"/>
                <w:lang w:val="en-US" w:eastAsia="zh-CN" w:bidi="ar"/>
              </w:rPr>
              <w:t>～</w:t>
            </w:r>
            <w:r>
              <w:rPr>
                <w:rFonts w:hint="default" w:ascii="Times New Roman" w:hAnsi="Times New Roman" w:eastAsia="宋体" w:cs="Times New Roman"/>
                <w:color w:val="auto"/>
                <w:kern w:val="2"/>
                <w:sz w:val="24"/>
                <w:szCs w:val="24"/>
                <w:lang w:val="en-US" w:eastAsia="zh-CN" w:bidi="ar"/>
              </w:rPr>
              <w:t>6h</w:t>
            </w:r>
            <w:r>
              <w:rPr>
                <w:rFonts w:hint="eastAsia" w:ascii="宋体" w:hAnsi="宋体" w:eastAsia="宋体" w:cs="宋体"/>
                <w:color w:val="auto"/>
                <w:kern w:val="2"/>
                <w:sz w:val="24"/>
                <w:szCs w:val="24"/>
                <w:lang w:val="en-US" w:eastAsia="zh-CN" w:bidi="ar"/>
              </w:rPr>
              <w:t>。</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eastAsia" w:ascii="宋体" w:hAnsi="宋体" w:eastAsia="宋体" w:cs="宋体"/>
                <w:color w:val="auto"/>
                <w:kern w:val="2"/>
                <w:sz w:val="24"/>
                <w:szCs w:val="24"/>
                <w:lang w:val="en-US" w:eastAsia="zh-CN" w:bidi="ar"/>
              </w:rPr>
              <w:t>压裂酸化返排的压裂酸化废水排至经防腐防渗处理的放喷池（放喷池预先储备部分碱性水用于中和返排液中的酸液，调节后</w:t>
            </w:r>
            <w:r>
              <w:rPr>
                <w:rFonts w:hint="default" w:ascii="Times New Roman" w:hAnsi="Times New Roman" w:eastAsia="宋体" w:cs="Times New Roman"/>
                <w:color w:val="auto"/>
                <w:kern w:val="2"/>
                <w:sz w:val="24"/>
                <w:szCs w:val="24"/>
                <w:lang w:val="en-US" w:eastAsia="zh-CN" w:bidi="ar"/>
              </w:rPr>
              <w:t>pH</w:t>
            </w:r>
            <w:r>
              <w:rPr>
                <w:rFonts w:hint="eastAsia" w:ascii="宋体" w:hAnsi="宋体" w:eastAsia="宋体" w:cs="宋体"/>
                <w:color w:val="auto"/>
                <w:kern w:val="2"/>
                <w:sz w:val="24"/>
                <w:szCs w:val="24"/>
                <w:lang w:val="en-US" w:eastAsia="zh-CN" w:bidi="ar"/>
              </w:rPr>
              <w:t>值范围</w:t>
            </w:r>
            <w:r>
              <w:rPr>
                <w:rFonts w:hint="default" w:ascii="Times New Roman" w:hAnsi="Times New Roman" w:eastAsia="宋体" w:cs="Times New Roman"/>
                <w:color w:val="auto"/>
                <w:kern w:val="2"/>
                <w:sz w:val="24"/>
                <w:szCs w:val="24"/>
                <w:lang w:val="en-US" w:eastAsia="zh-CN" w:bidi="ar"/>
              </w:rPr>
              <w:t>6.5</w:t>
            </w:r>
            <w:r>
              <w:rPr>
                <w:rFonts w:hint="eastAsia" w:ascii="宋体" w:hAnsi="宋体" w:eastAsia="宋体" w:cs="宋体"/>
                <w:color w:val="auto"/>
                <w:kern w:val="2"/>
                <w:sz w:val="24"/>
                <w:szCs w:val="24"/>
                <w:lang w:val="en-US" w:eastAsia="zh-CN" w:bidi="ar"/>
              </w:rPr>
              <w:t>～</w:t>
            </w:r>
            <w:r>
              <w:rPr>
                <w:rFonts w:hint="default" w:ascii="Times New Roman" w:hAnsi="Times New Roman" w:eastAsia="宋体" w:cs="Times New Roman"/>
                <w:color w:val="auto"/>
                <w:kern w:val="2"/>
                <w:sz w:val="24"/>
                <w:szCs w:val="24"/>
                <w:lang w:val="en-US" w:eastAsia="zh-CN" w:bidi="ar"/>
              </w:rPr>
              <w:t>7</w:t>
            </w:r>
            <w:r>
              <w:rPr>
                <w:rFonts w:hint="eastAsia" w:ascii="宋体" w:hAnsi="宋体" w:eastAsia="宋体" w:cs="宋体"/>
                <w:color w:val="auto"/>
                <w:kern w:val="2"/>
                <w:sz w:val="24"/>
                <w:szCs w:val="24"/>
                <w:lang w:val="en-US" w:eastAsia="zh-CN" w:bidi="ar"/>
              </w:rPr>
              <w:t>）中暂存，返排酸液不回用，由罐车运至</w:t>
            </w:r>
            <w:r>
              <w:rPr>
                <w:rFonts w:hint="eastAsia" w:ascii="宋体" w:hAnsi="宋体" w:cs="宋体"/>
                <w:color w:val="auto"/>
                <w:kern w:val="2"/>
                <w:sz w:val="24"/>
                <w:szCs w:val="24"/>
                <w:lang w:val="en-US" w:eastAsia="zh-CN" w:bidi="ar"/>
              </w:rPr>
              <w:t>赵家坝污水处理站</w:t>
            </w:r>
            <w:r>
              <w:rPr>
                <w:rFonts w:hint="eastAsia" w:ascii="宋体" w:hAnsi="宋体" w:eastAsia="宋体" w:cs="宋体"/>
                <w:color w:val="auto"/>
                <w:kern w:val="2"/>
                <w:sz w:val="24"/>
                <w:szCs w:val="24"/>
                <w:lang w:val="en-US" w:eastAsia="zh-CN" w:bidi="ar"/>
              </w:rPr>
              <w:t>处理达标后由罐车拉运至普光</w:t>
            </w:r>
            <w:r>
              <w:rPr>
                <w:rFonts w:hint="default" w:ascii="Times New Roman" w:hAnsi="Times New Roman" w:eastAsia="宋体" w:cs="Times New Roman"/>
                <w:color w:val="auto"/>
                <w:kern w:val="2"/>
                <w:sz w:val="24"/>
                <w:szCs w:val="24"/>
                <w:lang w:val="en-US" w:eastAsia="zh-CN" w:bidi="ar"/>
              </w:rPr>
              <w:t>3</w:t>
            </w:r>
            <w:r>
              <w:rPr>
                <w:rFonts w:hint="eastAsia" w:ascii="宋体" w:hAnsi="宋体" w:eastAsia="宋体" w:cs="宋体"/>
                <w:color w:val="auto"/>
                <w:kern w:val="2"/>
                <w:sz w:val="24"/>
                <w:szCs w:val="24"/>
                <w:lang w:val="en-US" w:eastAsia="zh-CN" w:bidi="ar"/>
              </w:rPr>
              <w:t>井等回注站回注。</w:t>
            </w:r>
          </w:p>
          <w:p>
            <w:pPr>
              <w:keepNext w:val="0"/>
              <w:keepLines w:val="0"/>
              <w:widowControl w:val="0"/>
              <w:suppressLineNumbers w:val="0"/>
              <w:spacing w:before="0" w:beforeAutospacing="0" w:after="0" w:afterAutospacing="0" w:line="360" w:lineRule="auto"/>
              <w:ind w:left="0" w:right="0"/>
              <w:jc w:val="both"/>
              <w:rPr>
                <w:rFonts w:hint="default" w:ascii="Times New Roman" w:hAnsi="Times New Roman" w:eastAsia="宋体" w:cs="Times New Roman"/>
                <w:color w:val="auto"/>
                <w:kern w:val="2"/>
                <w:sz w:val="24"/>
                <w:szCs w:val="24"/>
              </w:rPr>
            </w:pPr>
            <w:r>
              <w:rPr>
                <w:rFonts w:hint="default" w:ascii="Times New Roman" w:hAnsi="Times New Roman" w:eastAsia="宋体" w:cs="Times New Roman"/>
                <w:color w:val="auto"/>
                <w:kern w:val="2"/>
                <w:sz w:val="21"/>
                <w:szCs w:val="21"/>
                <w:lang w:val="en-US" w:eastAsia="zh-CN" w:bidi="ar"/>
              </w:rPr>
              <w:drawing>
                <wp:inline distT="0" distB="0" distL="114300" distR="114300">
                  <wp:extent cx="4752975" cy="2095500"/>
                  <wp:effectExtent l="0" t="0" r="9525" b="0"/>
                  <wp:docPr id="20"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3" descr="IMG_258"/>
                          <pic:cNvPicPr>
                            <a:picLocks noChangeAspect="1"/>
                          </pic:cNvPicPr>
                        </pic:nvPicPr>
                        <pic:blipFill>
                          <a:blip r:embed="rId16"/>
                          <a:stretch>
                            <a:fillRect/>
                          </a:stretch>
                        </pic:blipFill>
                        <pic:spPr>
                          <a:xfrm>
                            <a:off x="0" y="0"/>
                            <a:ext cx="4752975" cy="2095500"/>
                          </a:xfrm>
                          <a:prstGeom prst="rect">
                            <a:avLst/>
                          </a:prstGeom>
                          <a:noFill/>
                          <a:ln w="9525">
                            <a:noFill/>
                          </a:ln>
                        </pic:spPr>
                      </pic:pic>
                    </a:graphicData>
                  </a:graphic>
                </wp:inline>
              </w:drawing>
            </w:r>
            <w:r>
              <w:rPr>
                <w:rFonts w:hint="default" w:ascii="Times New Roman" w:hAnsi="Times New Roman" w:eastAsia="宋体" w:cs="Times New Roman"/>
                <w:color w:val="auto"/>
                <w:kern w:val="2"/>
                <w:sz w:val="24"/>
                <w:szCs w:val="24"/>
                <w:lang w:val="en-US" w:eastAsia="zh-CN" w:bidi="ar"/>
              </w:rPr>
              <w:t xml:space="preserve"> </w:t>
            </w:r>
          </w:p>
          <w:p>
            <w:pPr>
              <w:keepNext w:val="0"/>
              <w:keepLines w:val="0"/>
              <w:widowControl w:val="0"/>
              <w:suppressLineNumbers w:val="0"/>
              <w:spacing w:before="0" w:beforeAutospacing="0" w:after="0" w:afterAutospacing="0" w:line="360" w:lineRule="auto"/>
              <w:ind w:left="0" w:right="0" w:firstLine="480" w:firstLineChars="200"/>
              <w:jc w:val="center"/>
              <w:rPr>
                <w:rFonts w:hint="default" w:ascii="Times New Roman" w:hAnsi="Times New Roman" w:eastAsia="宋体" w:cs="Times New Roman"/>
                <w:color w:val="auto"/>
                <w:kern w:val="2"/>
                <w:sz w:val="24"/>
                <w:szCs w:val="24"/>
              </w:rPr>
            </w:pPr>
            <w:r>
              <w:rPr>
                <w:rFonts w:hint="eastAsia" w:ascii="宋体" w:hAnsi="宋体" w:eastAsia="宋体" w:cs="宋体"/>
                <w:color w:val="auto"/>
                <w:kern w:val="2"/>
                <w:sz w:val="24"/>
                <w:szCs w:val="24"/>
                <w:lang w:val="en-US" w:eastAsia="zh-CN" w:bidi="ar"/>
              </w:rPr>
              <w:t>图</w:t>
            </w:r>
            <w:r>
              <w:rPr>
                <w:rFonts w:hint="default" w:ascii="Times New Roman" w:hAnsi="Times New Roman" w:eastAsia="宋体" w:cs="Times New Roman"/>
                <w:color w:val="auto"/>
                <w:kern w:val="2"/>
                <w:sz w:val="24"/>
                <w:szCs w:val="24"/>
                <w:lang w:val="en-US" w:eastAsia="zh-CN" w:bidi="ar"/>
              </w:rPr>
              <w:t xml:space="preserve">2-8    </w:t>
            </w:r>
            <w:r>
              <w:rPr>
                <w:rFonts w:hint="eastAsia" w:ascii="宋体" w:hAnsi="宋体" w:eastAsia="宋体" w:cs="宋体"/>
                <w:color w:val="auto"/>
                <w:kern w:val="2"/>
                <w:sz w:val="24"/>
                <w:szCs w:val="24"/>
                <w:lang w:val="en-US" w:eastAsia="zh-CN" w:bidi="ar"/>
              </w:rPr>
              <w:t>压裂作业产污环节图</w:t>
            </w:r>
          </w:p>
          <w:p>
            <w:pPr>
              <w:keepNext w:val="0"/>
              <w:keepLines w:val="0"/>
              <w:widowControl w:val="0"/>
              <w:suppressLineNumbers w:val="0"/>
              <w:spacing w:before="0" w:beforeAutospacing="0" w:after="0" w:afterAutospacing="0" w:line="360" w:lineRule="auto"/>
              <w:ind w:left="0" w:right="0" w:firstLine="480" w:firstLineChars="200"/>
              <w:jc w:val="both"/>
              <w:rPr>
                <w:rFonts w:hint="default" w:ascii="宋体" w:hAnsi="宋体" w:eastAsia="宋体" w:cs="宋体"/>
                <w:color w:val="auto"/>
                <w:kern w:val="2"/>
                <w:sz w:val="24"/>
                <w:szCs w:val="24"/>
                <w:lang w:val="en-US" w:eastAsia="zh-CN" w:bidi="ar"/>
              </w:rPr>
            </w:pPr>
            <w:r>
              <w:rPr>
                <w:rFonts w:hint="eastAsia" w:ascii="宋体" w:hAnsi="宋体" w:eastAsia="宋体" w:cs="宋体"/>
                <w:color w:val="auto"/>
                <w:kern w:val="2"/>
                <w:sz w:val="24"/>
                <w:szCs w:val="24"/>
                <w:lang w:val="en-US" w:eastAsia="zh-CN" w:bidi="ar"/>
              </w:rPr>
              <w:t>（</w:t>
            </w:r>
            <w:r>
              <w:rPr>
                <w:rFonts w:hint="default" w:ascii="宋体" w:hAnsi="宋体" w:eastAsia="宋体" w:cs="宋体"/>
                <w:color w:val="auto"/>
                <w:kern w:val="2"/>
                <w:sz w:val="24"/>
                <w:szCs w:val="24"/>
                <w:lang w:val="en-US" w:eastAsia="zh-CN" w:bidi="ar"/>
              </w:rPr>
              <w:t>4</w:t>
            </w:r>
            <w:r>
              <w:rPr>
                <w:rFonts w:hint="eastAsia" w:ascii="宋体" w:hAnsi="宋体" w:eastAsia="宋体" w:cs="宋体"/>
                <w:color w:val="auto"/>
                <w:kern w:val="2"/>
                <w:sz w:val="24"/>
                <w:szCs w:val="24"/>
                <w:lang w:val="en-US" w:eastAsia="zh-CN" w:bidi="ar"/>
              </w:rPr>
              <w:t>）测试放喷</w:t>
            </w:r>
          </w:p>
          <w:p>
            <w:pPr>
              <w:keepNext w:val="0"/>
              <w:keepLines w:val="0"/>
              <w:widowControl w:val="0"/>
              <w:suppressLineNumbers w:val="0"/>
              <w:spacing w:before="0" w:beforeAutospacing="0" w:after="0" w:afterAutospacing="0" w:line="360" w:lineRule="auto"/>
              <w:ind w:left="0" w:right="0" w:firstLine="480" w:firstLineChars="200"/>
              <w:jc w:val="both"/>
              <w:rPr>
                <w:rFonts w:hint="eastAsia" w:ascii="宋体" w:hAnsi="宋体" w:eastAsia="宋体" w:cs="宋体"/>
                <w:color w:val="auto"/>
                <w:kern w:val="2"/>
                <w:sz w:val="24"/>
                <w:szCs w:val="24"/>
                <w:lang w:val="en-US" w:eastAsia="zh-CN" w:bidi="ar"/>
              </w:rPr>
            </w:pPr>
            <w:r>
              <w:rPr>
                <w:rFonts w:hint="eastAsia" w:ascii="宋体" w:hAnsi="宋体" w:eastAsia="宋体" w:cs="宋体"/>
                <w:color w:val="auto"/>
                <w:kern w:val="2"/>
                <w:sz w:val="24"/>
                <w:szCs w:val="24"/>
                <w:lang w:val="en-US" w:eastAsia="zh-CN" w:bidi="ar"/>
              </w:rPr>
              <w:t>为了解气井的产气量，在酸化作业后，需进行测试放喷。测试放喷是在射孔、酸化作业后，利用测试放喷专用管线将井内油气引至放喷池点火燃烧对油气井进行产量测试的过程。本工程目的层为茅口组二段，一般测试放喷时间约</w:t>
            </w:r>
            <w:r>
              <w:rPr>
                <w:rFonts w:hint="default" w:ascii="宋体" w:hAnsi="宋体" w:eastAsia="宋体" w:cs="宋体"/>
                <w:color w:val="auto"/>
                <w:kern w:val="2"/>
                <w:sz w:val="24"/>
                <w:szCs w:val="24"/>
                <w:lang w:val="en-US" w:eastAsia="zh-CN" w:bidi="ar"/>
              </w:rPr>
              <w:t>30</w:t>
            </w:r>
            <w:r>
              <w:rPr>
                <w:rFonts w:hint="eastAsia" w:ascii="宋体" w:hAnsi="宋体" w:eastAsia="宋体" w:cs="宋体"/>
                <w:color w:val="auto"/>
                <w:kern w:val="2"/>
                <w:sz w:val="24"/>
                <w:szCs w:val="24"/>
                <w:lang w:val="en-US" w:eastAsia="zh-CN" w:bidi="ar"/>
              </w:rPr>
              <w:t>天，依据测试气量，间歇性放喷，每次持续放喷时间约</w:t>
            </w:r>
            <w:r>
              <w:rPr>
                <w:rFonts w:hint="default" w:ascii="宋体" w:hAnsi="宋体" w:eastAsia="宋体" w:cs="宋体"/>
                <w:color w:val="auto"/>
                <w:kern w:val="2"/>
                <w:sz w:val="24"/>
                <w:szCs w:val="24"/>
                <w:lang w:val="en-US" w:eastAsia="zh-CN" w:bidi="ar"/>
              </w:rPr>
              <w:t>4</w:t>
            </w:r>
            <w:r>
              <w:rPr>
                <w:rFonts w:hint="eastAsia" w:ascii="宋体" w:hAnsi="宋体" w:eastAsia="宋体" w:cs="宋体"/>
                <w:color w:val="auto"/>
                <w:kern w:val="2"/>
                <w:sz w:val="24"/>
                <w:szCs w:val="24"/>
                <w:lang w:val="en-US" w:eastAsia="zh-CN" w:bidi="ar"/>
              </w:rPr>
              <w:t>～</w:t>
            </w:r>
            <w:r>
              <w:rPr>
                <w:rFonts w:hint="default" w:ascii="宋体" w:hAnsi="宋体" w:eastAsia="宋体" w:cs="宋体"/>
                <w:color w:val="auto"/>
                <w:kern w:val="2"/>
                <w:sz w:val="24"/>
                <w:szCs w:val="24"/>
                <w:lang w:val="en-US" w:eastAsia="zh-CN" w:bidi="ar"/>
              </w:rPr>
              <w:t>6h</w:t>
            </w:r>
            <w:r>
              <w:rPr>
                <w:rFonts w:hint="eastAsia" w:ascii="宋体" w:hAnsi="宋体" w:eastAsia="宋体" w:cs="宋体"/>
                <w:color w:val="auto"/>
                <w:kern w:val="2"/>
                <w:sz w:val="24"/>
                <w:szCs w:val="24"/>
                <w:lang w:val="en-US" w:eastAsia="zh-CN" w:bidi="ar"/>
              </w:rPr>
              <w:t>，废气排放属不连续排放。</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2.11.4完井搬迁</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若在勘探过程中，若该井不产油气或无工业开采价值，则将进行封井处理及完井后的设备搬迁工作。封井处理为全井段注入水泥封井，其中在可能的产气层段上部注入高标号水泥，形成水泥塞，封隔可能的工业气流产层。在封井井口套管头上安装丝扣法兰，并在井口周边修建围墙，围墙上设置醒目的警示标志，加以保护，防止人为破坏。完井测试结果若表明该井有工业开采价值，则在井口安装采气装置正常生产，地面采气工程应根据《关于进一步加强石油天然气行业环境影响评价管理的通知》（环办环评函﹝2019﹞910号）的相关规定另行开展环评。</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完井搬迁主要包括设备搬迁和设施拆除，设备搬迁完成后即对场地内设施进行拆除，如清除场地碎石、拆除硬化地面、清挖设备基础等。完井搬迁前钻后污染物和场地碎石、硬化地面及防渗等设施拆除废物应得到妥善处理，做到工完、料净、场地清，放弃的井场应尽可能地恢复其原来的土地利用状况或者按土地承包人的意愿转换土地用途（如保留水泥/硬地面作为谷场等）。建设方依法办理环保手续并按照钻井井场环保标准进行验收，验收合格方可交井，并对后续可能出现的环保问题负责。</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复垦后应满足《土地复垦质量控制标准》（TD/T1036-2013）中规定的要求，即：</w:t>
            </w:r>
          </w:p>
          <w:p>
            <w:pPr>
              <w:keepNext w:val="0"/>
              <w:keepLines w:val="0"/>
              <w:suppressLineNumbers w:val="0"/>
              <w:spacing w:before="0" w:beforeAutospacing="0" w:after="0" w:afterAutospacing="0" w:line="360" w:lineRule="auto"/>
              <w:ind w:left="0" w:right="0" w:firstLine="420"/>
              <w:rPr>
                <w:rFonts w:hint="default" w:ascii="Times New Roman" w:hAnsi="Times New Roman" w:cs="Times New Roman"/>
                <w:color w:val="auto"/>
                <w:kern w:val="0"/>
                <w:szCs w:val="21"/>
              </w:rPr>
            </w:pPr>
            <w:r>
              <w:rPr>
                <w:rFonts w:hint="default" w:ascii="Times New Roman" w:hAnsi="Times New Roman" w:cs="Times New Roman"/>
                <w:color w:val="auto"/>
                <w:sz w:val="24"/>
              </w:rPr>
              <w:t>旱地田面坡度不得超过25°。复垦地为水浇地、水田时，地面坡度不宜超过15°。有效土层厚度大于40cm，土壤具有较好的肥力，土壤环境质量符合《土壤环境质量农用地土壤污染风险管控标准（试行）》（GB15618-2018）规定的风险筛选值。</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6" w:hRule="atLeast"/>
          <w:jc w:val="center"/>
        </w:trPr>
        <w:tc>
          <w:tcPr>
            <w:tcW w:w="1124" w:type="dxa"/>
            <w:vAlign w:val="center"/>
          </w:tcPr>
          <w:p>
            <w:pPr>
              <w:pStyle w:val="161"/>
              <w:keepNext w:val="0"/>
              <w:keepLines w:val="0"/>
              <w:suppressLineNumbers w:val="0"/>
              <w:spacing w:before="0" w:beforeAutospacing="0" w:after="0" w:afterAutospacing="0" w:line="240" w:lineRule="auto"/>
              <w:ind w:left="0" w:right="0" w:firstLine="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其他</w:t>
            </w:r>
          </w:p>
        </w:tc>
        <w:tc>
          <w:tcPr>
            <w:tcW w:w="8098" w:type="dxa"/>
            <w:vAlign w:val="center"/>
          </w:tcPr>
          <w:p>
            <w:pPr>
              <w:pStyle w:val="38"/>
              <w:keepNext w:val="0"/>
              <w:keepLines w:val="0"/>
              <w:numPr>
                <w:ilvl w:val="1"/>
                <w:numId w:val="4"/>
              </w:numPr>
              <w:suppressLineNumbers w:val="0"/>
              <w:spacing w:before="0" w:beforeAutospacing="0" w:after="0" w:afterAutospacing="0" w:line="360" w:lineRule="auto"/>
              <w:ind w:right="0"/>
              <w:rPr>
                <w:rFonts w:hint="default" w:ascii="Times New Roman" w:hAnsi="Times New Roman" w:cs="Times New Roman"/>
                <w:b/>
                <w:color w:val="auto"/>
              </w:rPr>
            </w:pPr>
            <w:r>
              <w:rPr>
                <w:rFonts w:hint="default" w:ascii="Times New Roman" w:hAnsi="Times New Roman" w:cs="Times New Roman"/>
                <w:b/>
                <w:color w:val="auto"/>
              </w:rPr>
              <w:t>预计产气成分及无阻流量</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bookmarkStart w:id="17" w:name="_Hlk96085486"/>
            <w:bookmarkStart w:id="18" w:name="_Hlk96085440"/>
            <w:r>
              <w:rPr>
                <w:rFonts w:hint="default" w:ascii="Times New Roman" w:hAnsi="Times New Roman" w:cs="Times New Roman"/>
                <w:bCs/>
                <w:color w:val="auto"/>
                <w:sz w:val="24"/>
              </w:rPr>
              <w:t>项目位</w:t>
            </w:r>
            <w:r>
              <w:rPr>
                <w:rFonts w:hint="eastAsia" w:cs="Times New Roman"/>
                <w:bCs/>
                <w:color w:val="auto"/>
                <w:sz w:val="24"/>
                <w:lang w:eastAsia="zh-CN"/>
              </w:rPr>
              <w:t>于四川省达州市宣汉县普光镇双河社区石垭村</w:t>
            </w:r>
            <w:r>
              <w:rPr>
                <w:rFonts w:hint="default" w:ascii="Times New Roman" w:hAnsi="Times New Roman" w:cs="Times New Roman"/>
                <w:bCs/>
                <w:color w:val="auto"/>
                <w:sz w:val="24"/>
              </w:rPr>
              <w:t>，钻探目的层位为</w:t>
            </w:r>
            <w:r>
              <w:rPr>
                <w:rFonts w:hint="eastAsia" w:cs="Times New Roman"/>
                <w:bCs/>
                <w:color w:val="auto"/>
                <w:sz w:val="24"/>
                <w:lang w:eastAsia="zh-CN"/>
              </w:rPr>
              <w:t>*****</w:t>
            </w:r>
            <w:r>
              <w:rPr>
                <w:rFonts w:hint="default" w:ascii="Times New Roman" w:hAnsi="Times New Roman" w:cs="Times New Roman"/>
                <w:bCs/>
                <w:color w:val="auto"/>
                <w:sz w:val="24"/>
              </w:rPr>
              <w:t>，根据普光分公司天然气技术管理部提供的相关资料及项目钻井设计，邻井普陆</w:t>
            </w:r>
            <w:r>
              <w:rPr>
                <w:rFonts w:hint="eastAsia" w:cs="Times New Roman"/>
                <w:bCs/>
                <w:color w:val="auto"/>
                <w:sz w:val="24"/>
                <w:lang w:val="en-US" w:eastAsia="zh-CN"/>
              </w:rPr>
              <w:t>5</w:t>
            </w:r>
            <w:r>
              <w:rPr>
                <w:rFonts w:hint="default" w:ascii="Times New Roman" w:hAnsi="Times New Roman" w:cs="Times New Roman"/>
                <w:bCs/>
                <w:color w:val="auto"/>
                <w:sz w:val="24"/>
              </w:rPr>
              <w:t>等井在大安寨段以上地层钻井过程未监测到H</w:t>
            </w:r>
            <w:r>
              <w:rPr>
                <w:rFonts w:hint="default" w:ascii="Times New Roman" w:hAnsi="Times New Roman" w:cs="Times New Roman"/>
                <w:bCs/>
                <w:color w:val="auto"/>
                <w:sz w:val="24"/>
                <w:vertAlign w:val="subscript"/>
              </w:rPr>
              <w:t>2</w:t>
            </w:r>
            <w:r>
              <w:rPr>
                <w:rFonts w:hint="default" w:ascii="Times New Roman" w:hAnsi="Times New Roman" w:cs="Times New Roman"/>
                <w:bCs/>
                <w:color w:val="auto"/>
                <w:sz w:val="24"/>
              </w:rPr>
              <w:t>S异常，预测</w:t>
            </w:r>
            <w:r>
              <w:rPr>
                <w:rFonts w:hint="eastAsia" w:cs="Times New Roman"/>
                <w:bCs/>
                <w:color w:val="auto"/>
                <w:sz w:val="24"/>
                <w:lang w:eastAsia="zh-CN"/>
              </w:rPr>
              <w:t>普陆12HF井</w:t>
            </w:r>
            <w:r>
              <w:rPr>
                <w:rFonts w:hint="default" w:ascii="Times New Roman" w:hAnsi="Times New Roman" w:cs="Times New Roman"/>
                <w:bCs/>
                <w:color w:val="auto"/>
                <w:sz w:val="24"/>
              </w:rPr>
              <w:t>钻遇地层不含H</w:t>
            </w:r>
            <w:r>
              <w:rPr>
                <w:rFonts w:hint="default" w:ascii="Times New Roman" w:hAnsi="Times New Roman" w:cs="Times New Roman"/>
                <w:bCs/>
                <w:color w:val="auto"/>
                <w:sz w:val="24"/>
                <w:vertAlign w:val="subscript"/>
              </w:rPr>
              <w:t>2</w:t>
            </w:r>
            <w:r>
              <w:rPr>
                <w:rFonts w:hint="default" w:ascii="Times New Roman" w:hAnsi="Times New Roman" w:cs="Times New Roman"/>
                <w:bCs/>
                <w:color w:val="auto"/>
                <w:sz w:val="24"/>
              </w:rPr>
              <w:t>S，但钻探过程中仍须做好H</w:t>
            </w:r>
            <w:r>
              <w:rPr>
                <w:rFonts w:hint="default" w:ascii="Times New Roman" w:hAnsi="Times New Roman" w:cs="Times New Roman"/>
                <w:bCs/>
                <w:color w:val="auto"/>
                <w:sz w:val="24"/>
                <w:vertAlign w:val="subscript"/>
              </w:rPr>
              <w:t>2</w:t>
            </w:r>
            <w:r>
              <w:rPr>
                <w:rFonts w:hint="default" w:ascii="Times New Roman" w:hAnsi="Times New Roman" w:cs="Times New Roman"/>
                <w:bCs/>
                <w:color w:val="auto"/>
                <w:sz w:val="24"/>
              </w:rPr>
              <w:t>S监测。</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eastAsia="宋体" w:cs="Times New Roman"/>
                <w:bCs/>
                <w:color w:val="auto"/>
                <w:sz w:val="24"/>
                <w:lang w:val="en-US" w:eastAsia="zh-CN"/>
              </w:rPr>
            </w:pPr>
            <w:r>
              <w:rPr>
                <w:rFonts w:hint="default" w:ascii="Times New Roman" w:hAnsi="Times New Roman" w:cs="Times New Roman"/>
                <w:bCs/>
                <w:color w:val="auto"/>
                <w:sz w:val="24"/>
              </w:rPr>
              <w:t>分1井距铁山大断裂0.39km，断层沟通海相地层，在须家河组四段压裂测试后气样分析结果</w:t>
            </w:r>
            <w:r>
              <w:rPr>
                <w:rFonts w:hint="eastAsia" w:cs="Times New Roman"/>
                <w:bCs/>
                <w:color w:val="auto"/>
                <w:sz w:val="24"/>
                <w:lang w:val="en-US" w:eastAsia="zh-CN"/>
              </w:rPr>
              <w:t>未见H</w:t>
            </w:r>
            <w:r>
              <w:rPr>
                <w:rFonts w:hint="eastAsia" w:cs="Times New Roman"/>
                <w:bCs/>
                <w:color w:val="auto"/>
                <w:sz w:val="24"/>
                <w:vertAlign w:val="subscript"/>
                <w:lang w:val="en-US" w:eastAsia="zh-CN"/>
              </w:rPr>
              <w:t>2</w:t>
            </w:r>
            <w:r>
              <w:rPr>
                <w:rFonts w:hint="eastAsia" w:cs="Times New Roman"/>
                <w:bCs/>
                <w:color w:val="auto"/>
                <w:sz w:val="24"/>
                <w:lang w:val="en-US" w:eastAsia="zh-CN"/>
              </w:rPr>
              <w:t>S</w:t>
            </w:r>
            <w:r>
              <w:rPr>
                <w:rFonts w:hint="default" w:ascii="Times New Roman" w:hAnsi="Times New Roman" w:cs="Times New Roman"/>
                <w:bCs/>
                <w:color w:val="auto"/>
                <w:sz w:val="24"/>
              </w:rPr>
              <w:t>，邻区铁北1井雷口坡组</w:t>
            </w:r>
            <w:r>
              <w:rPr>
                <w:rFonts w:hint="eastAsia" w:cs="Times New Roman"/>
                <w:bCs/>
                <w:color w:val="auto"/>
                <w:sz w:val="24"/>
                <w:lang w:val="en-US" w:eastAsia="zh-CN"/>
              </w:rPr>
              <w:t>未见硫化氢。</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eastAsia" w:cs="Times New Roman"/>
                <w:bCs/>
                <w:color w:val="auto"/>
                <w:sz w:val="24"/>
                <w:lang w:val="en-US" w:eastAsia="zh-CN"/>
              </w:rPr>
              <w:t>区域内目的层</w:t>
            </w:r>
            <w:r>
              <w:rPr>
                <w:rFonts w:hint="default" w:ascii="Times New Roman" w:hAnsi="Times New Roman" w:cs="Times New Roman"/>
                <w:bCs/>
                <w:color w:val="auto"/>
                <w:sz w:val="24"/>
              </w:rPr>
              <w:t>天然气化验组分见表：</w:t>
            </w:r>
          </w:p>
          <w:p>
            <w:pPr>
              <w:pStyle w:val="19"/>
              <w:keepNext w:val="0"/>
              <w:keepLines w:val="0"/>
              <w:numPr>
                <w:ilvl w:val="0"/>
                <w:numId w:val="6"/>
              </w:numPr>
              <w:suppressLineNumbers w:val="0"/>
              <w:tabs>
                <w:tab w:val="left" w:pos="0"/>
                <w:tab w:val="left" w:pos="833"/>
              </w:tabs>
              <w:spacing w:before="0" w:beforeAutospacing="0" w:after="0" w:afterAutospacing="0" w:line="360" w:lineRule="auto"/>
              <w:ind w:left="0" w:right="0" w:firstLine="0"/>
              <w:jc w:val="center"/>
              <w:rPr>
                <w:rFonts w:hint="default" w:ascii="Times New Roman" w:hAnsi="Times New Roman" w:cs="Times New Roman"/>
                <w:b/>
                <w:bCs/>
                <w:color w:val="auto"/>
                <w:sz w:val="24"/>
                <w:szCs w:val="24"/>
              </w:rPr>
            </w:pPr>
            <w:r>
              <w:rPr>
                <w:rFonts w:hint="default" w:ascii="Times New Roman" w:hAnsi="Times New Roman" w:cs="Times New Roman"/>
                <w:b/>
                <w:bCs/>
                <w:color w:val="auto"/>
                <w:sz w:val="24"/>
                <w:szCs w:val="24"/>
              </w:rPr>
              <w:t xml:space="preserve"> 天然气组分预测</w:t>
            </w:r>
          </w:p>
          <w:bookmarkEnd w:id="17"/>
          <w:bookmarkEnd w:id="18"/>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16"/>
              <w:gridCol w:w="702"/>
              <w:gridCol w:w="782"/>
              <w:gridCol w:w="635"/>
              <w:gridCol w:w="581"/>
              <w:gridCol w:w="608"/>
              <w:gridCol w:w="589"/>
              <w:gridCol w:w="590"/>
              <w:gridCol w:w="671"/>
              <w:gridCol w:w="633"/>
              <w:gridCol w:w="105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16" w:type="dxa"/>
                  <w:vMerge w:val="restart"/>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井号</w:t>
                  </w:r>
                </w:p>
              </w:tc>
              <w:tc>
                <w:tcPr>
                  <w:tcW w:w="702" w:type="dxa"/>
                  <w:vMerge w:val="restart"/>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层位</w:t>
                  </w:r>
                </w:p>
              </w:tc>
              <w:tc>
                <w:tcPr>
                  <w:tcW w:w="782" w:type="dxa"/>
                  <w:vMerge w:val="restart"/>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天然气相对密度</w:t>
                  </w:r>
                </w:p>
              </w:tc>
              <w:tc>
                <w:tcPr>
                  <w:tcW w:w="4307" w:type="dxa"/>
                  <w:gridSpan w:val="7"/>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气体组分（摩尔百分比 %）</w:t>
                  </w:r>
                </w:p>
              </w:tc>
              <w:tc>
                <w:tcPr>
                  <w:tcW w:w="1054" w:type="dxa"/>
                  <w:vMerge w:val="restart"/>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硫化氢含量</w:t>
                  </w:r>
                  <w:r>
                    <w:rPr>
                      <w:rFonts w:hint="eastAsia" w:cs="Times New Roman"/>
                      <w:bCs/>
                      <w:color w:val="auto"/>
                      <w:szCs w:val="21"/>
                      <w:lang w:eastAsia="zh-CN"/>
                    </w:rPr>
                    <w:t>（</w:t>
                  </w:r>
                  <w:r>
                    <w:rPr>
                      <w:rFonts w:hint="eastAsia" w:cs="Times New Roman"/>
                      <w:bCs/>
                      <w:color w:val="auto"/>
                      <w:szCs w:val="21"/>
                      <w:lang w:val="en-US" w:eastAsia="zh-CN"/>
                    </w:rPr>
                    <w:t>m</w:t>
                  </w:r>
                  <w:r>
                    <w:rPr>
                      <w:rFonts w:hint="default" w:ascii="Times New Roman" w:hAnsi="Times New Roman" w:cs="Times New Roman"/>
                      <w:bCs/>
                      <w:color w:val="auto"/>
                      <w:szCs w:val="21"/>
                    </w:rPr>
                    <w:t>g/m</w:t>
                  </w:r>
                  <w:r>
                    <w:rPr>
                      <w:rFonts w:hint="default" w:ascii="Times New Roman" w:hAnsi="Times New Roman" w:cs="Times New Roman"/>
                      <w:bCs/>
                      <w:color w:val="auto"/>
                      <w:szCs w:val="21"/>
                      <w:vertAlign w:val="superscript"/>
                    </w:rPr>
                    <w:t>3</w:t>
                  </w:r>
                  <w:r>
                    <w:rPr>
                      <w:rFonts w:hint="eastAsia" w:cs="Times New Roman"/>
                      <w:bCs/>
                      <w:color w:val="auto"/>
                      <w:szCs w:val="21"/>
                      <w:vertAlign w:val="superscript"/>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16"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702"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782"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635"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甲烷</w:t>
                  </w:r>
                </w:p>
              </w:tc>
              <w:tc>
                <w:tcPr>
                  <w:tcW w:w="581"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乙烷</w:t>
                  </w:r>
                </w:p>
              </w:tc>
              <w:tc>
                <w:tcPr>
                  <w:tcW w:w="60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氢</w:t>
                  </w:r>
                </w:p>
              </w:tc>
              <w:tc>
                <w:tcPr>
                  <w:tcW w:w="589"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氮</w:t>
                  </w:r>
                </w:p>
              </w:tc>
              <w:tc>
                <w:tcPr>
                  <w:tcW w:w="590"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氦</w:t>
                  </w:r>
                </w:p>
              </w:tc>
              <w:tc>
                <w:tcPr>
                  <w:tcW w:w="671"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二氧化碳</w:t>
                  </w:r>
                </w:p>
              </w:tc>
              <w:tc>
                <w:tcPr>
                  <w:tcW w:w="633"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硫化氢</w:t>
                  </w:r>
                </w:p>
              </w:tc>
              <w:tc>
                <w:tcPr>
                  <w:tcW w:w="105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16"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cs="Times New Roman" w:eastAsiaTheme="minorEastAsia"/>
                      <w:color w:val="auto"/>
                      <w:kern w:val="2"/>
                      <w:sz w:val="18"/>
                      <w:szCs w:val="18"/>
                      <w:lang w:val="en-US" w:eastAsia="zh-CN" w:bidi="ar-SA"/>
                    </w:rPr>
                  </w:pPr>
                  <w:r>
                    <w:rPr>
                      <w:rFonts w:hint="eastAsia" w:ascii="Times New Roman" w:hAnsi="Times New Roman" w:cs="Times New Roman" w:eastAsiaTheme="minorEastAsia"/>
                      <w:color w:val="auto"/>
                      <w:sz w:val="18"/>
                      <w:szCs w:val="18"/>
                    </w:rPr>
                    <w:t>普</w:t>
                  </w:r>
                  <w:r>
                    <w:rPr>
                      <w:rFonts w:hint="default" w:ascii="Times New Roman" w:hAnsi="Times New Roman" w:cs="Times New Roman" w:eastAsiaTheme="minorEastAsia"/>
                      <w:color w:val="auto"/>
                      <w:sz w:val="18"/>
                      <w:szCs w:val="18"/>
                    </w:rPr>
                    <w:t>陆</w:t>
                  </w:r>
                  <w:r>
                    <w:rPr>
                      <w:rFonts w:hint="eastAsia" w:ascii="Times New Roman" w:hAnsi="Times New Roman" w:cs="Times New Roman" w:eastAsiaTheme="minorEastAsia"/>
                      <w:color w:val="auto"/>
                      <w:sz w:val="18"/>
                      <w:szCs w:val="18"/>
                    </w:rPr>
                    <w:t>5</w:t>
                  </w:r>
                </w:p>
              </w:tc>
              <w:tc>
                <w:tcPr>
                  <w:tcW w:w="702"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cs="Times New Roman" w:eastAsiaTheme="minorEastAsia"/>
                      <w:color w:val="auto"/>
                      <w:kern w:val="2"/>
                      <w:sz w:val="18"/>
                      <w:szCs w:val="18"/>
                      <w:lang w:val="en-US" w:eastAsia="zh-CN" w:bidi="ar-SA"/>
                    </w:rPr>
                  </w:pPr>
                  <w:r>
                    <w:rPr>
                      <w:rFonts w:hint="eastAsia" w:ascii="Times New Roman" w:hAnsi="Times New Roman" w:cs="Times New Roman" w:eastAsiaTheme="minorEastAsia"/>
                      <w:color w:val="auto"/>
                      <w:sz w:val="18"/>
                      <w:szCs w:val="18"/>
                    </w:rPr>
                    <w:t>千</w:t>
                  </w:r>
                  <w:r>
                    <w:rPr>
                      <w:rFonts w:hint="default" w:ascii="Times New Roman" w:hAnsi="Times New Roman" w:cs="Times New Roman" w:eastAsiaTheme="minorEastAsia"/>
                      <w:color w:val="auto"/>
                      <w:sz w:val="18"/>
                      <w:szCs w:val="18"/>
                    </w:rPr>
                    <w:t>一段</w:t>
                  </w:r>
                </w:p>
              </w:tc>
              <w:tc>
                <w:tcPr>
                  <w:tcW w:w="782"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635"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581"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608"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589"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590"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671"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633"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1054"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16" w:type="dxa"/>
                  <w:vMerge w:val="restart"/>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ascii="Times New Roman" w:hAnsi="Times New Roman" w:cs="Times New Roman" w:eastAsiaTheme="minorEastAsia"/>
                      <w:color w:val="auto"/>
                      <w:sz w:val="18"/>
                      <w:szCs w:val="18"/>
                    </w:rPr>
                    <w:t>分1</w:t>
                  </w:r>
                </w:p>
              </w:tc>
              <w:tc>
                <w:tcPr>
                  <w:tcW w:w="702"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eastAsiaTheme="minorEastAsia"/>
                      <w:color w:val="auto"/>
                      <w:sz w:val="18"/>
                      <w:szCs w:val="18"/>
                    </w:rPr>
                    <w:t>大安寨段</w:t>
                  </w:r>
                </w:p>
              </w:tc>
              <w:tc>
                <w:tcPr>
                  <w:tcW w:w="782"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635"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581"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608"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589"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590"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671"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633"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1054"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16" w:type="dxa"/>
                  <w:vMerge w:val="continue"/>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cs="Times New Roman" w:eastAsiaTheme="minorEastAsia"/>
                      <w:color w:val="auto"/>
                      <w:kern w:val="2"/>
                      <w:sz w:val="18"/>
                      <w:szCs w:val="18"/>
                      <w:lang w:val="en-US" w:eastAsia="zh-CN" w:bidi="ar-SA"/>
                    </w:rPr>
                  </w:pPr>
                </w:p>
              </w:tc>
              <w:tc>
                <w:tcPr>
                  <w:tcW w:w="702"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cs="Times New Roman" w:eastAsiaTheme="minorEastAsia"/>
                      <w:color w:val="auto"/>
                      <w:kern w:val="2"/>
                      <w:sz w:val="18"/>
                      <w:szCs w:val="18"/>
                      <w:lang w:val="en-US" w:eastAsia="zh-CN" w:bidi="ar-SA"/>
                    </w:rPr>
                  </w:pPr>
                  <w:r>
                    <w:rPr>
                      <w:rFonts w:hint="eastAsia" w:ascii="Times New Roman" w:hAnsi="Times New Roman" w:cs="Times New Roman"/>
                      <w:color w:val="auto"/>
                      <w:sz w:val="18"/>
                      <w:szCs w:val="18"/>
                    </w:rPr>
                    <w:t>须</w:t>
                  </w:r>
                  <w:r>
                    <w:rPr>
                      <w:rFonts w:hint="default" w:ascii="Times New Roman" w:hAnsi="Times New Roman" w:cs="Times New Roman"/>
                      <w:color w:val="auto"/>
                      <w:sz w:val="18"/>
                      <w:szCs w:val="18"/>
                    </w:rPr>
                    <w:t>四</w:t>
                  </w:r>
                  <w:r>
                    <w:rPr>
                      <w:rFonts w:hint="eastAsia" w:ascii="Times New Roman" w:hAnsi="Times New Roman" w:cs="Times New Roman"/>
                      <w:color w:val="auto"/>
                      <w:sz w:val="18"/>
                      <w:szCs w:val="18"/>
                      <w:vertAlign w:val="superscript"/>
                    </w:rPr>
                    <w:t>3</w:t>
                  </w:r>
                  <w:r>
                    <w:rPr>
                      <w:rFonts w:hint="eastAsia" w:ascii="Times New Roman" w:hAnsi="Times New Roman" w:cs="Times New Roman"/>
                      <w:color w:val="auto"/>
                      <w:sz w:val="18"/>
                      <w:szCs w:val="18"/>
                    </w:rPr>
                    <w:t>段</w:t>
                  </w:r>
                </w:p>
              </w:tc>
              <w:tc>
                <w:tcPr>
                  <w:tcW w:w="782"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635"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581"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608"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589"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590"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671"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633"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eastAsia"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1054"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eastAsia"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16"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ascii="Times New Roman" w:hAnsi="Times New Roman" w:cs="Times New Roman" w:eastAsiaTheme="minorEastAsia"/>
                      <w:color w:val="auto"/>
                      <w:sz w:val="18"/>
                      <w:szCs w:val="18"/>
                    </w:rPr>
                    <w:t>分4</w:t>
                  </w:r>
                </w:p>
              </w:tc>
              <w:tc>
                <w:tcPr>
                  <w:tcW w:w="702"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ascii="Times New Roman" w:hAnsi="Times New Roman" w:cs="Times New Roman"/>
                      <w:color w:val="auto"/>
                      <w:sz w:val="18"/>
                      <w:szCs w:val="18"/>
                    </w:rPr>
                    <w:t>须</w:t>
                  </w:r>
                  <w:r>
                    <w:rPr>
                      <w:rFonts w:hint="default" w:ascii="Times New Roman" w:hAnsi="Times New Roman" w:cs="Times New Roman"/>
                      <w:color w:val="auto"/>
                      <w:sz w:val="18"/>
                      <w:szCs w:val="18"/>
                    </w:rPr>
                    <w:t>二</w:t>
                  </w:r>
                  <w:r>
                    <w:rPr>
                      <w:rFonts w:hint="default" w:ascii="Times New Roman" w:hAnsi="Times New Roman" w:cs="Times New Roman"/>
                      <w:color w:val="auto"/>
                      <w:sz w:val="18"/>
                      <w:szCs w:val="18"/>
                      <w:vertAlign w:val="superscript"/>
                    </w:rPr>
                    <w:t>3</w:t>
                  </w:r>
                  <w:r>
                    <w:rPr>
                      <w:rFonts w:hint="eastAsia" w:ascii="Times New Roman" w:hAnsi="Times New Roman" w:cs="Times New Roman"/>
                      <w:color w:val="auto"/>
                      <w:sz w:val="18"/>
                      <w:szCs w:val="18"/>
                    </w:rPr>
                    <w:t>段</w:t>
                  </w:r>
                </w:p>
              </w:tc>
              <w:tc>
                <w:tcPr>
                  <w:tcW w:w="782"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635"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581"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608"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589"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590"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671"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633"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eastAsia"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c>
                <w:tcPr>
                  <w:tcW w:w="1054" w:type="dxa"/>
                  <w:tcBorders>
                    <w:tl2br w:val="nil"/>
                    <w:tr2bl w:val="nil"/>
                  </w:tcBorders>
                  <w:shd w:val="clear" w:color="000000" w:fill="FFFFFF"/>
                  <w:vAlign w:val="center"/>
                </w:tcPr>
                <w:p>
                  <w:pPr>
                    <w:keepNext w:val="0"/>
                    <w:keepLines w:val="0"/>
                    <w:suppressLineNumbers w:val="0"/>
                    <w:adjustRightInd w:val="0"/>
                    <w:snapToGrid w:val="0"/>
                    <w:spacing w:before="0" w:beforeAutospacing="0" w:after="0" w:afterAutospacing="0" w:line="200" w:lineRule="atLeast"/>
                    <w:ind w:left="0" w:right="0"/>
                    <w:jc w:val="center"/>
                    <w:rPr>
                      <w:rFonts w:hint="default" w:ascii="Times New Roman" w:hAnsi="Times New Roman" w:eastAsia="宋体" w:cs="Times New Roman"/>
                      <w:color w:val="auto"/>
                      <w:kern w:val="2"/>
                      <w:sz w:val="18"/>
                      <w:szCs w:val="18"/>
                      <w:lang w:val="en-US" w:eastAsia="zh-CN" w:bidi="ar-SA"/>
                    </w:rPr>
                  </w:pPr>
                  <w:r>
                    <w:rPr>
                      <w:rFonts w:hint="eastAsia" w:cs="Times New Roman"/>
                      <w:bCs/>
                      <w:color w:val="auto"/>
                      <w:sz w:val="21"/>
                      <w:szCs w:val="21"/>
                      <w:lang w:val="en-US" w:eastAsia="zh-CN"/>
                    </w:rPr>
                    <w:t>*</w:t>
                  </w:r>
                </w:p>
              </w:tc>
            </w:tr>
          </w:tbl>
          <w:p>
            <w:pPr>
              <w:pStyle w:val="161"/>
              <w:keepNext w:val="0"/>
              <w:keepLines w:val="0"/>
              <w:suppressLineNumbers w:val="0"/>
              <w:spacing w:before="0" w:beforeAutospacing="0" w:after="0" w:afterAutospacing="0" w:line="360" w:lineRule="auto"/>
              <w:ind w:left="0" w:right="0" w:firstLine="0"/>
              <w:rPr>
                <w:rFonts w:hint="default" w:ascii="Times New Roman" w:hAnsi="Times New Roman" w:cs="Times New Roman"/>
                <w:bCs/>
                <w:color w:val="auto"/>
                <w:sz w:val="21"/>
                <w:szCs w:val="21"/>
              </w:rPr>
            </w:pPr>
          </w:p>
        </w:tc>
      </w:tr>
    </w:tbl>
    <w:p>
      <w:pPr>
        <w:pStyle w:val="38"/>
        <w:jc w:val="center"/>
        <w:outlineLvl w:val="0"/>
        <w:rPr>
          <w:rFonts w:hint="default" w:ascii="Times New Roman" w:hAnsi="Times New Roman" w:eastAsia="仿宋_GB2312" w:cs="Times New Roman"/>
          <w:b/>
          <w:bCs/>
          <w:color w:val="auto"/>
          <w:sz w:val="21"/>
          <w:szCs w:val="21"/>
        </w:rPr>
        <w:sectPr>
          <w:pgSz w:w="11906" w:h="16838"/>
          <w:pgMar w:top="1417" w:right="1417" w:bottom="1417" w:left="1701" w:header="851" w:footer="1077" w:gutter="0"/>
          <w:pgBorders>
            <w:top w:val="none" w:sz="0" w:space="0"/>
            <w:left w:val="none" w:sz="0" w:space="0"/>
            <w:bottom w:val="none" w:sz="0" w:space="0"/>
            <w:right w:val="none" w:sz="0" w:space="0"/>
          </w:pgBorders>
          <w:cols w:space="720" w:num="1"/>
          <w:docGrid w:linePitch="312" w:charSpace="0"/>
        </w:sectPr>
      </w:pPr>
    </w:p>
    <w:p>
      <w:pPr>
        <w:pStyle w:val="38"/>
        <w:jc w:val="center"/>
        <w:outlineLvl w:val="0"/>
        <w:rPr>
          <w:rFonts w:hint="default" w:ascii="Times New Roman" w:hAnsi="Times New Roman" w:eastAsia="黑体" w:cs="Times New Roman"/>
          <w:snapToGrid w:val="0"/>
          <w:color w:val="auto"/>
          <w:sz w:val="28"/>
          <w:szCs w:val="28"/>
        </w:rPr>
      </w:pPr>
      <w:r>
        <w:rPr>
          <w:rFonts w:hint="default" w:ascii="Times New Roman" w:hAnsi="Times New Roman" w:eastAsia="黑体" w:cs="Times New Roman"/>
          <w:snapToGrid w:val="0"/>
          <w:color w:val="auto"/>
          <w:sz w:val="28"/>
          <w:szCs w:val="28"/>
        </w:rPr>
        <w:t>三、生态环境现状、保护目标及评价标准</w:t>
      </w:r>
    </w:p>
    <w:tbl>
      <w:tblPr>
        <w:tblStyle w:val="44"/>
        <w:tblW w:w="915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04"/>
        <w:gridCol w:w="825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813" w:hRule="atLeast"/>
          <w:jc w:val="center"/>
        </w:trPr>
        <w:tc>
          <w:tcPr>
            <w:tcW w:w="904"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生态环境现状</w:t>
            </w:r>
          </w:p>
        </w:tc>
        <w:tc>
          <w:tcPr>
            <w:tcW w:w="8253" w:type="dxa"/>
            <w:vAlign w:val="center"/>
          </w:tcPr>
          <w:p>
            <w:pPr>
              <w:keepNext w:val="0"/>
              <w:keepLines w:val="0"/>
              <w:widowControl w:val="0"/>
              <w:suppressLineNumbers w:val="0"/>
              <w:adjustRightInd w:val="0"/>
              <w:snapToGrid w:val="0"/>
              <w:spacing w:before="0" w:beforeAutospacing="0" w:after="0" w:afterAutospacing="0" w:line="360" w:lineRule="auto"/>
              <w:ind w:left="0" w:right="0"/>
              <w:jc w:val="both"/>
              <w:rPr>
                <w:rFonts w:hint="default" w:ascii="Times New Roman" w:hAnsi="Times New Roman" w:eastAsia="宋体" w:cs="Times New Roman"/>
                <w:b/>
                <w:bCs/>
                <w:color w:val="auto"/>
                <w:kern w:val="0"/>
                <w:sz w:val="24"/>
                <w:szCs w:val="24"/>
              </w:rPr>
            </w:pPr>
            <w:r>
              <w:rPr>
                <w:rFonts w:hint="default" w:ascii="Times New Roman" w:hAnsi="Times New Roman" w:eastAsia="宋体" w:cs="Times New Roman"/>
                <w:b/>
                <w:bCs/>
                <w:color w:val="auto"/>
                <w:kern w:val="0"/>
                <w:sz w:val="24"/>
                <w:szCs w:val="24"/>
                <w:lang w:val="en-US" w:eastAsia="zh-CN" w:bidi="ar"/>
              </w:rPr>
              <w:t>3.1生态环境</w:t>
            </w:r>
          </w:p>
          <w:p>
            <w:pPr>
              <w:keepNext w:val="0"/>
              <w:keepLines w:val="0"/>
              <w:widowControl w:val="0"/>
              <w:suppressLineNumbers w:val="0"/>
              <w:adjustRightInd w:val="0"/>
              <w:snapToGrid w:val="0"/>
              <w:spacing w:before="0" w:beforeAutospacing="0" w:after="0" w:afterAutospacing="0" w:line="360" w:lineRule="auto"/>
              <w:ind w:left="0" w:right="0"/>
              <w:jc w:val="both"/>
              <w:rPr>
                <w:rFonts w:hint="default" w:ascii="Times New Roman" w:hAnsi="Times New Roman" w:eastAsia="宋体" w:cs="Times New Roman"/>
                <w:b/>
                <w:bCs/>
                <w:color w:val="auto"/>
                <w:kern w:val="0"/>
                <w:sz w:val="24"/>
                <w:szCs w:val="24"/>
              </w:rPr>
            </w:pPr>
            <w:r>
              <w:rPr>
                <w:rFonts w:hint="default" w:ascii="Times New Roman" w:hAnsi="Times New Roman" w:eastAsia="宋体" w:cs="Times New Roman"/>
                <w:b/>
                <w:bCs/>
                <w:color w:val="auto"/>
                <w:kern w:val="0"/>
                <w:sz w:val="24"/>
                <w:szCs w:val="24"/>
                <w:lang w:val="en-US" w:eastAsia="zh-CN" w:bidi="ar"/>
              </w:rPr>
              <w:t>3.1.1主体功能区划</w:t>
            </w:r>
          </w:p>
          <w:p>
            <w:pPr>
              <w:keepNext w:val="0"/>
              <w:keepLines w:val="0"/>
              <w:widowControl w:val="0"/>
              <w:suppressLineNumbers w:val="0"/>
              <w:autoSpaceDE w:val="0"/>
              <w:autoSpaceDN/>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b/>
                <w:bCs/>
                <w:color w:val="auto"/>
                <w:kern w:val="0"/>
                <w:sz w:val="24"/>
                <w:szCs w:val="24"/>
              </w:rPr>
            </w:pPr>
            <w:r>
              <w:rPr>
                <w:rFonts w:hint="default" w:ascii="Times New Roman" w:hAnsi="Times New Roman" w:eastAsia="宋体" w:cs="Times New Roman"/>
                <w:color w:val="auto"/>
                <w:kern w:val="2"/>
                <w:sz w:val="24"/>
                <w:szCs w:val="24"/>
                <w:lang w:val="en-US" w:eastAsia="zh-CN" w:bidi="ar"/>
              </w:rPr>
              <w:t>根据《四川省主体功能区划》，宣汉县属于点状开发城镇区域，该区域主要包括与成都 平原地区相连的农产品主产区以及省级重点生态功能区的14个县的县城镇及重点镇，共0.06万平方公里，该区域为国家层面的重点开发区域；与川南、川东北、攀西地区相连的农产品主产区以及省级重点生态功能区的36个县的县城镇及重点镇，共0.16万平方公里，该区域为省级的重点开发区域。发展方向：在保障农产品供给和保护生态环境的前提下，适度推进工业化城镇化开发，点状开发优势矿产、水能资源，促进资源加工转化，推进清洁能源、生态农业、生态旅游、优势矿产等优势特色产业发展，促进产业和人口适度集中集约布局，加强县城和重点镇公共服务设施建设，完善公共服务和居住功能。</w:t>
            </w:r>
          </w:p>
          <w:p>
            <w:pPr>
              <w:keepNext w:val="0"/>
              <w:keepLines w:val="0"/>
              <w:widowControl w:val="0"/>
              <w:suppressLineNumbers w:val="0"/>
              <w:adjustRightInd w:val="0"/>
              <w:snapToGrid w:val="0"/>
              <w:spacing w:before="0" w:beforeAutospacing="0" w:after="0" w:afterAutospacing="0" w:line="360" w:lineRule="auto"/>
              <w:ind w:left="0" w:right="0"/>
              <w:jc w:val="both"/>
              <w:rPr>
                <w:rFonts w:hint="default" w:ascii="Times New Roman" w:hAnsi="Times New Roman" w:eastAsia="宋体" w:cs="Times New Roman"/>
                <w:b/>
                <w:bCs/>
                <w:color w:val="auto"/>
                <w:kern w:val="0"/>
                <w:sz w:val="24"/>
                <w:szCs w:val="24"/>
              </w:rPr>
            </w:pPr>
            <w:r>
              <w:rPr>
                <w:rFonts w:hint="default" w:ascii="Times New Roman" w:hAnsi="Times New Roman" w:eastAsia="宋体" w:cs="Times New Roman"/>
                <w:b/>
                <w:bCs/>
                <w:color w:val="auto"/>
                <w:kern w:val="0"/>
                <w:sz w:val="24"/>
                <w:szCs w:val="24"/>
                <w:lang w:val="en-US" w:eastAsia="zh-CN" w:bidi="ar"/>
              </w:rPr>
              <w:t>3.1.2生态功能区划</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default" w:ascii="Times New Roman" w:hAnsi="Times New Roman" w:eastAsia="宋体" w:cs="Times New Roman"/>
                <w:color w:val="auto"/>
                <w:kern w:val="2"/>
                <w:sz w:val="24"/>
                <w:szCs w:val="24"/>
                <w:lang w:val="en-US" w:eastAsia="zh-CN" w:bidi="ar"/>
              </w:rPr>
              <w:t>根据《四川省生态功能区划》，项目位于I四川盆地亚热带湿润气候生态区，Ⅰ-2盆中丘陵农林复合生态区，Ⅰ-2-1盆北深丘农林业与土壤保持生态功能区。典型生态系统属于农田、城市、森林生态系统，主要生态问题为水土流失较严重，易发生滑坡，生物多样性及森林资源保护有待加强。</w:t>
            </w:r>
          </w:p>
          <w:p>
            <w:pPr>
              <w:keepNext w:val="0"/>
              <w:keepLines w:val="0"/>
              <w:widowControl w:val="0"/>
              <w:suppressLineNumbers w:val="0"/>
              <w:adjustRightInd w:val="0"/>
              <w:snapToGrid w:val="0"/>
              <w:spacing w:before="0" w:beforeAutospacing="0" w:after="0" w:afterAutospacing="0" w:line="360" w:lineRule="auto"/>
              <w:ind w:left="0" w:right="0"/>
              <w:jc w:val="both"/>
              <w:rPr>
                <w:rFonts w:hint="default" w:ascii="Times New Roman" w:hAnsi="Times New Roman" w:eastAsia="宋体" w:cs="Times New Roman"/>
                <w:b/>
                <w:bCs/>
                <w:color w:val="auto"/>
                <w:kern w:val="2"/>
                <w:sz w:val="24"/>
                <w:szCs w:val="24"/>
              </w:rPr>
            </w:pPr>
            <w:r>
              <w:rPr>
                <w:rFonts w:hint="default" w:ascii="Times New Roman" w:hAnsi="Times New Roman" w:eastAsia="宋体" w:cs="Times New Roman"/>
                <w:b/>
                <w:bCs/>
                <w:color w:val="auto"/>
                <w:kern w:val="2"/>
                <w:sz w:val="24"/>
                <w:szCs w:val="24"/>
                <w:lang w:val="en-US" w:eastAsia="zh-CN" w:bidi="ar"/>
              </w:rPr>
              <w:t>3.1.3生态现状</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default" w:ascii="Times New Roman" w:hAnsi="Times New Roman" w:eastAsia="宋体" w:cs="Times New Roman"/>
                <w:color w:val="auto"/>
                <w:kern w:val="2"/>
                <w:sz w:val="24"/>
                <w:szCs w:val="24"/>
                <w:lang w:val="en-US" w:eastAsia="zh-CN" w:bidi="ar"/>
              </w:rPr>
              <w:t>区域植被人为干扰较为强烈，主要以农业生产为主，系统中物种种类少，营养层次简单，尚未发现珍稀动植物。场地内以适宜灌木林地和荒地生长的次生植被为主，主要包括马尾松灌丛和次生柏木、杉木等为主，荒地内近年失耕，无农作物生长。项目占地范围内不涉及国家级重点保护野生植物、四川省重点保护野生植物。</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default" w:ascii="Times New Roman" w:hAnsi="Times New Roman" w:eastAsia="宋体" w:cs="Times New Roman"/>
                <w:color w:val="auto"/>
                <w:kern w:val="2"/>
                <w:sz w:val="24"/>
                <w:szCs w:val="24"/>
                <w:lang w:val="en-US" w:eastAsia="zh-CN" w:bidi="ar"/>
              </w:rPr>
              <w:t>（1）土地利用现状</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default" w:ascii="Times New Roman" w:hAnsi="Times New Roman" w:eastAsia="宋体" w:cs="Times New Roman"/>
                <w:color w:val="auto"/>
                <w:kern w:val="2"/>
                <w:sz w:val="24"/>
                <w:szCs w:val="24"/>
                <w:lang w:val="en-US" w:eastAsia="zh-CN" w:bidi="ar"/>
              </w:rPr>
              <w:t>项目占地及周边500m范围主要为水田、旱地、林地。本项目总占地面积</w:t>
            </w:r>
            <w:r>
              <w:rPr>
                <w:rFonts w:hint="eastAsia" w:cs="Times New Roman"/>
                <w:color w:val="auto"/>
                <w:kern w:val="2"/>
                <w:sz w:val="24"/>
                <w:szCs w:val="24"/>
                <w:lang w:val="en-US" w:eastAsia="zh-CN" w:bidi="ar"/>
              </w:rPr>
              <w:t>22420</w:t>
            </w:r>
            <w:r>
              <w:rPr>
                <w:rFonts w:hint="default" w:ascii="Times New Roman" w:hAnsi="Times New Roman" w:eastAsia="宋体" w:cs="Times New Roman"/>
                <w:color w:val="auto"/>
                <w:kern w:val="2"/>
                <w:sz w:val="24"/>
                <w:szCs w:val="24"/>
                <w:lang w:val="en-US" w:eastAsia="zh-CN" w:bidi="ar"/>
              </w:rPr>
              <w:t>m</w:t>
            </w:r>
            <w:r>
              <w:rPr>
                <w:rFonts w:hint="default" w:ascii="Times New Roman" w:hAnsi="Times New Roman" w:eastAsia="宋体" w:cs="Times New Roman"/>
                <w:color w:val="auto"/>
                <w:kern w:val="2"/>
                <w:sz w:val="24"/>
                <w:szCs w:val="24"/>
                <w:vertAlign w:val="superscript"/>
                <w:lang w:val="en-US" w:eastAsia="zh-CN" w:bidi="ar"/>
              </w:rPr>
              <w:t>2</w:t>
            </w:r>
            <w:r>
              <w:rPr>
                <w:rFonts w:hint="default" w:ascii="Times New Roman" w:hAnsi="Times New Roman" w:eastAsia="宋体" w:cs="Times New Roman"/>
                <w:color w:val="auto"/>
                <w:kern w:val="2"/>
                <w:sz w:val="24"/>
                <w:szCs w:val="24"/>
                <w:lang w:val="en-US" w:eastAsia="zh-CN" w:bidi="ar"/>
              </w:rPr>
              <w:t>，项目占地类型为水田、旱地，</w:t>
            </w:r>
            <w:r>
              <w:rPr>
                <w:rFonts w:hint="eastAsia" w:cs="Times New Roman"/>
                <w:color w:val="auto"/>
                <w:kern w:val="2"/>
                <w:sz w:val="24"/>
                <w:szCs w:val="24"/>
                <w:lang w:val="en-US" w:eastAsia="zh-CN" w:bidi="ar"/>
              </w:rPr>
              <w:t>项目不涉及占用</w:t>
            </w:r>
            <w:r>
              <w:rPr>
                <w:rFonts w:hint="default" w:ascii="Times New Roman" w:hAnsi="Times New Roman" w:eastAsia="宋体" w:cs="Times New Roman"/>
                <w:color w:val="auto"/>
                <w:kern w:val="2"/>
                <w:sz w:val="24"/>
                <w:szCs w:val="24"/>
                <w:lang w:val="en-US" w:eastAsia="zh-CN" w:bidi="ar"/>
              </w:rPr>
              <w:t>永久基本农田。</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lang w:val="en-US"/>
              </w:rPr>
            </w:pPr>
            <w:r>
              <w:rPr>
                <w:rFonts w:hint="default" w:ascii="Times New Roman" w:hAnsi="Times New Roman" w:eastAsia="宋体" w:cs="Times New Roman"/>
                <w:color w:val="auto"/>
                <w:kern w:val="2"/>
                <w:sz w:val="24"/>
                <w:szCs w:val="24"/>
                <w:lang w:val="en-US" w:eastAsia="zh-CN" w:bidi="ar"/>
              </w:rPr>
              <w:t>评价区域土地利用现状基于高分辨率遥感影像利用GIS软件进行人工目视解译，遥感影像采用区域2022年9月0.5m分辨率卫星影像作为解译基础底图，通过人工目视判读遥感影像及现场调查核实，将评价范围内的土地利用类型按《土地利用现状分类》（GB/T 21010-2017）进行分类，形成土地利用现状矢量数据库，并以二级类型作为基础制图单位制作评价区域土地利用现状图。</w:t>
            </w:r>
            <w:r>
              <w:rPr>
                <w:rFonts w:hint="eastAsia" w:cs="Times New Roman"/>
                <w:color w:val="auto"/>
                <w:kern w:val="2"/>
                <w:sz w:val="24"/>
                <w:szCs w:val="24"/>
                <w:lang w:val="en-US" w:eastAsia="zh-CN" w:bidi="ar"/>
              </w:rPr>
              <w:t>详见土地利用现状图。</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default" w:ascii="Times New Roman" w:hAnsi="Times New Roman" w:eastAsia="宋体" w:cs="Times New Roman"/>
                <w:color w:val="auto"/>
                <w:kern w:val="2"/>
                <w:sz w:val="24"/>
                <w:szCs w:val="24"/>
                <w:lang w:val="en-US" w:eastAsia="zh-CN" w:bidi="ar"/>
              </w:rPr>
              <w:t>（2）植被现状</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lang w:val="en-US" w:eastAsia="zh-CN" w:bidi="ar"/>
              </w:rPr>
            </w:pPr>
            <w:r>
              <w:rPr>
                <w:rFonts w:hint="default" w:ascii="Times New Roman" w:hAnsi="Times New Roman" w:eastAsia="宋体" w:cs="Times New Roman"/>
                <w:color w:val="auto"/>
                <w:kern w:val="2"/>
                <w:sz w:val="24"/>
                <w:szCs w:val="24"/>
                <w:lang w:val="en-US" w:eastAsia="zh-CN" w:bidi="ar"/>
              </w:rPr>
              <w:t>项目占地及周边500m范围主要为耕地和少量林地，林地主要分布在井场外</w:t>
            </w:r>
            <w:r>
              <w:rPr>
                <w:rFonts w:hint="default" w:ascii="Times New Roman" w:hAnsi="Times New Roman" w:cs="Times New Roman"/>
                <w:color w:val="auto"/>
                <w:kern w:val="2"/>
                <w:sz w:val="24"/>
                <w:szCs w:val="24"/>
                <w:lang w:val="en-US" w:eastAsia="zh-CN" w:bidi="ar"/>
              </w:rPr>
              <w:t>北侧、南侧</w:t>
            </w:r>
            <w:r>
              <w:rPr>
                <w:rFonts w:hint="default" w:ascii="Times New Roman" w:hAnsi="Times New Roman" w:eastAsia="宋体" w:cs="Times New Roman"/>
                <w:color w:val="auto"/>
                <w:kern w:val="2"/>
                <w:sz w:val="24"/>
                <w:szCs w:val="24"/>
                <w:lang w:val="en-US" w:eastAsia="zh-CN" w:bidi="ar"/>
              </w:rPr>
              <w:t>，项目用地不占用公益林和天然林。占地周边林地乔木主要为柏树等，灌木以黄荆及常绿灌丛等为主，草本植物以禾草、蕨类为主。未见珍稀保护植物和古树名木。</w:t>
            </w:r>
          </w:p>
          <w:p>
            <w:pPr>
              <w:keepNext w:val="0"/>
              <w:keepLines w:val="0"/>
              <w:widowControl w:val="0"/>
              <w:suppressLineNumbers w:val="0"/>
              <w:adjustRightInd w:val="0"/>
              <w:snapToGrid w:val="0"/>
              <w:spacing w:before="0" w:beforeAutospacing="0" w:after="0" w:afterAutospacing="0" w:line="360" w:lineRule="auto"/>
              <w:ind w:left="0" w:right="0"/>
              <w:jc w:val="center"/>
              <w:rPr>
                <w:rFonts w:hint="default" w:ascii="Times New Roman" w:hAnsi="Times New Roman" w:eastAsia="宋体" w:cs="Times New Roman"/>
                <w:color w:val="auto"/>
                <w:kern w:val="2"/>
                <w:sz w:val="24"/>
                <w:szCs w:val="24"/>
                <w:lang w:val="en-US" w:eastAsia="zh-CN" w:bidi="ar"/>
              </w:rPr>
            </w:pP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default" w:ascii="Times New Roman" w:hAnsi="Times New Roman" w:eastAsia="宋体" w:cs="Times New Roman"/>
                <w:color w:val="auto"/>
                <w:kern w:val="2"/>
                <w:sz w:val="24"/>
                <w:szCs w:val="24"/>
                <w:lang w:val="en-US" w:eastAsia="zh-CN" w:bidi="ar"/>
              </w:rPr>
              <w:t>（3）生物多样性现状</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default" w:ascii="Times New Roman" w:hAnsi="Times New Roman" w:eastAsia="宋体" w:cs="Times New Roman"/>
                <w:color w:val="auto"/>
                <w:kern w:val="2"/>
                <w:sz w:val="24"/>
                <w:szCs w:val="24"/>
                <w:lang w:val="en-US" w:eastAsia="zh-CN" w:bidi="ar"/>
              </w:rPr>
              <w:t>评价范围主要以林地和农田为主，交通便利，人类活动频繁，因此常见陆生动物主要为鸟类、两栖类、兽类和爬行类动物。</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default" w:ascii="Times New Roman" w:hAnsi="Times New Roman" w:eastAsia="宋体" w:cs="Times New Roman"/>
                <w:color w:val="auto"/>
                <w:kern w:val="2"/>
                <w:sz w:val="24"/>
                <w:szCs w:val="24"/>
                <w:lang w:val="en-US" w:eastAsia="zh-CN" w:bidi="ar"/>
              </w:rPr>
              <w:t>项目所在地及周边区域属于农业生态系统，工程用地类型主要为旱地、灌木林地、其他草地，旱地主要种植红薯、玉米、季节性蔬菜等适时农作物；灌木林地主要为常见的柏树、松树、构树等当地优势树种，草地主要为自然生长的茅草等，动物以常见小型野生动物和人工饲养的畜禽为主，未发现珍稀濒危及国家重点保护的野生植物，未发现珍稀濒危及国家和四川省重点保护的野生动物，也未发现野生动物栖息地。</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lang w:val="en-US" w:eastAsia="zh-CN" w:bidi="ar"/>
              </w:rPr>
            </w:pPr>
            <w:r>
              <w:rPr>
                <w:rFonts w:hint="default" w:ascii="Times New Roman" w:hAnsi="Times New Roman" w:eastAsia="宋体" w:cs="Times New Roman"/>
                <w:color w:val="auto"/>
                <w:kern w:val="2"/>
                <w:sz w:val="24"/>
                <w:szCs w:val="24"/>
                <w:lang w:val="en-US" w:eastAsia="zh-CN" w:bidi="ar"/>
              </w:rPr>
              <w:t>（4）水土流失现状</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lang w:val="en-US" w:eastAsia="zh-CN" w:bidi="ar"/>
              </w:rPr>
            </w:pPr>
            <w:r>
              <w:rPr>
                <w:rFonts w:hint="default" w:ascii="Times New Roman" w:hAnsi="Times New Roman" w:eastAsia="宋体" w:cs="Times New Roman"/>
                <w:color w:val="auto"/>
                <w:kern w:val="2"/>
                <w:sz w:val="24"/>
                <w:szCs w:val="24"/>
                <w:lang w:val="en-US" w:eastAsia="zh-CN" w:bidi="ar"/>
              </w:rPr>
              <w:t>根据《宣汉县人民政府发布宣汉县水土流失防治分区的公告》，评价所在区域</w:t>
            </w:r>
            <w:r>
              <w:rPr>
                <w:rFonts w:hint="eastAsia" w:cs="Times New Roman"/>
                <w:color w:val="auto"/>
                <w:kern w:val="2"/>
                <w:sz w:val="24"/>
                <w:szCs w:val="24"/>
                <w:lang w:val="en-US" w:eastAsia="zh-CN" w:bidi="ar"/>
              </w:rPr>
              <w:t>不</w:t>
            </w:r>
            <w:r>
              <w:rPr>
                <w:rFonts w:hint="default" w:ascii="Times New Roman" w:hAnsi="Times New Roman" w:eastAsia="宋体" w:cs="Times New Roman"/>
                <w:color w:val="auto"/>
                <w:kern w:val="2"/>
                <w:sz w:val="24"/>
                <w:szCs w:val="24"/>
                <w:lang w:val="en-US" w:eastAsia="zh-CN" w:bidi="ar"/>
              </w:rPr>
              <w:t>属于宣汉县水土流失重点</w:t>
            </w:r>
            <w:r>
              <w:rPr>
                <w:rFonts w:hint="default" w:ascii="Times New Roman" w:hAnsi="Times New Roman" w:cs="Times New Roman"/>
                <w:color w:val="auto"/>
                <w:kern w:val="2"/>
                <w:sz w:val="24"/>
                <w:szCs w:val="24"/>
                <w:lang w:val="en-US" w:eastAsia="zh-CN" w:bidi="ar"/>
              </w:rPr>
              <w:t>治理区</w:t>
            </w:r>
            <w:r>
              <w:rPr>
                <w:rFonts w:hint="default" w:ascii="Times New Roman" w:hAnsi="Times New Roman" w:eastAsia="宋体" w:cs="Times New Roman"/>
                <w:color w:val="auto"/>
                <w:kern w:val="2"/>
                <w:sz w:val="24"/>
                <w:szCs w:val="24"/>
                <w:lang w:val="en-US" w:eastAsia="zh-CN" w:bidi="ar"/>
              </w:rPr>
              <w:t>。根据建设单位在宣汉县区域建设情况，目前未发现受天然气开采影响流失明显加剧。</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lang w:val="en-US" w:eastAsia="zh-CN" w:bidi="ar"/>
              </w:rPr>
            </w:pPr>
            <w:r>
              <w:rPr>
                <w:rFonts w:hint="default" w:ascii="Times New Roman" w:hAnsi="Times New Roman" w:eastAsia="宋体" w:cs="Times New Roman"/>
                <w:color w:val="auto"/>
                <w:kern w:val="2"/>
                <w:sz w:val="24"/>
                <w:szCs w:val="24"/>
                <w:lang w:val="en-US" w:eastAsia="zh-CN" w:bidi="ar"/>
              </w:rPr>
              <w:t>综上，评价区域无国家公园、自然保护区、自然公园等自然保护地、世界自然遗产、生态保护红线等区域，不涉及重要生境。评价区域为主要农田生态系统及普通林地，生态系统单一，结构简单，环境异质性差。区域以人工生境为主，易于恢复。评价区生产力水平较差，主要是受到人类干扰严重的耕地、林地和灌草地、建设用地等用地类型，动植物物种以及生物体的数量较少，食物网简单，即生态系统结构较简单</w:t>
            </w:r>
          </w:p>
          <w:p>
            <w:pPr>
              <w:keepNext w:val="0"/>
              <w:keepLines w:val="0"/>
              <w:suppressLineNumbers w:val="0"/>
              <w:adjustRightInd w:val="0"/>
              <w:snapToGrid w:val="0"/>
              <w:spacing w:before="0" w:beforeAutospacing="0" w:after="0" w:afterAutospacing="0" w:line="360" w:lineRule="auto"/>
              <w:ind w:left="0" w:right="0"/>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3.2环境质量现状</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（1）环境质量达标区判定</w:t>
            </w:r>
          </w:p>
          <w:p>
            <w:pPr>
              <w:pStyle w:val="38"/>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default" w:ascii="Times New Roman" w:hAnsi="Times New Roman" w:eastAsia="宋体" w:cs="Times New Roman"/>
                <w:color w:val="auto"/>
                <w:kern w:val="2"/>
                <w:sz w:val="24"/>
                <w:szCs w:val="24"/>
                <w:lang w:val="en-US" w:eastAsia="zh-CN" w:bidi="ar"/>
              </w:rPr>
              <w:t>本项目位于达州市宣汉县，项目所在区环境空气功能分区为二类区。</w:t>
            </w:r>
            <w:r>
              <w:rPr>
                <w:rFonts w:hint="eastAsia" w:ascii="Times New Roman" w:hAnsi="Times New Roman" w:cs="Times New Roman"/>
                <w:color w:val="auto"/>
                <w:kern w:val="2"/>
                <w:sz w:val="24"/>
                <w:szCs w:val="24"/>
                <w:lang w:val="en-US" w:eastAsia="zh-CN" w:bidi="ar"/>
              </w:rPr>
              <w:t>根据</w:t>
            </w:r>
            <w:r>
              <w:rPr>
                <w:rFonts w:hint="default" w:ascii="Times New Roman" w:hAnsi="Times New Roman" w:eastAsia="宋体" w:cs="Times New Roman"/>
                <w:color w:val="auto"/>
                <w:kern w:val="2"/>
                <w:sz w:val="24"/>
                <w:szCs w:val="24"/>
                <w:lang w:val="en-US" w:eastAsia="zh-CN" w:bidi="ar"/>
              </w:rPr>
              <w:t>《环境影响评价技术导则 大气环境》（HJ2.2-2018）的要求，评价采用达州市生态环境局发布（https://sthjj.dazhou.gov.cn/news-show-18384.html）的《达州市2023年环境空气质量状况》中的数据进行评价：</w:t>
            </w:r>
          </w:p>
          <w:p>
            <w:pPr>
              <w:pStyle w:val="38"/>
              <w:keepNext w:val="0"/>
              <w:keepLines w:val="0"/>
              <w:widowControl w:val="0"/>
              <w:numPr>
                <w:ilvl w:val="0"/>
                <w:numId w:val="8"/>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eastAsia="宋体" w:cs="Times New Roman"/>
                <w:b/>
                <w:bCs/>
                <w:color w:val="auto"/>
                <w:kern w:val="0"/>
                <w:sz w:val="24"/>
                <w:szCs w:val="24"/>
              </w:rPr>
            </w:pPr>
            <w:r>
              <w:rPr>
                <w:rFonts w:hint="default" w:ascii="Times New Roman" w:hAnsi="Times New Roman" w:eastAsia="宋体" w:cs="Times New Roman"/>
                <w:b/>
                <w:bCs/>
                <w:color w:val="auto"/>
                <w:kern w:val="0"/>
                <w:sz w:val="24"/>
                <w:szCs w:val="24"/>
                <w:lang w:val="en-US" w:eastAsia="zh-CN" w:bidi="ar"/>
              </w:rPr>
              <w:t xml:space="preserve"> 2023年宣汉县环境空气质量状况统计表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32"/>
              <w:gridCol w:w="2979"/>
              <w:gridCol w:w="1088"/>
              <w:gridCol w:w="1131"/>
              <w:gridCol w:w="945"/>
              <w:gridCol w:w="103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40" w:hRule="atLeast"/>
                <w:jc w:val="center"/>
              </w:trPr>
              <w:tc>
                <w:tcPr>
                  <w:tcW w:w="833" w:type="dxa"/>
                  <w:tcBorders>
                    <w:top w:val="single" w:color="auto" w:sz="12" w:space="0"/>
                    <w:left w:val="single" w:color="auto" w:sz="2" w:space="0"/>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污染物</w:t>
                  </w:r>
                </w:p>
              </w:tc>
              <w:tc>
                <w:tcPr>
                  <w:tcW w:w="2978" w:type="dxa"/>
                  <w:tcBorders>
                    <w:top w:val="single" w:color="auto" w:sz="12"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年评价指标</w:t>
                  </w:r>
                </w:p>
              </w:tc>
              <w:tc>
                <w:tcPr>
                  <w:tcW w:w="1088" w:type="dxa"/>
                  <w:tcBorders>
                    <w:top w:val="single" w:color="auto" w:sz="12"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评价标准</w:t>
                  </w:r>
                </w:p>
              </w:tc>
              <w:tc>
                <w:tcPr>
                  <w:tcW w:w="1131" w:type="dxa"/>
                  <w:tcBorders>
                    <w:top w:val="single" w:color="auto" w:sz="12"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现状浓度</w:t>
                  </w:r>
                </w:p>
              </w:tc>
              <w:tc>
                <w:tcPr>
                  <w:tcW w:w="946" w:type="dxa"/>
                  <w:tcBorders>
                    <w:top w:val="single" w:color="auto" w:sz="12"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占标率</w:t>
                  </w:r>
                </w:p>
              </w:tc>
              <w:tc>
                <w:tcPr>
                  <w:tcW w:w="1031" w:type="dxa"/>
                  <w:tcBorders>
                    <w:top w:val="single" w:color="auto" w:sz="12" w:space="0"/>
                    <w:left w:val="nil"/>
                    <w:bottom w:val="single" w:color="auto" w:sz="4" w:space="0"/>
                    <w:right w:val="single" w:color="auto" w:sz="12"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达标情况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3"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PM</w:t>
                  </w:r>
                  <w:r>
                    <w:rPr>
                      <w:rFonts w:hint="default" w:ascii="Times New Roman" w:hAnsi="Times New Roman" w:eastAsia="宋体" w:cs="Times New Roman"/>
                      <w:b w:val="0"/>
                      <w:color w:val="auto"/>
                      <w:kern w:val="2"/>
                      <w:sz w:val="21"/>
                      <w:szCs w:val="21"/>
                      <w:shd w:val="clear" w:fill="FFFFFF"/>
                      <w:vertAlign w:val="subscript"/>
                      <w:lang w:val="en-US" w:eastAsia="zh-CN" w:bidi="ar"/>
                    </w:rPr>
                    <w:t>10</w:t>
                  </w:r>
                </w:p>
              </w:tc>
              <w:tc>
                <w:tcPr>
                  <w:tcW w:w="2978"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年平均质量浓度</w:t>
                  </w:r>
                </w:p>
              </w:tc>
              <w:tc>
                <w:tcPr>
                  <w:tcW w:w="1088"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70μg/m</w:t>
                  </w:r>
                  <w:r>
                    <w:rPr>
                      <w:rFonts w:hint="default" w:ascii="Times New Roman" w:hAnsi="Times New Roman" w:eastAsia="宋体" w:cs="Times New Roman"/>
                      <w:b w:val="0"/>
                      <w:color w:val="auto"/>
                      <w:kern w:val="2"/>
                      <w:sz w:val="21"/>
                      <w:szCs w:val="21"/>
                      <w:shd w:val="clear" w:fill="FFFFFF"/>
                      <w:vertAlign w:val="superscript"/>
                      <w:lang w:val="en-US" w:eastAsia="zh-CN" w:bidi="ar"/>
                    </w:rPr>
                    <w:t>3</w:t>
                  </w:r>
                </w:p>
              </w:tc>
              <w:tc>
                <w:tcPr>
                  <w:tcW w:w="1131"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55μg/m</w:t>
                  </w:r>
                  <w:r>
                    <w:rPr>
                      <w:rFonts w:hint="default" w:ascii="Times New Roman" w:hAnsi="Times New Roman" w:eastAsia="宋体" w:cs="Times New Roman"/>
                      <w:b w:val="0"/>
                      <w:color w:val="auto"/>
                      <w:kern w:val="2"/>
                      <w:sz w:val="21"/>
                      <w:szCs w:val="21"/>
                      <w:shd w:val="clear" w:fill="FFFFFF"/>
                      <w:vertAlign w:val="superscript"/>
                      <w:lang w:val="en-US" w:eastAsia="zh-CN" w:bidi="ar"/>
                    </w:rPr>
                    <w:t>3</w:t>
                  </w:r>
                </w:p>
              </w:tc>
              <w:tc>
                <w:tcPr>
                  <w:tcW w:w="94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2"/>
                      <w:sz w:val="21"/>
                      <w:szCs w:val="21"/>
                    </w:rPr>
                  </w:pPr>
                  <w:r>
                    <w:rPr>
                      <w:rFonts w:hint="default" w:ascii="Times New Roman" w:hAnsi="Times New Roman" w:eastAsia="宋体" w:cs="Times New Roman"/>
                      <w:i w:val="0"/>
                      <w:iCs w:val="0"/>
                      <w:color w:val="auto"/>
                      <w:kern w:val="0"/>
                      <w:sz w:val="22"/>
                      <w:szCs w:val="22"/>
                      <w:lang w:val="en-US" w:eastAsia="zh-CN" w:bidi="ar"/>
                    </w:rPr>
                    <w:t>78.6%</w:t>
                  </w:r>
                </w:p>
              </w:tc>
              <w:tc>
                <w:tcPr>
                  <w:tcW w:w="1031" w:type="dxa"/>
                  <w:tcBorders>
                    <w:top w:val="single" w:color="auto" w:sz="4" w:space="0"/>
                    <w:left w:val="nil"/>
                    <w:bottom w:val="single" w:color="auto" w:sz="4" w:space="0"/>
                    <w:right w:val="single" w:color="auto" w:sz="12"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3"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PM</w:t>
                  </w:r>
                  <w:r>
                    <w:rPr>
                      <w:rFonts w:hint="default" w:ascii="Times New Roman" w:hAnsi="Times New Roman" w:eastAsia="宋体" w:cs="Times New Roman"/>
                      <w:b w:val="0"/>
                      <w:color w:val="auto"/>
                      <w:kern w:val="2"/>
                      <w:sz w:val="21"/>
                      <w:szCs w:val="21"/>
                      <w:shd w:val="clear" w:fill="FFFFFF"/>
                      <w:vertAlign w:val="subscript"/>
                      <w:lang w:val="en-US" w:eastAsia="zh-CN" w:bidi="ar"/>
                    </w:rPr>
                    <w:t>2.5</w:t>
                  </w:r>
                </w:p>
              </w:tc>
              <w:tc>
                <w:tcPr>
                  <w:tcW w:w="2978"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年平均质量浓度</w:t>
                  </w:r>
                </w:p>
              </w:tc>
              <w:tc>
                <w:tcPr>
                  <w:tcW w:w="1088"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35μg/m</w:t>
                  </w:r>
                  <w:r>
                    <w:rPr>
                      <w:rFonts w:hint="default" w:ascii="Times New Roman" w:hAnsi="Times New Roman" w:eastAsia="宋体" w:cs="Times New Roman"/>
                      <w:b w:val="0"/>
                      <w:color w:val="auto"/>
                      <w:kern w:val="2"/>
                      <w:sz w:val="21"/>
                      <w:szCs w:val="21"/>
                      <w:shd w:val="clear" w:fill="FFFFFF"/>
                      <w:vertAlign w:val="superscript"/>
                      <w:lang w:val="en-US" w:eastAsia="zh-CN" w:bidi="ar"/>
                    </w:rPr>
                    <w:t>3</w:t>
                  </w:r>
                </w:p>
              </w:tc>
              <w:tc>
                <w:tcPr>
                  <w:tcW w:w="1131"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29μg/m</w:t>
                  </w:r>
                  <w:r>
                    <w:rPr>
                      <w:rFonts w:hint="default" w:ascii="Times New Roman" w:hAnsi="Times New Roman" w:eastAsia="宋体" w:cs="Times New Roman"/>
                      <w:b w:val="0"/>
                      <w:color w:val="auto"/>
                      <w:kern w:val="2"/>
                      <w:sz w:val="21"/>
                      <w:szCs w:val="21"/>
                      <w:shd w:val="clear" w:fill="FFFFFF"/>
                      <w:vertAlign w:val="superscript"/>
                      <w:lang w:val="en-US" w:eastAsia="zh-CN" w:bidi="ar"/>
                    </w:rPr>
                    <w:t>3</w:t>
                  </w:r>
                </w:p>
              </w:tc>
              <w:tc>
                <w:tcPr>
                  <w:tcW w:w="94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2"/>
                      <w:sz w:val="21"/>
                      <w:szCs w:val="21"/>
                    </w:rPr>
                  </w:pPr>
                  <w:r>
                    <w:rPr>
                      <w:rFonts w:hint="default" w:ascii="Times New Roman" w:hAnsi="Times New Roman" w:eastAsia="宋体" w:cs="Times New Roman"/>
                      <w:i w:val="0"/>
                      <w:iCs w:val="0"/>
                      <w:color w:val="auto"/>
                      <w:kern w:val="0"/>
                      <w:sz w:val="22"/>
                      <w:szCs w:val="22"/>
                      <w:lang w:val="en-US" w:eastAsia="zh-CN" w:bidi="ar"/>
                    </w:rPr>
                    <w:t>82.9%</w:t>
                  </w:r>
                </w:p>
              </w:tc>
              <w:tc>
                <w:tcPr>
                  <w:tcW w:w="1031" w:type="dxa"/>
                  <w:tcBorders>
                    <w:top w:val="single" w:color="auto" w:sz="4" w:space="0"/>
                    <w:left w:val="nil"/>
                    <w:bottom w:val="single" w:color="auto" w:sz="4" w:space="0"/>
                    <w:right w:val="single" w:color="auto" w:sz="12"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3"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SO</w:t>
                  </w:r>
                  <w:r>
                    <w:rPr>
                      <w:rFonts w:hint="default" w:ascii="Times New Roman" w:hAnsi="Times New Roman" w:eastAsia="宋体" w:cs="Times New Roman"/>
                      <w:b w:val="0"/>
                      <w:color w:val="auto"/>
                      <w:kern w:val="2"/>
                      <w:sz w:val="21"/>
                      <w:szCs w:val="21"/>
                      <w:shd w:val="clear" w:fill="FFFFFF"/>
                      <w:vertAlign w:val="subscript"/>
                      <w:lang w:val="en-US" w:eastAsia="zh-CN" w:bidi="ar"/>
                    </w:rPr>
                    <w:t>2</w:t>
                  </w:r>
                </w:p>
              </w:tc>
              <w:tc>
                <w:tcPr>
                  <w:tcW w:w="2978"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年平均质量浓度</w:t>
                  </w:r>
                </w:p>
              </w:tc>
              <w:tc>
                <w:tcPr>
                  <w:tcW w:w="1088"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60μg/m</w:t>
                  </w:r>
                  <w:r>
                    <w:rPr>
                      <w:rFonts w:hint="default" w:ascii="Times New Roman" w:hAnsi="Times New Roman" w:eastAsia="宋体" w:cs="Times New Roman"/>
                      <w:b w:val="0"/>
                      <w:color w:val="auto"/>
                      <w:kern w:val="2"/>
                      <w:sz w:val="21"/>
                      <w:szCs w:val="21"/>
                      <w:shd w:val="clear" w:fill="FFFFFF"/>
                      <w:vertAlign w:val="superscript"/>
                      <w:lang w:val="en-US" w:eastAsia="zh-CN" w:bidi="ar"/>
                    </w:rPr>
                    <w:t>3</w:t>
                  </w:r>
                </w:p>
              </w:tc>
              <w:tc>
                <w:tcPr>
                  <w:tcW w:w="1131"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6μg/m</w:t>
                  </w:r>
                  <w:r>
                    <w:rPr>
                      <w:rFonts w:hint="default" w:ascii="Times New Roman" w:hAnsi="Times New Roman" w:eastAsia="宋体" w:cs="Times New Roman"/>
                      <w:b w:val="0"/>
                      <w:color w:val="auto"/>
                      <w:kern w:val="2"/>
                      <w:sz w:val="21"/>
                      <w:szCs w:val="21"/>
                      <w:shd w:val="clear" w:fill="FFFFFF"/>
                      <w:vertAlign w:val="superscript"/>
                      <w:lang w:val="en-US" w:eastAsia="zh-CN" w:bidi="ar"/>
                    </w:rPr>
                    <w:t>3</w:t>
                  </w:r>
                </w:p>
              </w:tc>
              <w:tc>
                <w:tcPr>
                  <w:tcW w:w="94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2"/>
                      <w:sz w:val="21"/>
                      <w:szCs w:val="21"/>
                    </w:rPr>
                  </w:pPr>
                  <w:r>
                    <w:rPr>
                      <w:rFonts w:hint="default" w:ascii="Times New Roman" w:hAnsi="Times New Roman" w:eastAsia="宋体" w:cs="Times New Roman"/>
                      <w:i w:val="0"/>
                      <w:iCs w:val="0"/>
                      <w:color w:val="auto"/>
                      <w:kern w:val="0"/>
                      <w:sz w:val="22"/>
                      <w:szCs w:val="22"/>
                      <w:lang w:val="en-US" w:eastAsia="zh-CN" w:bidi="ar"/>
                    </w:rPr>
                    <w:t>10.0%</w:t>
                  </w:r>
                </w:p>
              </w:tc>
              <w:tc>
                <w:tcPr>
                  <w:tcW w:w="1031" w:type="dxa"/>
                  <w:tcBorders>
                    <w:top w:val="single" w:color="auto" w:sz="4" w:space="0"/>
                    <w:left w:val="nil"/>
                    <w:bottom w:val="single" w:color="auto" w:sz="4" w:space="0"/>
                    <w:right w:val="single" w:color="auto" w:sz="12"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3"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NO</w:t>
                  </w:r>
                  <w:r>
                    <w:rPr>
                      <w:rFonts w:hint="default" w:ascii="Times New Roman" w:hAnsi="Times New Roman" w:eastAsia="宋体" w:cs="Times New Roman"/>
                      <w:b w:val="0"/>
                      <w:color w:val="auto"/>
                      <w:kern w:val="2"/>
                      <w:sz w:val="21"/>
                      <w:szCs w:val="21"/>
                      <w:shd w:val="clear" w:fill="FFFFFF"/>
                      <w:vertAlign w:val="subscript"/>
                      <w:lang w:val="en-US" w:eastAsia="zh-CN" w:bidi="ar"/>
                    </w:rPr>
                    <w:t>2</w:t>
                  </w:r>
                </w:p>
              </w:tc>
              <w:tc>
                <w:tcPr>
                  <w:tcW w:w="2978"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年平均质量浓度</w:t>
                  </w:r>
                </w:p>
              </w:tc>
              <w:tc>
                <w:tcPr>
                  <w:tcW w:w="1088"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40μg/m</w:t>
                  </w:r>
                  <w:r>
                    <w:rPr>
                      <w:rFonts w:hint="default" w:ascii="Times New Roman" w:hAnsi="Times New Roman" w:eastAsia="宋体" w:cs="Times New Roman"/>
                      <w:b w:val="0"/>
                      <w:color w:val="auto"/>
                      <w:kern w:val="2"/>
                      <w:sz w:val="21"/>
                      <w:szCs w:val="21"/>
                      <w:shd w:val="clear" w:fill="FFFFFF"/>
                      <w:vertAlign w:val="superscript"/>
                      <w:lang w:val="en-US" w:eastAsia="zh-CN" w:bidi="ar"/>
                    </w:rPr>
                    <w:t>3</w:t>
                  </w:r>
                </w:p>
              </w:tc>
              <w:tc>
                <w:tcPr>
                  <w:tcW w:w="1131"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20μg/m</w:t>
                  </w:r>
                  <w:r>
                    <w:rPr>
                      <w:rFonts w:hint="default" w:ascii="Times New Roman" w:hAnsi="Times New Roman" w:eastAsia="宋体" w:cs="Times New Roman"/>
                      <w:b w:val="0"/>
                      <w:color w:val="auto"/>
                      <w:kern w:val="2"/>
                      <w:sz w:val="21"/>
                      <w:szCs w:val="21"/>
                      <w:shd w:val="clear" w:fill="FFFFFF"/>
                      <w:vertAlign w:val="superscript"/>
                      <w:lang w:val="en-US" w:eastAsia="zh-CN" w:bidi="ar"/>
                    </w:rPr>
                    <w:t>3</w:t>
                  </w:r>
                </w:p>
              </w:tc>
              <w:tc>
                <w:tcPr>
                  <w:tcW w:w="94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2"/>
                      <w:sz w:val="21"/>
                      <w:szCs w:val="21"/>
                    </w:rPr>
                  </w:pPr>
                  <w:r>
                    <w:rPr>
                      <w:rFonts w:hint="default" w:ascii="Times New Roman" w:hAnsi="Times New Roman" w:eastAsia="宋体" w:cs="Times New Roman"/>
                      <w:i w:val="0"/>
                      <w:iCs w:val="0"/>
                      <w:color w:val="auto"/>
                      <w:kern w:val="0"/>
                      <w:sz w:val="22"/>
                      <w:szCs w:val="22"/>
                      <w:lang w:val="en-US" w:eastAsia="zh-CN" w:bidi="ar"/>
                    </w:rPr>
                    <w:t>50.0%</w:t>
                  </w:r>
                </w:p>
              </w:tc>
              <w:tc>
                <w:tcPr>
                  <w:tcW w:w="1031" w:type="dxa"/>
                  <w:tcBorders>
                    <w:top w:val="single" w:color="auto" w:sz="4" w:space="0"/>
                    <w:left w:val="nil"/>
                    <w:bottom w:val="single" w:color="auto" w:sz="4" w:space="0"/>
                    <w:right w:val="single" w:color="auto" w:sz="12"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3" w:type="dxa"/>
                  <w:tcBorders>
                    <w:top w:val="single" w:color="auto" w:sz="4" w:space="0"/>
                    <w:left w:val="single" w:color="auto" w:sz="4" w:space="0"/>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CO</w:t>
                  </w:r>
                </w:p>
              </w:tc>
              <w:tc>
                <w:tcPr>
                  <w:tcW w:w="2978"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95%百分位数24小时平均</w:t>
                  </w:r>
                </w:p>
              </w:tc>
              <w:tc>
                <w:tcPr>
                  <w:tcW w:w="1088"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4mg/m³</w:t>
                  </w:r>
                </w:p>
              </w:tc>
              <w:tc>
                <w:tcPr>
                  <w:tcW w:w="1131" w:type="dxa"/>
                  <w:tcBorders>
                    <w:top w:val="single" w:color="auto" w:sz="4" w:space="0"/>
                    <w:left w:val="nil"/>
                    <w:bottom w:val="single" w:color="auto" w:sz="4"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1.2mg/m³</w:t>
                  </w:r>
                </w:p>
              </w:tc>
              <w:tc>
                <w:tcPr>
                  <w:tcW w:w="946"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2"/>
                      <w:sz w:val="21"/>
                      <w:szCs w:val="21"/>
                    </w:rPr>
                  </w:pPr>
                  <w:r>
                    <w:rPr>
                      <w:rFonts w:hint="default" w:ascii="Times New Roman" w:hAnsi="Times New Roman" w:eastAsia="宋体" w:cs="Times New Roman"/>
                      <w:i w:val="0"/>
                      <w:iCs w:val="0"/>
                      <w:color w:val="auto"/>
                      <w:kern w:val="0"/>
                      <w:sz w:val="22"/>
                      <w:szCs w:val="22"/>
                      <w:lang w:val="en-US" w:eastAsia="zh-CN" w:bidi="ar"/>
                    </w:rPr>
                    <w:t>25.0%</w:t>
                  </w:r>
                </w:p>
              </w:tc>
              <w:tc>
                <w:tcPr>
                  <w:tcW w:w="1031" w:type="dxa"/>
                  <w:tcBorders>
                    <w:top w:val="single" w:color="auto" w:sz="4" w:space="0"/>
                    <w:left w:val="nil"/>
                    <w:bottom w:val="single" w:color="auto" w:sz="4" w:space="0"/>
                    <w:right w:val="single" w:color="auto" w:sz="12"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33" w:type="dxa"/>
                  <w:tcBorders>
                    <w:top w:val="single" w:color="auto" w:sz="4" w:space="0"/>
                    <w:left w:val="single" w:color="auto" w:sz="4" w:space="0"/>
                    <w:bottom w:val="single" w:color="auto" w:sz="12"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O</w:t>
                  </w:r>
                  <w:r>
                    <w:rPr>
                      <w:rFonts w:hint="default" w:ascii="Times New Roman" w:hAnsi="Times New Roman" w:eastAsia="宋体" w:cs="Times New Roman"/>
                      <w:b w:val="0"/>
                      <w:color w:val="auto"/>
                      <w:kern w:val="2"/>
                      <w:sz w:val="21"/>
                      <w:szCs w:val="21"/>
                      <w:shd w:val="clear" w:fill="FFFFFF"/>
                      <w:vertAlign w:val="subscript"/>
                      <w:lang w:val="en-US" w:eastAsia="zh-CN" w:bidi="ar"/>
                    </w:rPr>
                    <w:t>3</w:t>
                  </w:r>
                </w:p>
              </w:tc>
              <w:tc>
                <w:tcPr>
                  <w:tcW w:w="2978" w:type="dxa"/>
                  <w:tcBorders>
                    <w:top w:val="single" w:color="auto" w:sz="4" w:space="0"/>
                    <w:left w:val="nil"/>
                    <w:bottom w:val="single" w:color="auto" w:sz="12"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90%百分位数日最大8小时滑动平均</w:t>
                  </w:r>
                </w:p>
              </w:tc>
              <w:tc>
                <w:tcPr>
                  <w:tcW w:w="1088" w:type="dxa"/>
                  <w:tcBorders>
                    <w:top w:val="single" w:color="auto" w:sz="4" w:space="0"/>
                    <w:left w:val="nil"/>
                    <w:bottom w:val="single" w:color="auto" w:sz="12"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160μg/m</w:t>
                  </w:r>
                  <w:r>
                    <w:rPr>
                      <w:rFonts w:hint="default" w:ascii="Times New Roman" w:hAnsi="Times New Roman" w:eastAsia="宋体" w:cs="Times New Roman"/>
                      <w:b w:val="0"/>
                      <w:color w:val="auto"/>
                      <w:kern w:val="2"/>
                      <w:sz w:val="21"/>
                      <w:szCs w:val="21"/>
                      <w:shd w:val="clear" w:fill="FFFFFF"/>
                      <w:vertAlign w:val="superscript"/>
                      <w:lang w:val="en-US" w:eastAsia="zh-CN" w:bidi="ar"/>
                    </w:rPr>
                    <w:t>3</w:t>
                  </w:r>
                </w:p>
              </w:tc>
              <w:tc>
                <w:tcPr>
                  <w:tcW w:w="1131" w:type="dxa"/>
                  <w:tcBorders>
                    <w:top w:val="single" w:color="auto" w:sz="4" w:space="0"/>
                    <w:left w:val="nil"/>
                    <w:bottom w:val="single" w:color="auto" w:sz="12" w:space="0"/>
                    <w:right w:val="single" w:color="auto" w:sz="4"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90μg/m</w:t>
                  </w:r>
                  <w:r>
                    <w:rPr>
                      <w:rFonts w:hint="default" w:ascii="Times New Roman" w:hAnsi="Times New Roman" w:eastAsia="宋体" w:cs="Times New Roman"/>
                      <w:b w:val="0"/>
                      <w:color w:val="auto"/>
                      <w:kern w:val="2"/>
                      <w:sz w:val="21"/>
                      <w:szCs w:val="21"/>
                      <w:shd w:val="clear" w:fill="FFFFFF"/>
                      <w:vertAlign w:val="superscript"/>
                      <w:lang w:val="en-US" w:eastAsia="zh-CN" w:bidi="ar"/>
                    </w:rPr>
                    <w:t>3</w:t>
                  </w:r>
                </w:p>
              </w:tc>
              <w:tc>
                <w:tcPr>
                  <w:tcW w:w="946" w:type="dxa"/>
                  <w:tcBorders>
                    <w:top w:val="single" w:color="auto" w:sz="4" w:space="0"/>
                    <w:left w:val="nil"/>
                    <w:bottom w:val="single" w:color="auto" w:sz="12"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2"/>
                      <w:sz w:val="21"/>
                      <w:szCs w:val="21"/>
                    </w:rPr>
                  </w:pPr>
                  <w:r>
                    <w:rPr>
                      <w:rFonts w:hint="default" w:ascii="Times New Roman" w:hAnsi="Times New Roman" w:eastAsia="宋体" w:cs="Times New Roman"/>
                      <w:i w:val="0"/>
                      <w:iCs w:val="0"/>
                      <w:color w:val="auto"/>
                      <w:kern w:val="0"/>
                      <w:sz w:val="22"/>
                      <w:szCs w:val="22"/>
                      <w:lang w:val="en-US" w:eastAsia="zh-CN" w:bidi="ar"/>
                    </w:rPr>
                    <w:t>56.3%</w:t>
                  </w:r>
                </w:p>
              </w:tc>
              <w:tc>
                <w:tcPr>
                  <w:tcW w:w="1031" w:type="dxa"/>
                  <w:tcBorders>
                    <w:top w:val="single" w:color="auto" w:sz="4" w:space="0"/>
                    <w:left w:val="nil"/>
                    <w:bottom w:val="single" w:color="auto" w:sz="12" w:space="0"/>
                    <w:right w:val="single" w:color="auto" w:sz="12" w:space="0"/>
                  </w:tcBorders>
                  <w:shd w:val="clear" w:color="auto" w:fill="auto"/>
                  <w:vAlign w:val="center"/>
                </w:tcPr>
                <w:p>
                  <w:pPr>
                    <w:pStyle w:val="38"/>
                    <w:keepNext w:val="0"/>
                    <w:keepLines w:val="0"/>
                    <w:widowControl w:val="0"/>
                    <w:suppressLineNumbers w:val="0"/>
                    <w:shd w:val="clear" w:fill="FFFFFF"/>
                    <w:autoSpaceDE w:val="0"/>
                    <w:autoSpaceDN w:val="0"/>
                    <w:adjustRightInd w:val="0"/>
                    <w:snapToGrid w:val="0"/>
                    <w:spacing w:before="0" w:beforeAutospacing="0" w:after="0" w:afterAutospacing="0"/>
                    <w:ind w:left="0" w:right="0"/>
                    <w:jc w:val="center"/>
                    <w:rPr>
                      <w:rFonts w:hint="default" w:ascii="Times New Roman" w:hAnsi="Times New Roman" w:eastAsia="宋体" w:cs="Times New Roman"/>
                      <w:b w:val="0"/>
                      <w:color w:val="auto"/>
                      <w:kern w:val="2"/>
                      <w:sz w:val="21"/>
                      <w:szCs w:val="21"/>
                      <w:shd w:val="clear" w:fill="FFFFFF"/>
                    </w:rPr>
                  </w:pPr>
                  <w:r>
                    <w:rPr>
                      <w:rFonts w:hint="default" w:ascii="Times New Roman" w:hAnsi="Times New Roman" w:eastAsia="宋体" w:cs="Times New Roman"/>
                      <w:b w:val="0"/>
                      <w:color w:val="auto"/>
                      <w:kern w:val="2"/>
                      <w:sz w:val="21"/>
                      <w:szCs w:val="21"/>
                      <w:shd w:val="clear" w:fill="FFFFFF"/>
                      <w:lang w:val="en-US" w:eastAsia="zh-CN" w:bidi="ar"/>
                    </w:rPr>
                    <w:t>达标</w:t>
                  </w:r>
                </w:p>
              </w:tc>
            </w:tr>
          </w:tbl>
          <w:p>
            <w:pPr>
              <w:pStyle w:val="38"/>
              <w:keepNext w:val="0"/>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lang w:val="en-US" w:eastAsia="zh-CN" w:bidi="ar"/>
              </w:rPr>
            </w:pPr>
            <w:r>
              <w:rPr>
                <w:rFonts w:hint="default" w:ascii="Times New Roman" w:hAnsi="Times New Roman" w:eastAsia="宋体" w:cs="Times New Roman"/>
                <w:color w:val="auto"/>
                <w:kern w:val="2"/>
                <w:sz w:val="24"/>
                <w:szCs w:val="24"/>
                <w:lang w:val="en-US" w:eastAsia="zh-CN" w:bidi="ar"/>
              </w:rPr>
              <w:t>根据公告内容，宣汉县2023年度主要污染物SO</w:t>
            </w:r>
            <w:r>
              <w:rPr>
                <w:rFonts w:hint="default" w:ascii="Times New Roman" w:hAnsi="Times New Roman" w:eastAsia="宋体" w:cs="Times New Roman"/>
                <w:color w:val="auto"/>
                <w:kern w:val="2"/>
                <w:sz w:val="24"/>
                <w:szCs w:val="24"/>
                <w:vertAlign w:val="subscript"/>
                <w:lang w:val="en-US" w:eastAsia="zh-CN" w:bidi="ar"/>
              </w:rPr>
              <w:t>2</w:t>
            </w:r>
            <w:r>
              <w:rPr>
                <w:rFonts w:hint="default" w:ascii="Times New Roman" w:hAnsi="Times New Roman" w:eastAsia="宋体" w:cs="Times New Roman"/>
                <w:color w:val="auto"/>
                <w:kern w:val="2"/>
                <w:sz w:val="24"/>
                <w:szCs w:val="24"/>
                <w:lang w:val="en-US" w:eastAsia="zh-CN" w:bidi="ar"/>
              </w:rPr>
              <w:t>、NO</w:t>
            </w:r>
            <w:r>
              <w:rPr>
                <w:rFonts w:hint="default" w:ascii="Times New Roman" w:hAnsi="Times New Roman" w:eastAsia="宋体" w:cs="Times New Roman"/>
                <w:color w:val="auto"/>
                <w:kern w:val="2"/>
                <w:sz w:val="24"/>
                <w:szCs w:val="24"/>
                <w:vertAlign w:val="subscript"/>
                <w:lang w:val="en-US" w:eastAsia="zh-CN" w:bidi="ar"/>
              </w:rPr>
              <w:t>2</w:t>
            </w:r>
            <w:r>
              <w:rPr>
                <w:rFonts w:hint="default" w:ascii="Times New Roman" w:hAnsi="Times New Roman" w:eastAsia="宋体" w:cs="Times New Roman"/>
                <w:color w:val="auto"/>
                <w:kern w:val="2"/>
                <w:sz w:val="24"/>
                <w:szCs w:val="24"/>
                <w:lang w:val="en-US" w:eastAsia="zh-CN" w:bidi="ar"/>
              </w:rPr>
              <w:t>、PM</w:t>
            </w:r>
            <w:r>
              <w:rPr>
                <w:rFonts w:hint="default" w:ascii="Times New Roman" w:hAnsi="Times New Roman" w:eastAsia="宋体" w:cs="Times New Roman"/>
                <w:color w:val="auto"/>
                <w:kern w:val="2"/>
                <w:sz w:val="24"/>
                <w:szCs w:val="24"/>
                <w:vertAlign w:val="subscript"/>
                <w:lang w:val="en-US" w:eastAsia="zh-CN" w:bidi="ar"/>
              </w:rPr>
              <w:t>10</w:t>
            </w:r>
            <w:r>
              <w:rPr>
                <w:rFonts w:hint="default" w:ascii="Times New Roman" w:hAnsi="Times New Roman" w:eastAsia="宋体" w:cs="Times New Roman"/>
                <w:color w:val="auto"/>
                <w:kern w:val="2"/>
                <w:sz w:val="24"/>
                <w:szCs w:val="24"/>
                <w:lang w:val="en-US" w:eastAsia="zh-CN" w:bidi="ar"/>
              </w:rPr>
              <w:t>、PM</w:t>
            </w:r>
            <w:r>
              <w:rPr>
                <w:rFonts w:hint="default" w:ascii="Times New Roman" w:hAnsi="Times New Roman" w:eastAsia="宋体" w:cs="Times New Roman"/>
                <w:color w:val="auto"/>
                <w:kern w:val="2"/>
                <w:sz w:val="24"/>
                <w:szCs w:val="24"/>
                <w:vertAlign w:val="subscript"/>
                <w:lang w:val="en-US" w:eastAsia="zh-CN" w:bidi="ar"/>
              </w:rPr>
              <w:t>2.5</w:t>
            </w:r>
            <w:r>
              <w:rPr>
                <w:rFonts w:hint="default" w:ascii="Times New Roman" w:hAnsi="Times New Roman" w:eastAsia="宋体" w:cs="Times New Roman"/>
                <w:color w:val="auto"/>
                <w:kern w:val="2"/>
                <w:sz w:val="24"/>
                <w:szCs w:val="24"/>
                <w:lang w:val="en-US" w:eastAsia="zh-CN" w:bidi="ar"/>
              </w:rPr>
              <w:t>、CO、O</w:t>
            </w:r>
            <w:r>
              <w:rPr>
                <w:rFonts w:hint="default" w:ascii="Times New Roman" w:hAnsi="Times New Roman" w:eastAsia="宋体" w:cs="Times New Roman"/>
                <w:color w:val="auto"/>
                <w:kern w:val="2"/>
                <w:sz w:val="24"/>
                <w:szCs w:val="24"/>
                <w:vertAlign w:val="subscript"/>
                <w:lang w:val="en-US" w:eastAsia="zh-CN" w:bidi="ar"/>
              </w:rPr>
              <w:t>3</w:t>
            </w:r>
            <w:r>
              <w:rPr>
                <w:rFonts w:hint="default" w:ascii="Times New Roman" w:hAnsi="Times New Roman" w:eastAsia="宋体" w:cs="Times New Roman"/>
                <w:color w:val="auto"/>
                <w:kern w:val="2"/>
                <w:sz w:val="24"/>
                <w:szCs w:val="24"/>
                <w:lang w:val="en-US" w:eastAsia="zh-CN" w:bidi="ar"/>
              </w:rPr>
              <w:t>均满足《环境空气质量标准》（GB3095-2012）二级标准要求，</w:t>
            </w:r>
            <w:r>
              <w:rPr>
                <w:rFonts w:hint="eastAsia" w:ascii="Times New Roman" w:hAnsi="Times New Roman" w:cs="Times New Roman"/>
                <w:color w:val="auto"/>
                <w:kern w:val="2"/>
                <w:sz w:val="24"/>
                <w:szCs w:val="24"/>
                <w:lang w:val="en-US" w:eastAsia="zh-CN" w:bidi="ar"/>
              </w:rPr>
              <w:t>按照</w:t>
            </w:r>
            <w:r>
              <w:rPr>
                <w:rFonts w:hint="default" w:ascii="Times New Roman" w:hAnsi="Times New Roman" w:eastAsia="宋体" w:cs="Times New Roman"/>
                <w:color w:val="auto"/>
                <w:kern w:val="2"/>
                <w:sz w:val="24"/>
                <w:szCs w:val="24"/>
                <w:lang w:val="en-US" w:eastAsia="zh-CN" w:bidi="ar"/>
              </w:rPr>
              <w:t>《环境影响评价技术导则 大气环境》（HJ2.2-2018）区域达标判断标准，宣汉县2023年度区域环境空气质量为达标区。</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（2）补充监测</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①监测点位</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 xml:space="preserve">  其他污染物环境质量现状监测内容</w:t>
            </w:r>
          </w:p>
          <w:tbl>
            <w:tblPr>
              <w:tblStyle w:val="44"/>
              <w:tblW w:w="81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09"/>
              <w:gridCol w:w="2060"/>
              <w:gridCol w:w="1372"/>
              <w:gridCol w:w="1923"/>
              <w:gridCol w:w="1308"/>
              <w:gridCol w:w="8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8" w:hRule="atLeast"/>
                <w:jc w:val="center"/>
              </w:trPr>
              <w:tc>
                <w:tcPr>
                  <w:tcW w:w="709"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编号</w:t>
                  </w:r>
                </w:p>
              </w:tc>
              <w:tc>
                <w:tcPr>
                  <w:tcW w:w="2060"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监测点位</w:t>
                  </w:r>
                </w:p>
              </w:tc>
              <w:tc>
                <w:tcPr>
                  <w:tcW w:w="1372"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监测因子</w:t>
                  </w:r>
                </w:p>
              </w:tc>
              <w:tc>
                <w:tcPr>
                  <w:tcW w:w="1923"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监测频次</w:t>
                  </w:r>
                </w:p>
              </w:tc>
              <w:tc>
                <w:tcPr>
                  <w:tcW w:w="1308"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监测时间</w:t>
                  </w:r>
                </w:p>
              </w:tc>
              <w:tc>
                <w:tcPr>
                  <w:tcW w:w="826"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8" w:hRule="atLeast"/>
                <w:jc w:val="center"/>
              </w:trPr>
              <w:tc>
                <w:tcPr>
                  <w:tcW w:w="709"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G1</w:t>
                  </w:r>
                </w:p>
              </w:tc>
              <w:tc>
                <w:tcPr>
                  <w:tcW w:w="2060"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Cs w:val="21"/>
                      <w:lang w:val="en-US" w:eastAsia="zh-CN"/>
                    </w:rPr>
                  </w:pPr>
                  <w:r>
                    <w:rPr>
                      <w:rFonts w:hint="default" w:ascii="Times New Roman" w:hAnsi="Times New Roman" w:cs="Times New Roman"/>
                      <w:color w:val="auto"/>
                      <w:szCs w:val="21"/>
                    </w:rPr>
                    <w:t>井场所在地下风向位置</w:t>
                  </w:r>
                  <w:r>
                    <w:rPr>
                      <w:rFonts w:hint="eastAsia" w:cs="Times New Roman"/>
                      <w:color w:val="auto"/>
                      <w:szCs w:val="21"/>
                      <w:lang w:val="en-US" w:eastAsia="zh-CN"/>
                    </w:rPr>
                    <w:t>约400m处</w:t>
                  </w:r>
                </w:p>
              </w:tc>
              <w:tc>
                <w:tcPr>
                  <w:tcW w:w="1372"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H</w:t>
                  </w:r>
                  <w:r>
                    <w:rPr>
                      <w:rFonts w:hint="default" w:ascii="Times New Roman" w:hAnsi="Times New Roman" w:cs="Times New Roman"/>
                      <w:color w:val="auto"/>
                      <w:szCs w:val="21"/>
                      <w:vertAlign w:val="subscript"/>
                    </w:rPr>
                    <w:t>2</w:t>
                  </w:r>
                  <w:r>
                    <w:rPr>
                      <w:rFonts w:hint="default" w:ascii="Times New Roman" w:hAnsi="Times New Roman" w:cs="Times New Roman"/>
                      <w:color w:val="auto"/>
                      <w:szCs w:val="21"/>
                    </w:rPr>
                    <w:t>S</w:t>
                  </w:r>
                </w:p>
              </w:tc>
              <w:tc>
                <w:tcPr>
                  <w:tcW w:w="1923"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连续监测3d，每天等时间段采样4次，取小时均值</w:t>
                  </w:r>
                </w:p>
              </w:tc>
              <w:tc>
                <w:tcPr>
                  <w:tcW w:w="1308"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Cs w:val="21"/>
                      <w:lang w:val="en-US" w:eastAsia="zh-CN"/>
                    </w:rPr>
                  </w:pPr>
                  <w:r>
                    <w:rPr>
                      <w:rFonts w:hint="default" w:ascii="Times New Roman" w:hAnsi="Times New Roman" w:cs="Times New Roman"/>
                      <w:color w:val="auto"/>
                      <w:szCs w:val="21"/>
                    </w:rPr>
                    <w:t>2024.</w:t>
                  </w:r>
                  <w:r>
                    <w:rPr>
                      <w:rFonts w:hint="eastAsia" w:cs="Times New Roman"/>
                      <w:color w:val="auto"/>
                      <w:szCs w:val="21"/>
                      <w:lang w:val="en-US" w:eastAsia="zh-CN"/>
                    </w:rPr>
                    <w:t>11</w:t>
                  </w:r>
                  <w:r>
                    <w:rPr>
                      <w:rFonts w:hint="default" w:ascii="Times New Roman" w:hAnsi="Times New Roman" w:cs="Times New Roman"/>
                      <w:color w:val="auto"/>
                      <w:szCs w:val="21"/>
                    </w:rPr>
                    <w:t>.</w:t>
                  </w:r>
                  <w:r>
                    <w:rPr>
                      <w:rFonts w:hint="eastAsia" w:cs="Times New Roman"/>
                      <w:color w:val="auto"/>
                      <w:szCs w:val="21"/>
                      <w:lang w:val="en-US" w:eastAsia="zh-CN"/>
                    </w:rPr>
                    <w:t>19</w:t>
                  </w:r>
                  <w:r>
                    <w:rPr>
                      <w:rFonts w:hint="default" w:ascii="Times New Roman" w:hAnsi="Times New Roman" w:cs="Times New Roman"/>
                      <w:color w:val="auto"/>
                      <w:szCs w:val="21"/>
                    </w:rPr>
                    <w:t>~</w:t>
                  </w:r>
                  <w:r>
                    <w:rPr>
                      <w:rFonts w:hint="eastAsia" w:cs="Times New Roman"/>
                      <w:color w:val="auto"/>
                      <w:szCs w:val="21"/>
                      <w:lang w:val="en-US" w:eastAsia="zh-CN"/>
                    </w:rPr>
                    <w:t>11</w:t>
                  </w:r>
                  <w:r>
                    <w:rPr>
                      <w:rFonts w:hint="default" w:ascii="Times New Roman" w:hAnsi="Times New Roman" w:cs="Times New Roman"/>
                      <w:color w:val="auto"/>
                      <w:szCs w:val="21"/>
                    </w:rPr>
                    <w:t>.</w:t>
                  </w:r>
                  <w:r>
                    <w:rPr>
                      <w:rFonts w:hint="eastAsia" w:cs="Times New Roman"/>
                      <w:color w:val="auto"/>
                      <w:szCs w:val="21"/>
                      <w:lang w:val="en-US" w:eastAsia="zh-CN"/>
                    </w:rPr>
                    <w:t>21</w:t>
                  </w:r>
                </w:p>
              </w:tc>
              <w:tc>
                <w:tcPr>
                  <w:tcW w:w="826" w:type="dxa"/>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实测</w:t>
                  </w:r>
                </w:p>
              </w:tc>
            </w:tr>
          </w:tbl>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②评价标准</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本次硫化氢环境质量现状评价，执行标准采用《环境影响评价技术导则大气环境》（HJ2.2-2018）中附录D浓度限值10μg/m</w:t>
            </w:r>
            <w:r>
              <w:rPr>
                <w:rFonts w:hint="default" w:ascii="Times New Roman" w:hAnsi="Times New Roman" w:cs="Times New Roman"/>
                <w:color w:val="auto"/>
                <w:sz w:val="24"/>
                <w:szCs w:val="24"/>
                <w:vertAlign w:val="superscript"/>
              </w:rPr>
              <w:t>3</w:t>
            </w:r>
            <w:r>
              <w:rPr>
                <w:rFonts w:hint="default" w:ascii="Times New Roman" w:hAnsi="Times New Roman" w:cs="Times New Roman"/>
                <w:color w:val="auto"/>
                <w:sz w:val="24"/>
                <w:szCs w:val="24"/>
              </w:rPr>
              <w:t>。</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③评价方法</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环境空气质量现状评价方法采用最大占标率法，当取值时间最大浓度值占相应标准浓度限值的百分比大于或等于100％时，表明环境空气质量超标。计算公式如下：</w:t>
            </w:r>
          </w:p>
          <w:p>
            <w:pPr>
              <w:pStyle w:val="341"/>
              <w:keepNext w:val="0"/>
              <w:keepLines w:val="0"/>
              <w:suppressLineNumbers w:val="0"/>
              <w:spacing w:before="0" w:beforeAutospacing="0" w:after="0" w:afterAutospacing="0"/>
              <w:ind w:left="0" w:right="0" w:firstLine="0" w:firstLineChars="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fldChar w:fldCharType="begin"/>
            </w:r>
            <w:r>
              <w:rPr>
                <w:rFonts w:hint="default" w:ascii="Times New Roman" w:hAnsi="Times New Roman" w:cs="Times New Roman"/>
                <w:color w:val="auto"/>
                <w:sz w:val="24"/>
                <w:szCs w:val="24"/>
              </w:rPr>
              <w:instrText xml:space="preserve"> INCLUDEPICTURE "C:\\Users\\73603\\AppData\\Local\\Temp\\ksohtml5344\\wps3.png" \* MERGEFORMATINET </w:instrText>
            </w:r>
            <w:r>
              <w:rPr>
                <w:rFonts w:hint="default" w:ascii="Times New Roman" w:hAnsi="Times New Roman" w:cs="Times New Roman"/>
                <w:color w:val="auto"/>
                <w:sz w:val="24"/>
                <w:szCs w:val="24"/>
              </w:rPr>
              <w:fldChar w:fldCharType="separate"/>
            </w:r>
            <w:r>
              <w:rPr>
                <w:rFonts w:hint="default" w:ascii="Times New Roman" w:hAnsi="Times New Roman" w:cs="Times New Roman"/>
                <w:color w:val="auto"/>
                <w:sz w:val="24"/>
                <w:szCs w:val="24"/>
              </w:rPr>
              <w:drawing>
                <wp:inline distT="0" distB="0" distL="114300" distR="114300">
                  <wp:extent cx="1036955" cy="447040"/>
                  <wp:effectExtent l="0" t="0" r="0" b="10795"/>
                  <wp:docPr id="87" name="图片 7" descr="wps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7" descr="wps3"/>
                          <pic:cNvPicPr>
                            <a:picLocks noChangeAspect="1"/>
                          </pic:cNvPicPr>
                        </pic:nvPicPr>
                        <pic:blipFill>
                          <a:blip r:embed="rId17"/>
                          <a:stretch>
                            <a:fillRect/>
                          </a:stretch>
                        </pic:blipFill>
                        <pic:spPr>
                          <a:xfrm>
                            <a:off x="0" y="0"/>
                            <a:ext cx="1036955" cy="447040"/>
                          </a:xfrm>
                          <a:prstGeom prst="rect">
                            <a:avLst/>
                          </a:prstGeom>
                          <a:noFill/>
                          <a:ln>
                            <a:noFill/>
                          </a:ln>
                        </pic:spPr>
                      </pic:pic>
                    </a:graphicData>
                  </a:graphic>
                </wp:inline>
              </w:drawing>
            </w:r>
            <w:r>
              <w:rPr>
                <w:rFonts w:hint="default" w:ascii="Times New Roman" w:hAnsi="Times New Roman" w:cs="Times New Roman"/>
                <w:color w:val="auto"/>
                <w:sz w:val="24"/>
                <w:szCs w:val="24"/>
              </w:rPr>
              <w:fldChar w:fldCharType="end"/>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式中：Pi——某污染物i的占标率；</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 xml:space="preserve">      Ci——i污染物的监测浓度值，mg/m</w:t>
            </w:r>
            <w:r>
              <w:rPr>
                <w:rFonts w:hint="default" w:ascii="Times New Roman" w:hAnsi="Times New Roman" w:cs="Times New Roman"/>
                <w:color w:val="auto"/>
                <w:sz w:val="24"/>
                <w:szCs w:val="24"/>
                <w:vertAlign w:val="superscript"/>
              </w:rPr>
              <w:t>3</w:t>
            </w:r>
            <w:r>
              <w:rPr>
                <w:rFonts w:hint="default" w:ascii="Times New Roman" w:hAnsi="Times New Roman" w:cs="Times New Roman"/>
                <w:color w:val="auto"/>
                <w:sz w:val="24"/>
                <w:szCs w:val="24"/>
              </w:rPr>
              <w:t>；</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 xml:space="preserve">      C0i——i污染物相应的环境质量标准，mg/m</w:t>
            </w:r>
            <w:r>
              <w:rPr>
                <w:rFonts w:hint="default" w:ascii="Times New Roman" w:hAnsi="Times New Roman" w:cs="Times New Roman"/>
                <w:color w:val="auto"/>
                <w:sz w:val="24"/>
                <w:szCs w:val="24"/>
                <w:vertAlign w:val="superscript"/>
              </w:rPr>
              <w:t>3</w:t>
            </w:r>
            <w:r>
              <w:rPr>
                <w:rFonts w:hint="default" w:ascii="Times New Roman" w:hAnsi="Times New Roman" w:cs="Times New Roman"/>
                <w:color w:val="auto"/>
                <w:sz w:val="24"/>
                <w:szCs w:val="24"/>
              </w:rPr>
              <w:t>。</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⑤监测结果</w:t>
            </w:r>
          </w:p>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环境空气质量现状监测数据统计及评价结果见表3-3。</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sz w:val="24"/>
              </w:rPr>
            </w:pPr>
            <w:r>
              <w:rPr>
                <w:rFonts w:hint="default" w:ascii="Times New Roman" w:hAnsi="Times New Roman" w:cs="Times New Roman"/>
                <w:b/>
                <w:bCs/>
                <w:color w:val="auto"/>
                <w:sz w:val="24"/>
              </w:rPr>
              <w:t xml:space="preserve"> 环境空气质量现状监测数据统计及评价结果   单位：mg/m</w:t>
            </w:r>
            <w:r>
              <w:rPr>
                <w:rFonts w:hint="default" w:ascii="Times New Roman" w:hAnsi="Times New Roman" w:cs="Times New Roman"/>
                <w:b/>
                <w:bCs/>
                <w:color w:val="auto"/>
                <w:sz w:val="24"/>
                <w:vertAlign w:val="superscript"/>
              </w:rPr>
              <w:t>3</w:t>
            </w:r>
          </w:p>
          <w:tbl>
            <w:tblPr>
              <w:tblStyle w:val="44"/>
              <w:tblW w:w="5000" w:type="pct"/>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592"/>
              <w:gridCol w:w="1243"/>
              <w:gridCol w:w="1243"/>
              <w:gridCol w:w="1242"/>
              <w:gridCol w:w="1483"/>
              <w:gridCol w:w="1224"/>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592" w:type="dxa"/>
                  <w:tcBorders>
                    <w:top w:val="single" w:color="auto" w:sz="4" w:space="0"/>
                    <w:left w:val="single" w:color="auto" w:sz="4" w:space="0"/>
                    <w:bottom w:val="single" w:color="auto" w:sz="6" w:space="0"/>
                    <w:right w:val="single" w:color="auto" w:sz="6"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污染物</w:t>
                  </w:r>
                </w:p>
              </w:tc>
              <w:tc>
                <w:tcPr>
                  <w:tcW w:w="1243" w:type="dxa"/>
                  <w:tcBorders>
                    <w:top w:val="single" w:color="auto" w:sz="4" w:space="0"/>
                    <w:left w:val="single" w:color="auto" w:sz="6" w:space="0"/>
                    <w:bottom w:val="single" w:color="auto" w:sz="6" w:space="0"/>
                    <w:right w:val="single" w:color="auto" w:sz="6"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标准值</w:t>
                  </w:r>
                </w:p>
              </w:tc>
              <w:tc>
                <w:tcPr>
                  <w:tcW w:w="1243" w:type="dxa"/>
                  <w:tcBorders>
                    <w:top w:val="single" w:color="auto" w:sz="4" w:space="0"/>
                    <w:left w:val="single" w:color="auto" w:sz="6" w:space="0"/>
                    <w:bottom w:val="single" w:color="auto" w:sz="6" w:space="0"/>
                    <w:right w:val="single" w:color="auto" w:sz="6"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监测值</w:t>
                  </w:r>
                </w:p>
              </w:tc>
              <w:tc>
                <w:tcPr>
                  <w:tcW w:w="1242" w:type="dxa"/>
                  <w:tcBorders>
                    <w:top w:val="single" w:color="auto" w:sz="4" w:space="0"/>
                    <w:left w:val="single" w:color="auto" w:sz="6" w:space="0"/>
                    <w:bottom w:val="single" w:color="auto" w:sz="6" w:space="0"/>
                    <w:right w:val="single" w:color="auto" w:sz="6"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超标率</w:t>
                  </w:r>
                  <w:r>
                    <w:rPr>
                      <w:rFonts w:hint="eastAsia" w:cs="Times New Roman"/>
                      <w:color w:val="auto"/>
                      <w:szCs w:val="21"/>
                      <w:lang w:eastAsia="zh-CN"/>
                    </w:rPr>
                    <w:t>（</w:t>
                  </w:r>
                  <w:r>
                    <w:rPr>
                      <w:rFonts w:hint="default" w:ascii="Times New Roman" w:hAnsi="Times New Roman" w:cs="Times New Roman"/>
                      <w:color w:val="auto"/>
                      <w:szCs w:val="21"/>
                    </w:rPr>
                    <w:t>%</w:t>
                  </w:r>
                  <w:r>
                    <w:rPr>
                      <w:rFonts w:hint="eastAsia" w:cs="Times New Roman"/>
                      <w:color w:val="auto"/>
                      <w:szCs w:val="21"/>
                      <w:lang w:eastAsia="zh-CN"/>
                    </w:rPr>
                    <w:t>）</w:t>
                  </w:r>
                </w:p>
              </w:tc>
              <w:tc>
                <w:tcPr>
                  <w:tcW w:w="1483" w:type="dxa"/>
                  <w:tcBorders>
                    <w:top w:val="single" w:color="auto" w:sz="4" w:space="0"/>
                    <w:left w:val="single" w:color="auto" w:sz="6" w:space="0"/>
                    <w:bottom w:val="single" w:color="auto" w:sz="6" w:space="0"/>
                    <w:right w:val="single" w:color="auto" w:sz="6"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最大超标倍数</w:t>
                  </w:r>
                </w:p>
              </w:tc>
              <w:tc>
                <w:tcPr>
                  <w:tcW w:w="1224" w:type="dxa"/>
                  <w:tcBorders>
                    <w:top w:val="single" w:color="auto" w:sz="4" w:space="0"/>
                    <w:left w:val="single" w:color="auto" w:sz="6" w:space="0"/>
                    <w:bottom w:val="single" w:color="auto" w:sz="6" w:space="0"/>
                    <w:right w:val="single" w:color="auto" w:sz="4"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占标率</w:t>
                  </w:r>
                  <w:r>
                    <w:rPr>
                      <w:rFonts w:hint="eastAsia" w:cs="Times New Roman"/>
                      <w:color w:val="auto"/>
                      <w:szCs w:val="21"/>
                      <w:lang w:eastAsia="zh-CN"/>
                    </w:rPr>
                    <w:t>（</w:t>
                  </w:r>
                  <w:r>
                    <w:rPr>
                      <w:rFonts w:hint="default" w:ascii="Times New Roman" w:hAnsi="Times New Roman" w:cs="Times New Roman"/>
                      <w:color w:val="auto"/>
                      <w:szCs w:val="21"/>
                    </w:rPr>
                    <w:t>%</w:t>
                  </w:r>
                  <w:r>
                    <w:rPr>
                      <w:rFonts w:hint="eastAsia" w:cs="Times New Roman"/>
                      <w:color w:val="auto"/>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592" w:type="dxa"/>
                  <w:tcBorders>
                    <w:top w:val="single" w:color="auto" w:sz="6" w:space="0"/>
                    <w:left w:val="single" w:color="auto" w:sz="4" w:space="0"/>
                    <w:bottom w:val="single" w:color="auto" w:sz="6" w:space="0"/>
                    <w:right w:val="single" w:color="auto" w:sz="6"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H</w:t>
                  </w:r>
                  <w:r>
                    <w:rPr>
                      <w:rFonts w:hint="default" w:ascii="Times New Roman" w:hAnsi="Times New Roman" w:cs="Times New Roman"/>
                      <w:color w:val="auto"/>
                      <w:szCs w:val="21"/>
                      <w:vertAlign w:val="subscript"/>
                    </w:rPr>
                    <w:t>2</w:t>
                  </w:r>
                  <w:r>
                    <w:rPr>
                      <w:rFonts w:hint="default" w:ascii="Times New Roman" w:hAnsi="Times New Roman" w:cs="Times New Roman"/>
                      <w:color w:val="auto"/>
                      <w:szCs w:val="21"/>
                    </w:rPr>
                    <w:t>S</w:t>
                  </w:r>
                </w:p>
              </w:tc>
              <w:tc>
                <w:tcPr>
                  <w:tcW w:w="1243" w:type="dxa"/>
                  <w:tcBorders>
                    <w:top w:val="single" w:color="auto" w:sz="6" w:space="0"/>
                    <w:left w:val="single" w:color="auto" w:sz="6" w:space="0"/>
                    <w:bottom w:val="single" w:color="auto" w:sz="6" w:space="0"/>
                    <w:right w:val="single" w:color="auto" w:sz="6"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0.01</w:t>
                  </w:r>
                </w:p>
              </w:tc>
              <w:tc>
                <w:tcPr>
                  <w:tcW w:w="1243" w:type="dxa"/>
                  <w:tcBorders>
                    <w:top w:val="single" w:color="auto" w:sz="6" w:space="0"/>
                    <w:left w:val="single" w:color="auto" w:sz="6" w:space="0"/>
                    <w:bottom w:val="single" w:color="auto" w:sz="6" w:space="0"/>
                    <w:right w:val="single" w:color="auto" w:sz="6"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ND</w:t>
                  </w:r>
                </w:p>
              </w:tc>
              <w:tc>
                <w:tcPr>
                  <w:tcW w:w="1242" w:type="dxa"/>
                  <w:tcBorders>
                    <w:top w:val="single" w:color="auto" w:sz="6" w:space="0"/>
                    <w:left w:val="single" w:color="auto" w:sz="6" w:space="0"/>
                    <w:bottom w:val="single" w:color="auto" w:sz="6" w:space="0"/>
                    <w:right w:val="single" w:color="auto" w:sz="6"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0</w:t>
                  </w:r>
                </w:p>
              </w:tc>
              <w:tc>
                <w:tcPr>
                  <w:tcW w:w="1483" w:type="dxa"/>
                  <w:tcBorders>
                    <w:top w:val="single" w:color="auto" w:sz="6" w:space="0"/>
                    <w:left w:val="single" w:color="auto" w:sz="6" w:space="0"/>
                    <w:bottom w:val="single" w:color="auto" w:sz="6" w:space="0"/>
                    <w:right w:val="single" w:color="auto" w:sz="6"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224" w:type="dxa"/>
                  <w:tcBorders>
                    <w:top w:val="single" w:color="auto" w:sz="6" w:space="0"/>
                    <w:left w:val="single" w:color="auto" w:sz="6" w:space="0"/>
                    <w:bottom w:val="single" w:color="auto" w:sz="6" w:space="0"/>
                    <w:right w:val="single" w:color="auto" w:sz="4"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bl>
          <w:p>
            <w:pPr>
              <w:pStyle w:val="341"/>
              <w:keepNext w:val="0"/>
              <w:keepLines w:val="0"/>
              <w:suppressLineNumbers w:val="0"/>
              <w:spacing w:before="0" w:beforeAutospacing="0" w:after="0" w:afterAutospacing="0"/>
              <w:ind w:left="0" w:right="0" w:firstLine="48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本项目拟建地环境空气中特征污染物硫化氢现状监测值均低于《环境影响评价技术导则大气环境》（HJ2.2-2018）中附录D标准限值。</w:t>
            </w:r>
          </w:p>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bCs/>
                <w:color w:val="auto"/>
                <w:sz w:val="24"/>
                <w:lang w:bidi="ar"/>
              </w:rPr>
            </w:pPr>
            <w:r>
              <w:rPr>
                <w:rFonts w:hint="default" w:ascii="Times New Roman" w:hAnsi="Times New Roman" w:cs="Times New Roman"/>
                <w:b/>
                <w:bCs/>
                <w:color w:val="auto"/>
                <w:sz w:val="24"/>
                <w:lang w:bidi="ar"/>
              </w:rPr>
              <w:t>2、地表水环境</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lang w:val="en-US" w:eastAsia="zh-CN"/>
              </w:rPr>
              <w:t>本项目周边地表水体主要为</w:t>
            </w:r>
            <w:r>
              <w:rPr>
                <w:rFonts w:hint="eastAsia" w:cs="Times New Roman"/>
                <w:color w:val="auto"/>
                <w:kern w:val="0"/>
                <w:sz w:val="24"/>
                <w:lang w:val="en-US" w:eastAsia="zh-CN"/>
              </w:rPr>
              <w:t>山河滩河</w:t>
            </w:r>
            <w:r>
              <w:rPr>
                <w:rFonts w:hint="default" w:ascii="Times New Roman" w:hAnsi="Times New Roman" w:cs="Times New Roman"/>
                <w:color w:val="auto"/>
                <w:kern w:val="0"/>
                <w:sz w:val="24"/>
                <w:lang w:val="en-US" w:eastAsia="zh-CN"/>
              </w:rPr>
              <w:t>，属于</w:t>
            </w:r>
            <w:r>
              <w:rPr>
                <w:rFonts w:hint="eastAsia" w:cs="Times New Roman"/>
                <w:color w:val="auto"/>
                <w:kern w:val="0"/>
                <w:sz w:val="24"/>
                <w:lang w:val="en-US" w:eastAsia="zh-CN"/>
              </w:rPr>
              <w:t>后河</w:t>
            </w:r>
            <w:r>
              <w:rPr>
                <w:rFonts w:hint="default" w:ascii="Times New Roman" w:hAnsi="Times New Roman" w:cs="Times New Roman"/>
                <w:color w:val="auto"/>
                <w:kern w:val="0"/>
                <w:sz w:val="24"/>
                <w:lang w:val="en-US" w:eastAsia="zh-CN"/>
              </w:rPr>
              <w:t>分支，最终汇入</w:t>
            </w:r>
            <w:r>
              <w:rPr>
                <w:rFonts w:hint="eastAsia" w:cs="Times New Roman"/>
                <w:color w:val="auto"/>
                <w:kern w:val="0"/>
                <w:sz w:val="24"/>
                <w:lang w:val="en-US" w:eastAsia="zh-CN"/>
              </w:rPr>
              <w:t>后</w:t>
            </w:r>
            <w:r>
              <w:rPr>
                <w:rFonts w:hint="default" w:ascii="Times New Roman" w:hAnsi="Times New Roman" w:cs="Times New Roman"/>
                <w:color w:val="auto"/>
                <w:kern w:val="0"/>
                <w:sz w:val="24"/>
                <w:lang w:val="en-US" w:eastAsia="zh-CN"/>
              </w:rPr>
              <w:t>河，项目不涉及饮用水源保护区，</w:t>
            </w:r>
            <w:r>
              <w:rPr>
                <w:rFonts w:hint="default" w:ascii="Times New Roman" w:hAnsi="Times New Roman" w:cs="Times New Roman"/>
                <w:color w:val="auto"/>
                <w:kern w:val="0"/>
                <w:sz w:val="24"/>
              </w:rPr>
              <w:t>根据</w:t>
            </w:r>
            <w:r>
              <w:rPr>
                <w:rFonts w:hint="default" w:ascii="Times New Roman" w:hAnsi="Times New Roman" w:cs="Times New Roman"/>
                <w:color w:val="auto"/>
                <w:kern w:val="0"/>
                <w:sz w:val="24"/>
                <w:lang w:val="en-US" w:eastAsia="zh-CN"/>
              </w:rPr>
              <w:t>达州市生态环境局发布的</w:t>
            </w:r>
            <w:r>
              <w:rPr>
                <w:rFonts w:hint="default" w:ascii="Times New Roman" w:hAnsi="Times New Roman" w:cs="Times New Roman"/>
                <w:color w:val="auto"/>
                <w:kern w:val="0"/>
                <w:sz w:val="24"/>
              </w:rPr>
              <w:t>《2024年</w:t>
            </w:r>
            <w:r>
              <w:rPr>
                <w:rFonts w:hint="default" w:ascii="Times New Roman" w:hAnsi="Times New Roman" w:cs="Times New Roman"/>
                <w:color w:val="auto"/>
                <w:kern w:val="0"/>
                <w:sz w:val="24"/>
                <w:lang w:val="en-US" w:eastAsia="zh-CN"/>
              </w:rPr>
              <w:t>11</w:t>
            </w:r>
            <w:r>
              <w:rPr>
                <w:rFonts w:hint="default" w:ascii="Times New Roman" w:hAnsi="Times New Roman" w:cs="Times New Roman"/>
                <w:color w:val="auto"/>
                <w:kern w:val="0"/>
                <w:sz w:val="24"/>
              </w:rPr>
              <w:t>月达州市地表水水质月报》：202</w:t>
            </w:r>
            <w:r>
              <w:rPr>
                <w:rFonts w:hint="default" w:ascii="Times New Roman" w:hAnsi="Times New Roman" w:cs="Times New Roman"/>
                <w:color w:val="auto"/>
                <w:kern w:val="0"/>
                <w:sz w:val="24"/>
                <w:lang w:val="en-US" w:eastAsia="zh-CN"/>
              </w:rPr>
              <w:t>4</w:t>
            </w:r>
            <w:r>
              <w:rPr>
                <w:rFonts w:hint="default" w:ascii="Times New Roman" w:hAnsi="Times New Roman" w:cs="Times New Roman"/>
                <w:color w:val="auto"/>
                <w:kern w:val="0"/>
                <w:sz w:val="24"/>
              </w:rPr>
              <w:t>年</w:t>
            </w:r>
            <w:r>
              <w:rPr>
                <w:rFonts w:hint="default" w:ascii="Times New Roman" w:hAnsi="Times New Roman" w:cs="Times New Roman"/>
                <w:color w:val="auto"/>
                <w:kern w:val="0"/>
                <w:sz w:val="24"/>
                <w:lang w:val="en-US" w:eastAsia="zh-CN"/>
              </w:rPr>
              <w:t>11</w:t>
            </w:r>
            <w:r>
              <w:rPr>
                <w:rFonts w:hint="default" w:ascii="Times New Roman" w:hAnsi="Times New Roman" w:cs="Times New Roman"/>
                <w:color w:val="auto"/>
                <w:kern w:val="0"/>
                <w:sz w:val="24"/>
              </w:rPr>
              <w:t>月全市37个河流断面</w:t>
            </w:r>
            <w:r>
              <w:rPr>
                <w:rFonts w:hint="default" w:ascii="Times New Roman" w:hAnsi="Times New Roman" w:cs="Times New Roman"/>
                <w:color w:val="auto"/>
                <w:kern w:val="0"/>
                <w:sz w:val="24"/>
                <w:lang w:val="en-US" w:eastAsia="zh-CN"/>
              </w:rPr>
              <w:t>中</w:t>
            </w:r>
            <w:r>
              <w:rPr>
                <w:rFonts w:hint="default" w:ascii="Times New Roman" w:hAnsi="Times New Roman" w:cs="Times New Roman"/>
                <w:color w:val="auto"/>
                <w:kern w:val="0"/>
                <w:sz w:val="24"/>
              </w:rPr>
              <w:t>优（I~</w:t>
            </w:r>
            <w:r>
              <w:rPr>
                <w:rFonts w:hint="eastAsia" w:cs="Times New Roman"/>
                <w:color w:val="auto"/>
                <w:kern w:val="0"/>
                <w:sz w:val="24"/>
                <w:lang w:eastAsia="zh-CN"/>
              </w:rPr>
              <w:t>Ⅱ类</w:t>
            </w:r>
            <w:r>
              <w:rPr>
                <w:rFonts w:hint="default" w:ascii="Times New Roman" w:hAnsi="Times New Roman" w:cs="Times New Roman"/>
                <w:color w:val="auto"/>
                <w:kern w:val="0"/>
                <w:sz w:val="24"/>
              </w:rPr>
              <w:t>）良（III类）水质 断面36个，占比97.3%。轻度污染（</w:t>
            </w:r>
            <w:r>
              <w:rPr>
                <w:rFonts w:hint="eastAsia" w:cs="Times New Roman"/>
                <w:color w:val="auto"/>
                <w:kern w:val="0"/>
                <w:sz w:val="24"/>
                <w:lang w:eastAsia="zh-CN"/>
              </w:rPr>
              <w:t>Ⅳ类</w:t>
            </w:r>
            <w:r>
              <w:rPr>
                <w:rFonts w:hint="default" w:ascii="Times New Roman" w:hAnsi="Times New Roman" w:cs="Times New Roman"/>
                <w:color w:val="auto"/>
                <w:kern w:val="0"/>
                <w:sz w:val="24"/>
              </w:rPr>
              <w:t>）水质断面1个，占比2.7%。全市河流超标情况为：施家河岩登坡桥断面受到轻度污染，主要污染指标为化学需氧量。</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color w:val="auto"/>
                <w:kern w:val="0"/>
                <w:sz w:val="24"/>
              </w:rPr>
            </w:pPr>
            <w:r>
              <w:rPr>
                <w:rFonts w:hint="default" w:ascii="Times New Roman" w:hAnsi="Times New Roman" w:cs="Times New Roman"/>
                <w:color w:val="auto"/>
                <w:kern w:val="0"/>
                <w:sz w:val="24"/>
              </w:rPr>
              <w:t xml:space="preserve"> 2023年12月达州市河流水质评价结果表</w:t>
            </w:r>
          </w:p>
          <w:tbl>
            <w:tblPr>
              <w:tblStyle w:val="4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18"/>
              <w:gridCol w:w="889"/>
              <w:gridCol w:w="548"/>
              <w:gridCol w:w="899"/>
              <w:gridCol w:w="1497"/>
              <w:gridCol w:w="899"/>
              <w:gridCol w:w="531"/>
              <w:gridCol w:w="531"/>
              <w:gridCol w:w="529"/>
              <w:gridCol w:w="11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45" w:hRule="atLeast"/>
                <w:jc w:val="center"/>
              </w:trPr>
              <w:tc>
                <w:tcPr>
                  <w:tcW w:w="532" w:type="dxa"/>
                  <w:tcBorders>
                    <w:top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序号</w:t>
                  </w:r>
                </w:p>
              </w:tc>
              <w:tc>
                <w:tcPr>
                  <w:tcW w:w="1478" w:type="dxa"/>
                  <w:gridSpan w:val="2"/>
                  <w:tcBorders>
                    <w:top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河流</w:t>
                  </w:r>
                </w:p>
              </w:tc>
              <w:tc>
                <w:tcPr>
                  <w:tcW w:w="926" w:type="dxa"/>
                  <w:tcBorders>
                    <w:top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断面名称</w:t>
                  </w:r>
                </w:p>
              </w:tc>
              <w:tc>
                <w:tcPr>
                  <w:tcW w:w="1542" w:type="dxa"/>
                  <w:tcBorders>
                    <w:top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断面属性</w:t>
                  </w:r>
                </w:p>
              </w:tc>
              <w:tc>
                <w:tcPr>
                  <w:tcW w:w="926" w:type="dxa"/>
                  <w:tcBorders>
                    <w:top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断面性质</w:t>
                  </w:r>
                </w:p>
              </w:tc>
              <w:tc>
                <w:tcPr>
                  <w:tcW w:w="546" w:type="dxa"/>
                  <w:tcBorders>
                    <w:top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上年</w:t>
                  </w:r>
                </w:p>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同期</w:t>
                  </w:r>
                </w:p>
              </w:tc>
              <w:tc>
                <w:tcPr>
                  <w:tcW w:w="546" w:type="dxa"/>
                  <w:tcBorders>
                    <w:top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上月</w:t>
                  </w:r>
                </w:p>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类别</w:t>
                  </w:r>
                </w:p>
              </w:tc>
              <w:tc>
                <w:tcPr>
                  <w:tcW w:w="544" w:type="dxa"/>
                  <w:tcBorders>
                    <w:top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本月</w:t>
                  </w:r>
                </w:p>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类别</w:t>
                  </w:r>
                </w:p>
              </w:tc>
              <w:tc>
                <w:tcPr>
                  <w:tcW w:w="1223" w:type="dxa"/>
                  <w:tcBorders>
                    <w:top w:val="single" w:color="auto" w:sz="12" w:space="0"/>
                    <w:right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主要污染指标（类别）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 w:hRule="atLeast"/>
                <w:jc w:val="center"/>
              </w:trPr>
              <w:tc>
                <w:tcPr>
                  <w:tcW w:w="532" w:type="dxa"/>
                  <w:tcBorders>
                    <w:left w:val="single" w:color="auto" w:sz="4" w:space="0"/>
                    <w:bottom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1</w:t>
                  </w:r>
                </w:p>
              </w:tc>
              <w:tc>
                <w:tcPr>
                  <w:tcW w:w="914" w:type="dxa"/>
                  <w:tcBorders>
                    <w:bottom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州河水系</w:t>
                  </w:r>
                </w:p>
              </w:tc>
              <w:tc>
                <w:tcPr>
                  <w:tcW w:w="564" w:type="dxa"/>
                  <w:tcBorders>
                    <w:bottom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eastAsia" w:ascii="Times New Roman" w:hAnsi="Times New Roman" w:eastAsia="宋体" w:cs="Times New Roman"/>
                      <w:color w:val="auto"/>
                      <w:szCs w:val="21"/>
                      <w:lang w:val="en-US" w:eastAsia="zh-CN"/>
                    </w:rPr>
                  </w:pPr>
                  <w:r>
                    <w:rPr>
                      <w:rFonts w:hint="eastAsia" w:cs="Times New Roman"/>
                      <w:color w:val="auto"/>
                      <w:szCs w:val="21"/>
                      <w:lang w:val="en-US" w:eastAsia="zh-CN"/>
                    </w:rPr>
                    <w:t>中河</w:t>
                  </w:r>
                </w:p>
              </w:tc>
              <w:tc>
                <w:tcPr>
                  <w:tcW w:w="926" w:type="dxa"/>
                  <w:tcBorders>
                    <w:bottom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普光</w:t>
                  </w:r>
                </w:p>
              </w:tc>
              <w:tc>
                <w:tcPr>
                  <w:tcW w:w="1542" w:type="dxa"/>
                  <w:tcBorders>
                    <w:bottom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入河口（入后河）</w:t>
                  </w:r>
                </w:p>
              </w:tc>
              <w:tc>
                <w:tcPr>
                  <w:tcW w:w="926" w:type="dxa"/>
                  <w:tcBorders>
                    <w:bottom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省控趋势科研</w:t>
                  </w:r>
                </w:p>
              </w:tc>
              <w:tc>
                <w:tcPr>
                  <w:tcW w:w="546" w:type="dxa"/>
                  <w:tcBorders>
                    <w:bottom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eastAsia="微软雅黑" w:cs="Times New Roman"/>
                      <w:color w:val="auto"/>
                      <w:szCs w:val="21"/>
                    </w:rPr>
                    <w:t>II</w:t>
                  </w:r>
                </w:p>
              </w:tc>
              <w:tc>
                <w:tcPr>
                  <w:tcW w:w="546" w:type="dxa"/>
                  <w:tcBorders>
                    <w:bottom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II</w:t>
                  </w:r>
                </w:p>
              </w:tc>
              <w:tc>
                <w:tcPr>
                  <w:tcW w:w="544" w:type="dxa"/>
                  <w:tcBorders>
                    <w:bottom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II</w:t>
                  </w:r>
                </w:p>
              </w:tc>
              <w:tc>
                <w:tcPr>
                  <w:tcW w:w="1223" w:type="dxa"/>
                  <w:tcBorders>
                    <w:bottom w:val="single" w:color="auto" w:sz="12" w:space="0"/>
                    <w:right w:val="single" w:color="auto" w:sz="12" w:space="0"/>
                  </w:tcBorders>
                  <w:vAlign w:val="center"/>
                </w:tcPr>
                <w:p>
                  <w:pPr>
                    <w:pStyle w:val="341"/>
                    <w:keepNext w:val="0"/>
                    <w:keepLines w:val="0"/>
                    <w:suppressLineNumbers w:val="0"/>
                    <w:spacing w:before="0" w:beforeAutospacing="0" w:after="0" w:afterAutospacing="0" w:line="240" w:lineRule="auto"/>
                    <w:ind w:left="0" w:right="0" w:firstLine="0" w:firstLineChars="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bl>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根据现场调查本项目最近河流地表水为</w:t>
            </w:r>
            <w:r>
              <w:rPr>
                <w:rFonts w:hint="default" w:ascii="Times New Roman" w:hAnsi="Times New Roman" w:cs="Times New Roman"/>
                <w:color w:val="auto"/>
                <w:kern w:val="0"/>
                <w:sz w:val="24"/>
                <w:lang w:val="en-US" w:eastAsia="zh-CN"/>
              </w:rPr>
              <w:t>山河滩河</w:t>
            </w:r>
            <w:r>
              <w:rPr>
                <w:rFonts w:hint="default" w:ascii="Times New Roman" w:hAnsi="Times New Roman" w:cs="Times New Roman"/>
                <w:color w:val="auto"/>
                <w:kern w:val="0"/>
                <w:sz w:val="24"/>
              </w:rPr>
              <w:t>，距离约为</w:t>
            </w:r>
            <w:r>
              <w:rPr>
                <w:rFonts w:hint="eastAsia" w:cs="Times New Roman"/>
                <w:color w:val="auto"/>
                <w:kern w:val="0"/>
                <w:sz w:val="24"/>
                <w:lang w:val="en-US" w:eastAsia="zh-CN"/>
              </w:rPr>
              <w:t>1.8</w:t>
            </w:r>
            <w:r>
              <w:rPr>
                <w:rFonts w:hint="default" w:ascii="Times New Roman" w:hAnsi="Times New Roman" w:cs="Times New Roman"/>
                <w:color w:val="auto"/>
                <w:kern w:val="0"/>
                <w:sz w:val="24"/>
              </w:rPr>
              <w:t>km，与项目区相距较近的监测断面为</w:t>
            </w:r>
            <w:r>
              <w:rPr>
                <w:rFonts w:hint="eastAsia" w:cs="Times New Roman"/>
                <w:color w:val="auto"/>
                <w:kern w:val="0"/>
                <w:sz w:val="24"/>
                <w:lang w:val="en-US" w:eastAsia="zh-CN"/>
              </w:rPr>
              <w:t>中河普光检测断面</w:t>
            </w:r>
            <w:r>
              <w:rPr>
                <w:rFonts w:hint="default" w:ascii="Times New Roman" w:hAnsi="Times New Roman" w:cs="Times New Roman"/>
                <w:color w:val="auto"/>
                <w:kern w:val="0"/>
                <w:sz w:val="24"/>
              </w:rPr>
              <w:t>。根据上表例行监测数据表明：项目区域地表水体</w:t>
            </w:r>
            <w:r>
              <w:rPr>
                <w:rFonts w:hint="eastAsia" w:cs="Times New Roman"/>
                <w:color w:val="auto"/>
                <w:kern w:val="0"/>
                <w:sz w:val="24"/>
                <w:lang w:val="en-US" w:eastAsia="zh-CN"/>
              </w:rPr>
              <w:t>中河普光</w:t>
            </w:r>
            <w:r>
              <w:rPr>
                <w:rFonts w:hint="default" w:ascii="Times New Roman" w:hAnsi="Times New Roman" w:cs="Times New Roman"/>
                <w:color w:val="auto"/>
                <w:kern w:val="0"/>
                <w:sz w:val="24"/>
              </w:rPr>
              <w:t>监测断面的水质能够满足《地表水环境质量标准》（GB3838-2002）II类水域水质标准。</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bookmarkStart w:id="19" w:name="_Hlk79335615"/>
            <w:r>
              <w:rPr>
                <w:rFonts w:hint="default" w:ascii="Times New Roman" w:hAnsi="Times New Roman" w:cs="Times New Roman"/>
                <w:color w:val="auto"/>
                <w:kern w:val="0"/>
                <w:sz w:val="24"/>
              </w:rPr>
              <w:t>本项目</w:t>
            </w:r>
            <w:r>
              <w:rPr>
                <w:rFonts w:hint="default" w:ascii="Times New Roman" w:hAnsi="Times New Roman" w:cs="Times New Roman"/>
                <w:color w:val="auto"/>
                <w:kern w:val="0"/>
                <w:sz w:val="24"/>
                <w:lang w:val="en-US" w:eastAsia="zh-CN"/>
              </w:rPr>
              <w:t>钻井废水、</w:t>
            </w:r>
            <w:r>
              <w:rPr>
                <w:rFonts w:hint="default" w:ascii="Times New Roman" w:hAnsi="Times New Roman" w:cs="Times New Roman"/>
                <w:color w:val="auto"/>
                <w:kern w:val="0"/>
                <w:sz w:val="24"/>
              </w:rPr>
              <w:t>洗井废水</w:t>
            </w:r>
            <w:r>
              <w:rPr>
                <w:rFonts w:hint="default" w:ascii="Times New Roman" w:hAnsi="Times New Roman" w:cs="Times New Roman"/>
                <w:color w:val="auto"/>
                <w:kern w:val="0"/>
                <w:sz w:val="24"/>
                <w:lang w:val="en-US" w:eastAsia="zh-CN"/>
              </w:rPr>
              <w:t>不能回用时用密闭罐车定期拉运至</w:t>
            </w:r>
            <w:r>
              <w:rPr>
                <w:rFonts w:hint="eastAsia" w:cs="Times New Roman"/>
                <w:color w:val="auto"/>
                <w:kern w:val="0"/>
                <w:sz w:val="24"/>
                <w:lang w:val="en-US" w:eastAsia="zh-CN"/>
              </w:rPr>
              <w:t>赵家坝污水处理站</w:t>
            </w:r>
            <w:r>
              <w:rPr>
                <w:rFonts w:hint="default" w:ascii="Times New Roman" w:hAnsi="Times New Roman" w:cs="Times New Roman"/>
                <w:color w:val="auto"/>
                <w:kern w:val="0"/>
                <w:sz w:val="24"/>
                <w:lang w:val="en-US" w:eastAsia="zh-CN"/>
              </w:rPr>
              <w:t>处理达标后</w:t>
            </w:r>
            <w:r>
              <w:rPr>
                <w:rFonts w:hint="eastAsia" w:cs="Times New Roman"/>
                <w:color w:val="auto"/>
                <w:kern w:val="0"/>
                <w:sz w:val="24"/>
                <w:lang w:val="en-US" w:eastAsia="zh-CN"/>
              </w:rPr>
              <w:t>由罐车拉运至普光3井等</w:t>
            </w:r>
            <w:r>
              <w:rPr>
                <w:rFonts w:hint="default" w:ascii="Times New Roman" w:hAnsi="Times New Roman" w:cs="Times New Roman"/>
                <w:color w:val="auto"/>
                <w:kern w:val="0"/>
                <w:sz w:val="24"/>
                <w:lang w:val="en-US" w:eastAsia="zh-CN"/>
              </w:rPr>
              <w:t>回注站回注。</w:t>
            </w:r>
            <w:r>
              <w:rPr>
                <w:rFonts w:hint="default" w:ascii="Times New Roman" w:hAnsi="Times New Roman" w:cs="Times New Roman"/>
                <w:color w:val="auto"/>
                <w:kern w:val="0"/>
                <w:sz w:val="24"/>
              </w:rPr>
              <w:t>压裂返排液用密闭罐车定期拉运至</w:t>
            </w:r>
            <w:r>
              <w:rPr>
                <w:rFonts w:hint="eastAsia" w:cs="Times New Roman"/>
                <w:color w:val="auto"/>
                <w:kern w:val="0"/>
                <w:sz w:val="24"/>
                <w:lang w:eastAsia="zh-CN"/>
              </w:rPr>
              <w:t>赵家坝污水处理站</w:t>
            </w:r>
            <w:r>
              <w:rPr>
                <w:rFonts w:hint="default" w:ascii="Times New Roman" w:hAnsi="Times New Roman" w:cs="Times New Roman"/>
                <w:color w:val="auto"/>
                <w:kern w:val="0"/>
                <w:sz w:val="24"/>
              </w:rPr>
              <w:t>处理达标后</w:t>
            </w:r>
            <w:r>
              <w:rPr>
                <w:rFonts w:hint="eastAsia" w:cs="Times New Roman"/>
                <w:color w:val="auto"/>
                <w:kern w:val="0"/>
                <w:sz w:val="24"/>
                <w:lang w:eastAsia="zh-CN"/>
              </w:rPr>
              <w:t>由罐车拉运至普光3井等</w:t>
            </w:r>
            <w:r>
              <w:rPr>
                <w:rFonts w:hint="default" w:ascii="Times New Roman" w:hAnsi="Times New Roman" w:cs="Times New Roman"/>
                <w:color w:val="auto"/>
                <w:kern w:val="0"/>
                <w:sz w:val="24"/>
              </w:rPr>
              <w:t>回注站回注；生活污水经生态厕所收集后外运至</w:t>
            </w:r>
            <w:r>
              <w:rPr>
                <w:rFonts w:hint="eastAsia" w:cs="Times New Roman"/>
                <w:color w:val="auto"/>
                <w:kern w:val="0"/>
                <w:sz w:val="24"/>
                <w:lang w:eastAsia="zh-CN"/>
              </w:rPr>
              <w:t>普光镇</w:t>
            </w:r>
            <w:r>
              <w:rPr>
                <w:rFonts w:hint="default" w:ascii="Times New Roman" w:hAnsi="Times New Roman" w:cs="Times New Roman"/>
                <w:color w:val="auto"/>
                <w:kern w:val="0"/>
                <w:sz w:val="24"/>
              </w:rPr>
              <w:t>污水处理厂处理后排放，现场不外排。</w:t>
            </w:r>
            <w:bookmarkEnd w:id="19"/>
            <w:r>
              <w:rPr>
                <w:rFonts w:hint="default" w:ascii="Times New Roman" w:hAnsi="Times New Roman" w:cs="Times New Roman"/>
                <w:color w:val="auto"/>
                <w:kern w:val="0"/>
                <w:sz w:val="24"/>
              </w:rPr>
              <w:t>项目钻井期间无废水外排，对周边地表水环境影响较小。</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lang w:bidi="ar"/>
              </w:rPr>
            </w:pPr>
            <w:r>
              <w:rPr>
                <w:rFonts w:hint="default" w:ascii="Times New Roman" w:hAnsi="Times New Roman" w:cs="Times New Roman"/>
                <w:color w:val="auto"/>
                <w:kern w:val="0"/>
                <w:sz w:val="24"/>
              </w:rPr>
              <w:t>本项目生活污水和钻井废水均不排入外环境，不会影响区域地表水水质</w:t>
            </w:r>
            <w:r>
              <w:rPr>
                <w:rFonts w:hint="default" w:ascii="Times New Roman" w:hAnsi="Times New Roman" w:cs="Times New Roman"/>
                <w:color w:val="auto"/>
                <w:sz w:val="24"/>
                <w:lang w:bidi="ar"/>
              </w:rPr>
              <w:t>。</w:t>
            </w:r>
          </w:p>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bCs/>
                <w:color w:val="auto"/>
                <w:sz w:val="24"/>
                <w:lang w:bidi="ar"/>
              </w:rPr>
            </w:pPr>
            <w:r>
              <w:rPr>
                <w:rFonts w:hint="default" w:ascii="Times New Roman" w:hAnsi="Times New Roman" w:cs="Times New Roman"/>
                <w:b/>
                <w:bCs/>
                <w:color w:val="auto"/>
                <w:sz w:val="24"/>
                <w:lang w:bidi="ar"/>
              </w:rPr>
              <w:t>3、声环境质量</w:t>
            </w:r>
          </w:p>
          <w:p>
            <w:pPr>
              <w:keepNext w:val="0"/>
              <w:keepLines w:val="0"/>
              <w:suppressLineNumbers w:val="0"/>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本项目所在区域未划定声环境功能区。本项目参照《声环境质量标准》（GB3096-2008）、《声环境功能区划分技术规范》（GB/T15190-2014）等相关规范，按照项目区声环境功能区为2类进行评价，声环境质量执行《声环境质量标准》（GB3096-2008）2类标准。</w:t>
            </w:r>
          </w:p>
          <w:p>
            <w:pPr>
              <w:keepNext w:val="0"/>
              <w:keepLines w:val="0"/>
              <w:suppressLineNumbers w:val="0"/>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为了解当地声环境质量现状，2024年</w:t>
            </w:r>
            <w:r>
              <w:rPr>
                <w:rFonts w:hint="eastAsia" w:cs="Times New Roman"/>
                <w:color w:val="auto"/>
                <w:kern w:val="0"/>
                <w:sz w:val="24"/>
                <w:lang w:eastAsia="zh-CN"/>
              </w:rPr>
              <w:t>11月19日</w:t>
            </w:r>
            <w:r>
              <w:rPr>
                <w:rFonts w:hint="default" w:ascii="Times New Roman" w:hAnsi="Times New Roman" w:cs="Times New Roman"/>
                <w:color w:val="auto"/>
                <w:kern w:val="0"/>
                <w:sz w:val="24"/>
              </w:rPr>
              <w:t>至2024年1</w:t>
            </w:r>
            <w:r>
              <w:rPr>
                <w:rFonts w:hint="eastAsia" w:cs="Times New Roman"/>
                <w:color w:val="auto"/>
                <w:kern w:val="0"/>
                <w:sz w:val="24"/>
                <w:lang w:val="en-US" w:eastAsia="zh-CN"/>
              </w:rPr>
              <w:t>1</w:t>
            </w:r>
            <w:r>
              <w:rPr>
                <w:rFonts w:hint="default" w:ascii="Times New Roman" w:hAnsi="Times New Roman" w:cs="Times New Roman"/>
                <w:color w:val="auto"/>
                <w:kern w:val="0"/>
                <w:sz w:val="24"/>
              </w:rPr>
              <w:t>月</w:t>
            </w:r>
            <w:r>
              <w:rPr>
                <w:rFonts w:hint="eastAsia" w:cs="Times New Roman"/>
                <w:color w:val="auto"/>
                <w:kern w:val="0"/>
                <w:sz w:val="24"/>
                <w:lang w:val="en-US" w:eastAsia="zh-CN"/>
              </w:rPr>
              <w:t>20</w:t>
            </w:r>
            <w:r>
              <w:rPr>
                <w:rFonts w:hint="default" w:ascii="Times New Roman" w:hAnsi="Times New Roman" w:cs="Times New Roman"/>
                <w:color w:val="auto"/>
                <w:kern w:val="0"/>
                <w:sz w:val="24"/>
              </w:rPr>
              <w:t>日，四川华皓检测技术有限公司对</w:t>
            </w:r>
            <w:r>
              <w:rPr>
                <w:rFonts w:hint="eastAsia" w:cs="Times New Roman"/>
                <w:color w:val="auto"/>
                <w:kern w:val="0"/>
                <w:sz w:val="24"/>
                <w:lang w:eastAsia="zh-CN"/>
              </w:rPr>
              <w:t>普陆12HF井</w:t>
            </w:r>
            <w:r>
              <w:rPr>
                <w:rFonts w:hint="default" w:ascii="Times New Roman" w:hAnsi="Times New Roman" w:cs="Times New Roman"/>
                <w:color w:val="auto"/>
                <w:kern w:val="0"/>
                <w:sz w:val="24"/>
              </w:rPr>
              <w:t>所在地声环境质量现状进行监测。</w:t>
            </w:r>
          </w:p>
          <w:p>
            <w:pPr>
              <w:keepNext w:val="0"/>
              <w:keepLines w:val="0"/>
              <w:widowControl/>
              <w:suppressLineNumbers w:val="0"/>
              <w:spacing w:before="0" w:beforeAutospacing="0" w:after="0" w:afterAutospacing="0" w:line="360" w:lineRule="auto"/>
              <w:ind w:left="0" w:right="0" w:firstLine="480" w:firstLineChars="200"/>
              <w:jc w:val="left"/>
              <w:rPr>
                <w:rFonts w:hint="default" w:ascii="Times New Roman" w:hAnsi="Times New Roman" w:cs="Times New Roman"/>
                <w:color w:val="auto"/>
                <w:sz w:val="24"/>
              </w:rPr>
            </w:pPr>
            <w:r>
              <w:rPr>
                <w:rFonts w:hint="default" w:ascii="Times New Roman" w:hAnsi="Times New Roman" w:cs="Times New Roman"/>
                <w:color w:val="auto"/>
                <w:sz w:val="24"/>
              </w:rPr>
              <w:t>监测项目：等效连续A声级</w:t>
            </w:r>
          </w:p>
          <w:p>
            <w:pPr>
              <w:keepNext w:val="0"/>
              <w:keepLines w:val="0"/>
              <w:widowControl/>
              <w:suppressLineNumbers w:val="0"/>
              <w:spacing w:before="0" w:beforeAutospacing="0" w:after="0" w:afterAutospacing="0" w:line="360" w:lineRule="auto"/>
              <w:ind w:left="0" w:right="0" w:firstLine="480" w:firstLineChars="200"/>
              <w:jc w:val="left"/>
              <w:rPr>
                <w:rFonts w:hint="default" w:ascii="Times New Roman" w:hAnsi="Times New Roman" w:cs="Times New Roman"/>
                <w:color w:val="auto"/>
                <w:sz w:val="24"/>
              </w:rPr>
            </w:pPr>
            <w:r>
              <w:rPr>
                <w:rFonts w:hint="default" w:ascii="Times New Roman" w:hAnsi="Times New Roman" w:cs="Times New Roman"/>
                <w:color w:val="auto"/>
                <w:sz w:val="24"/>
              </w:rPr>
              <w:t>监测布点：设</w:t>
            </w:r>
            <w:r>
              <w:rPr>
                <w:rFonts w:hint="eastAsia" w:cs="Times New Roman"/>
                <w:color w:val="auto"/>
                <w:sz w:val="24"/>
                <w:lang w:val="en-US" w:eastAsia="zh-CN"/>
              </w:rPr>
              <w:t>2</w:t>
            </w:r>
            <w:r>
              <w:rPr>
                <w:rFonts w:hint="default" w:ascii="Times New Roman" w:hAnsi="Times New Roman" w:cs="Times New Roman"/>
                <w:color w:val="auto"/>
                <w:sz w:val="24"/>
              </w:rPr>
              <w:t>个点，N1点位于项目地</w:t>
            </w:r>
            <w:r>
              <w:rPr>
                <w:rFonts w:hint="eastAsia" w:cs="Times New Roman"/>
                <w:color w:val="auto"/>
                <w:sz w:val="24"/>
                <w:lang w:val="en-US" w:eastAsia="zh-CN"/>
              </w:rPr>
              <w:t>西南侧</w:t>
            </w:r>
            <w:r>
              <w:rPr>
                <w:rFonts w:hint="default" w:ascii="Times New Roman" w:hAnsi="Times New Roman" w:cs="Times New Roman"/>
                <w:color w:val="auto"/>
                <w:sz w:val="24"/>
              </w:rPr>
              <w:t>居民点处；</w:t>
            </w:r>
            <w:r>
              <w:rPr>
                <w:rFonts w:hint="default" w:ascii="Times New Roman" w:hAnsi="Times New Roman" w:cs="Times New Roman"/>
                <w:bCs/>
                <w:color w:val="auto"/>
                <w:sz w:val="24"/>
              </w:rPr>
              <w:t>N2</w:t>
            </w:r>
            <w:r>
              <w:rPr>
                <w:rFonts w:hint="default" w:ascii="Times New Roman" w:hAnsi="Times New Roman" w:cs="Times New Roman"/>
                <w:color w:val="auto"/>
                <w:sz w:val="24"/>
              </w:rPr>
              <w:t>点位于项目地</w:t>
            </w:r>
            <w:r>
              <w:rPr>
                <w:rFonts w:hint="eastAsia" w:cs="Times New Roman"/>
                <w:color w:val="auto"/>
                <w:sz w:val="24"/>
                <w:lang w:val="en-US" w:eastAsia="zh-CN"/>
              </w:rPr>
              <w:t>西</w:t>
            </w:r>
            <w:r>
              <w:rPr>
                <w:rFonts w:hint="default" w:ascii="Times New Roman" w:hAnsi="Times New Roman" w:cs="Times New Roman"/>
                <w:color w:val="auto"/>
                <w:sz w:val="24"/>
              </w:rPr>
              <w:t>侧。</w:t>
            </w:r>
          </w:p>
          <w:p>
            <w:pPr>
              <w:keepNext w:val="0"/>
              <w:keepLines w:val="0"/>
              <w:widowControl/>
              <w:suppressLineNumbers w:val="0"/>
              <w:spacing w:before="0" w:beforeAutospacing="0" w:after="0" w:afterAutospacing="0" w:line="360" w:lineRule="auto"/>
              <w:ind w:left="0" w:right="0" w:firstLine="480" w:firstLineChars="200"/>
              <w:jc w:val="left"/>
              <w:rPr>
                <w:rFonts w:hint="default" w:ascii="Times New Roman" w:hAnsi="Times New Roman" w:cs="Times New Roman"/>
                <w:color w:val="auto"/>
                <w:sz w:val="24"/>
              </w:rPr>
            </w:pPr>
            <w:r>
              <w:rPr>
                <w:rFonts w:hint="default" w:ascii="Times New Roman" w:hAnsi="Times New Roman" w:cs="Times New Roman"/>
                <w:color w:val="auto"/>
                <w:sz w:val="24"/>
              </w:rPr>
              <w:t>监测频次：2天，2次/天，昼夜各一次。</w:t>
            </w:r>
          </w:p>
          <w:p>
            <w:pPr>
              <w:keepNext w:val="0"/>
              <w:keepLines w:val="0"/>
              <w:widowControl/>
              <w:suppressLineNumbers w:val="0"/>
              <w:spacing w:before="0" w:beforeAutospacing="0" w:after="0" w:afterAutospacing="0" w:line="360" w:lineRule="auto"/>
              <w:ind w:left="0" w:right="0" w:firstLine="480" w:firstLineChars="200"/>
              <w:jc w:val="left"/>
              <w:rPr>
                <w:rFonts w:hint="default" w:ascii="Times New Roman" w:hAnsi="Times New Roman" w:cs="Times New Roman"/>
                <w:color w:val="auto"/>
                <w:sz w:val="24"/>
              </w:rPr>
            </w:pPr>
            <w:r>
              <w:rPr>
                <w:rFonts w:hint="default" w:ascii="Times New Roman" w:hAnsi="Times New Roman" w:cs="Times New Roman"/>
                <w:color w:val="auto"/>
                <w:sz w:val="24"/>
              </w:rPr>
              <w:t>监测结果统计于下表。</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 xml:space="preserve"> 噪声监测结果一览表</w:t>
            </w:r>
          </w:p>
          <w:tbl>
            <w:tblPr>
              <w:tblStyle w:val="44"/>
              <w:tblW w:w="8025"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1947"/>
              <w:gridCol w:w="1518"/>
              <w:gridCol w:w="1520"/>
              <w:gridCol w:w="1518"/>
              <w:gridCol w:w="1522"/>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69" w:hRule="atLeast"/>
                <w:jc w:val="center"/>
              </w:trPr>
              <w:tc>
                <w:tcPr>
                  <w:tcW w:w="1947" w:type="dxa"/>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监测点位</w:t>
                  </w:r>
                </w:p>
              </w:tc>
              <w:tc>
                <w:tcPr>
                  <w:tcW w:w="6078" w:type="dxa"/>
                  <w:gridSpan w:val="4"/>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监测结果（dB）</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69" w:hRule="atLeast"/>
                <w:jc w:val="center"/>
              </w:trPr>
              <w:tc>
                <w:tcPr>
                  <w:tcW w:w="1947"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3038" w:type="dxa"/>
                  <w:gridSpan w:val="2"/>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default" w:ascii="Times New Roman" w:hAnsi="Times New Roman" w:cs="Times New Roman"/>
                      <w:color w:val="auto"/>
                      <w:szCs w:val="21"/>
                    </w:rPr>
                    <w:t>2024</w:t>
                  </w:r>
                  <w:r>
                    <w:rPr>
                      <w:rFonts w:hint="eastAsia" w:cs="Times New Roman"/>
                      <w:color w:val="auto"/>
                      <w:szCs w:val="21"/>
                      <w:lang w:val="en-US" w:eastAsia="zh-CN"/>
                    </w:rPr>
                    <w:t>.11.19</w:t>
                  </w:r>
                </w:p>
              </w:tc>
              <w:tc>
                <w:tcPr>
                  <w:tcW w:w="3040" w:type="dxa"/>
                  <w:gridSpan w:val="2"/>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default" w:ascii="Times New Roman" w:hAnsi="Times New Roman" w:cs="Times New Roman"/>
                      <w:color w:val="auto"/>
                      <w:szCs w:val="21"/>
                    </w:rPr>
                    <w:t>2024</w:t>
                  </w:r>
                  <w:r>
                    <w:rPr>
                      <w:rFonts w:hint="eastAsia" w:cs="Times New Roman"/>
                      <w:color w:val="auto"/>
                      <w:szCs w:val="21"/>
                      <w:lang w:val="en-US" w:eastAsia="zh-CN"/>
                    </w:rPr>
                    <w:t>11</w:t>
                  </w:r>
                  <w:r>
                    <w:rPr>
                      <w:rFonts w:hint="default" w:ascii="Times New Roman" w:hAnsi="Times New Roman" w:cs="Times New Roman"/>
                      <w:color w:val="auto"/>
                      <w:szCs w:val="21"/>
                    </w:rPr>
                    <w:t>.</w:t>
                  </w:r>
                  <w:r>
                    <w:rPr>
                      <w:rFonts w:hint="eastAsia" w:cs="Times New Roman"/>
                      <w:color w:val="auto"/>
                      <w:szCs w:val="21"/>
                      <w:lang w:val="en-US" w:eastAsia="zh-CN"/>
                    </w:rPr>
                    <w:t>20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69" w:hRule="atLeast"/>
                <w:jc w:val="center"/>
              </w:trPr>
              <w:tc>
                <w:tcPr>
                  <w:tcW w:w="1947"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518"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1520"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夜间</w:t>
                  </w:r>
                </w:p>
              </w:tc>
              <w:tc>
                <w:tcPr>
                  <w:tcW w:w="1518"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1522"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夜间</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69" w:hRule="atLeast"/>
                <w:jc w:val="center"/>
              </w:trPr>
              <w:tc>
                <w:tcPr>
                  <w:tcW w:w="1947"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N1</w:t>
                  </w:r>
                </w:p>
              </w:tc>
              <w:tc>
                <w:tcPr>
                  <w:tcW w:w="15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55</w:t>
                  </w:r>
                </w:p>
              </w:tc>
              <w:tc>
                <w:tcPr>
                  <w:tcW w:w="152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47</w:t>
                  </w:r>
                </w:p>
              </w:tc>
              <w:tc>
                <w:tcPr>
                  <w:tcW w:w="15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56</w:t>
                  </w:r>
                </w:p>
              </w:tc>
              <w:tc>
                <w:tcPr>
                  <w:tcW w:w="152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46</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69" w:hRule="atLeast"/>
                <w:jc w:val="center"/>
              </w:trPr>
              <w:tc>
                <w:tcPr>
                  <w:tcW w:w="1947"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N2</w:t>
                  </w:r>
                </w:p>
              </w:tc>
              <w:tc>
                <w:tcPr>
                  <w:tcW w:w="15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56</w:t>
                  </w:r>
                </w:p>
              </w:tc>
              <w:tc>
                <w:tcPr>
                  <w:tcW w:w="152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46</w:t>
                  </w:r>
                </w:p>
              </w:tc>
              <w:tc>
                <w:tcPr>
                  <w:tcW w:w="15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55</w:t>
                  </w:r>
                </w:p>
              </w:tc>
              <w:tc>
                <w:tcPr>
                  <w:tcW w:w="152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46</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69" w:hRule="atLeast"/>
                <w:jc w:val="center"/>
              </w:trPr>
              <w:tc>
                <w:tcPr>
                  <w:tcW w:w="1947"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标准值</w:t>
                  </w:r>
                </w:p>
              </w:tc>
              <w:tc>
                <w:tcPr>
                  <w:tcW w:w="1518"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60</w:t>
                  </w:r>
                </w:p>
              </w:tc>
              <w:tc>
                <w:tcPr>
                  <w:tcW w:w="1520"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w:t>
                  </w:r>
                </w:p>
              </w:tc>
              <w:tc>
                <w:tcPr>
                  <w:tcW w:w="1518"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60</w:t>
                  </w:r>
                </w:p>
              </w:tc>
              <w:tc>
                <w:tcPr>
                  <w:tcW w:w="1522"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w:t>
                  </w:r>
                </w:p>
              </w:tc>
            </w:tr>
          </w:tbl>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bCs/>
                <w:color w:val="auto"/>
                <w:sz w:val="24"/>
              </w:rPr>
              <w:t>由上表可知，</w:t>
            </w:r>
            <w:r>
              <w:rPr>
                <w:rFonts w:hint="default" w:ascii="Times New Roman" w:hAnsi="Times New Roman" w:cs="Times New Roman"/>
                <w:color w:val="auto"/>
                <w:kern w:val="0"/>
                <w:sz w:val="24"/>
              </w:rPr>
              <w:t>项目区域环境噪声昼、夜间等效声级值均达到《声环境质量标准》（GB3096-2008）中的2类声环境功能区环境标准。声环境质量现状良好。</w:t>
            </w:r>
          </w:p>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4、地下水环境质量</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为了解项目所在地地下水现状，2024年1</w:t>
            </w:r>
            <w:r>
              <w:rPr>
                <w:rFonts w:hint="eastAsia" w:cs="Times New Roman"/>
                <w:color w:val="auto"/>
                <w:sz w:val="24"/>
                <w:lang w:val="en-US" w:eastAsia="zh-CN"/>
              </w:rPr>
              <w:t>1</w:t>
            </w:r>
            <w:r>
              <w:rPr>
                <w:rFonts w:hint="default" w:ascii="Times New Roman" w:hAnsi="Times New Roman" w:cs="Times New Roman"/>
                <w:color w:val="auto"/>
                <w:sz w:val="24"/>
              </w:rPr>
              <w:t>月</w:t>
            </w:r>
            <w:r>
              <w:rPr>
                <w:rFonts w:hint="eastAsia" w:cs="Times New Roman"/>
                <w:color w:val="auto"/>
                <w:sz w:val="24"/>
                <w:lang w:val="en-US" w:eastAsia="zh-CN"/>
              </w:rPr>
              <w:t>19</w:t>
            </w:r>
            <w:r>
              <w:rPr>
                <w:rFonts w:hint="default" w:ascii="Times New Roman" w:hAnsi="Times New Roman" w:cs="Times New Roman"/>
                <w:color w:val="auto"/>
                <w:sz w:val="24"/>
              </w:rPr>
              <w:t>日，四川华皓检测技术有限公司对</w:t>
            </w:r>
            <w:r>
              <w:rPr>
                <w:rFonts w:hint="eastAsia" w:cs="Times New Roman"/>
                <w:color w:val="auto"/>
                <w:sz w:val="24"/>
                <w:lang w:eastAsia="zh-CN"/>
              </w:rPr>
              <w:t>普陆12HF井</w:t>
            </w:r>
            <w:r>
              <w:rPr>
                <w:rFonts w:hint="default" w:ascii="Times New Roman" w:hAnsi="Times New Roman" w:cs="Times New Roman"/>
                <w:color w:val="auto"/>
                <w:sz w:val="24"/>
              </w:rPr>
              <w:t>所在地地下水质量现状进行监测。</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color w:val="auto"/>
                <w:sz w:val="24"/>
              </w:rPr>
              <w:t>（1）监测点布设：设5个监测点</w:t>
            </w:r>
            <w:r>
              <w:rPr>
                <w:rFonts w:hint="default" w:ascii="Times New Roman" w:hAnsi="Times New Roman" w:cs="Times New Roman"/>
                <w:bCs/>
                <w:color w:val="auto"/>
                <w:sz w:val="24"/>
              </w:rPr>
              <w:t>。其中D1位于井场上游，D2、D3分别位于井场两侧，D4、D5位于井场下游。监测布点符合《环境影响评价技术导则 地下水环境》中地下水环境现状监测布设原则。</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 xml:space="preserve">  地下水水位监测布点表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
            <w:tblGrid>
              <w:gridCol w:w="2218"/>
              <w:gridCol w:w="989"/>
              <w:gridCol w:w="989"/>
              <w:gridCol w:w="989"/>
              <w:gridCol w:w="282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1385" w:type="pct"/>
                  <w:vAlign w:val="center"/>
                </w:tcPr>
                <w:p>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default" w:ascii="Times New Roman" w:hAnsi="Times New Roman" w:cs="Times New Roman"/>
                      <w:color w:val="auto"/>
                      <w:szCs w:val="21"/>
                    </w:rPr>
                    <w:t>点位</w:t>
                  </w:r>
                </w:p>
              </w:tc>
              <w:tc>
                <w:tcPr>
                  <w:tcW w:w="617" w:type="pct"/>
                  <w:shd w:val="clear" w:color="auto" w:fill="auto"/>
                  <w:noWrap/>
                  <w:tcMar>
                    <w:top w:w="15" w:type="dxa"/>
                    <w:left w:w="15" w:type="dxa"/>
                    <w:bottom w:w="0" w:type="dxa"/>
                    <w:right w:w="15" w:type="dxa"/>
                  </w:tcMar>
                  <w:vAlign w:val="center"/>
                </w:tcPr>
                <w:p>
                  <w:pPr>
                    <w:keepNext w:val="0"/>
                    <w:keepLines w:val="0"/>
                    <w:pageBreakBefore w:val="0"/>
                    <w:widowControl/>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default" w:ascii="Times New Roman" w:hAnsi="Times New Roman" w:cs="Times New Roman"/>
                      <w:color w:val="auto"/>
                      <w:szCs w:val="21"/>
                    </w:rPr>
                    <w:t>海拔（m）</w:t>
                  </w:r>
                </w:p>
              </w:tc>
              <w:tc>
                <w:tcPr>
                  <w:tcW w:w="617" w:type="pct"/>
                  <w:vAlign w:val="center"/>
                </w:tcPr>
                <w:p>
                  <w:pPr>
                    <w:keepNext w:val="0"/>
                    <w:keepLines w:val="0"/>
                    <w:pageBreakBefore w:val="0"/>
                    <w:widowControl/>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default" w:ascii="Times New Roman" w:hAnsi="Times New Roman" w:cs="Times New Roman"/>
                      <w:color w:val="auto"/>
                      <w:szCs w:val="21"/>
                    </w:rPr>
                    <w:t>水面至井口（m）</w:t>
                  </w:r>
                </w:p>
              </w:tc>
              <w:tc>
                <w:tcPr>
                  <w:tcW w:w="617" w:type="pct"/>
                  <w:vAlign w:val="center"/>
                </w:tcPr>
                <w:p>
                  <w:pPr>
                    <w:keepNext w:val="0"/>
                    <w:keepLines w:val="0"/>
                    <w:pageBreakBefore w:val="0"/>
                    <w:widowControl/>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default" w:ascii="Times New Roman" w:hAnsi="Times New Roman" w:cs="Times New Roman"/>
                      <w:color w:val="auto"/>
                      <w:szCs w:val="21"/>
                    </w:rPr>
                    <w:t>水位（m）</w:t>
                  </w:r>
                </w:p>
              </w:tc>
              <w:tc>
                <w:tcPr>
                  <w:tcW w:w="1762" w:type="pct"/>
                  <w:shd w:val="clear" w:color="auto" w:fill="auto"/>
                  <w:noWrap/>
                  <w:tcMar>
                    <w:top w:w="15" w:type="dxa"/>
                    <w:left w:w="15" w:type="dxa"/>
                    <w:bottom w:w="0" w:type="dxa"/>
                    <w:right w:w="15" w:type="dxa"/>
                  </w:tcMar>
                  <w:vAlign w:val="center"/>
                </w:tcPr>
                <w:p>
                  <w:pPr>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default" w:ascii="Times New Roman" w:hAnsi="Times New Roman" w:cs="Times New Roman"/>
                      <w:color w:val="auto"/>
                      <w:szCs w:val="21"/>
                    </w:rPr>
                    <w:t>经纬度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1385" w:type="pct"/>
                  <w:vAlign w:val="center"/>
                </w:tcPr>
                <w:p>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eastAsia" w:ascii="Times New Roman" w:hAnsi="Times New Roman" w:eastAsia="宋体" w:cs="Times New Roman"/>
                      <w:color w:val="auto"/>
                      <w:szCs w:val="21"/>
                      <w:lang w:val="en-US" w:eastAsia="zh-CN"/>
                    </w:rPr>
                  </w:pPr>
                  <w:r>
                    <w:rPr>
                      <w:rFonts w:hint="default" w:ascii="Times New Roman" w:hAnsi="Times New Roman" w:cs="Times New Roman"/>
                      <w:color w:val="auto"/>
                      <w:szCs w:val="21"/>
                    </w:rPr>
                    <w:t>WX1平台</w:t>
                  </w:r>
                  <w:r>
                    <w:rPr>
                      <w:rFonts w:hint="eastAsia" w:cs="Times New Roman"/>
                      <w:color w:val="auto"/>
                      <w:szCs w:val="21"/>
                      <w:lang w:val="en-US" w:eastAsia="zh-CN"/>
                    </w:rPr>
                    <w:t>南侧</w:t>
                  </w:r>
                </w:p>
              </w:tc>
              <w:tc>
                <w:tcPr>
                  <w:tcW w:w="989" w:type="dxa"/>
                  <w:shd w:val="clear" w:color="auto" w:fill="auto"/>
                  <w:noWrap/>
                  <w:tcMar>
                    <w:top w:w="15" w:type="dxa"/>
                    <w:left w:w="15" w:type="dxa"/>
                    <w:bottom w:w="0"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2"/>
                      <w:sz w:val="21"/>
                      <w:szCs w:val="21"/>
                      <w:lang w:val="en-US" w:eastAsia="zh-CN" w:bidi="ar-SA"/>
                    </w:rPr>
                  </w:pPr>
                  <w:r>
                    <w:rPr>
                      <w:rFonts w:hint="eastAsia" w:cs="Times New Roman"/>
                      <w:b w:val="0"/>
                      <w:bCs/>
                      <w:color w:val="auto"/>
                      <w:spacing w:val="0"/>
                      <w:kern w:val="2"/>
                      <w:sz w:val="21"/>
                      <w:szCs w:val="21"/>
                      <w:highlight w:val="none"/>
                      <w:lang w:val="en-US" w:eastAsia="zh-CN" w:bidi="ar-SA"/>
                    </w:rPr>
                    <w:t>619</w:t>
                  </w:r>
                </w:p>
              </w:tc>
              <w:tc>
                <w:tcPr>
                  <w:tcW w:w="989" w:type="dxa"/>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2"/>
                      <w:sz w:val="21"/>
                      <w:szCs w:val="21"/>
                      <w:lang w:val="en-US" w:eastAsia="zh-CN" w:bidi="ar-SA"/>
                    </w:rPr>
                  </w:pPr>
                  <w:r>
                    <w:rPr>
                      <w:rFonts w:hint="eastAsia" w:cs="Times New Roman"/>
                      <w:b w:val="0"/>
                      <w:bCs/>
                      <w:color w:val="auto"/>
                      <w:spacing w:val="0"/>
                      <w:kern w:val="2"/>
                      <w:sz w:val="21"/>
                      <w:szCs w:val="21"/>
                      <w:highlight w:val="none"/>
                      <w:lang w:val="en-US" w:eastAsia="zh-CN" w:bidi="ar-SA"/>
                    </w:rPr>
                    <w:t>8.40</w:t>
                  </w:r>
                </w:p>
              </w:tc>
              <w:tc>
                <w:tcPr>
                  <w:tcW w:w="989" w:type="dxa"/>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0"/>
                      <w:sz w:val="21"/>
                      <w:szCs w:val="21"/>
                      <w:lang w:val="en-US" w:eastAsia="zh-CN" w:bidi="ar"/>
                    </w:rPr>
                  </w:pPr>
                  <w:r>
                    <w:rPr>
                      <w:rFonts w:hint="eastAsia" w:cs="Times New Roman"/>
                      <w:b w:val="0"/>
                      <w:bCs/>
                      <w:color w:val="auto"/>
                      <w:spacing w:val="0"/>
                      <w:kern w:val="2"/>
                      <w:sz w:val="21"/>
                      <w:szCs w:val="21"/>
                      <w:highlight w:val="none"/>
                      <w:lang w:val="en-US" w:eastAsia="zh-CN" w:bidi="ar-SA"/>
                    </w:rPr>
                    <w:t>610.60</w:t>
                  </w:r>
                </w:p>
              </w:tc>
              <w:tc>
                <w:tcPr>
                  <w:tcW w:w="2822" w:type="dxa"/>
                  <w:shd w:val="clear" w:color="auto" w:fill="auto"/>
                  <w:noWrap/>
                  <w:tcMar>
                    <w:top w:w="15" w:type="dxa"/>
                    <w:left w:w="15" w:type="dxa"/>
                    <w:bottom w:w="0"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eastAsia" w:cs="Times New Roman"/>
                      <w:bCs/>
                      <w:color w:val="auto"/>
                      <w:sz w:val="21"/>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1385" w:type="pct"/>
                  <w:vAlign w:val="center"/>
                </w:tcPr>
                <w:p>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default" w:ascii="Times New Roman" w:hAnsi="Times New Roman" w:cs="Times New Roman"/>
                      <w:color w:val="auto"/>
                      <w:szCs w:val="21"/>
                    </w:rPr>
                    <w:t>WX2平台西南侧</w:t>
                  </w:r>
                </w:p>
              </w:tc>
              <w:tc>
                <w:tcPr>
                  <w:tcW w:w="989" w:type="dxa"/>
                  <w:shd w:val="clear" w:color="auto" w:fill="auto"/>
                  <w:noWrap/>
                  <w:tcMar>
                    <w:top w:w="15" w:type="dxa"/>
                    <w:left w:w="15" w:type="dxa"/>
                    <w:bottom w:w="0"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2"/>
                      <w:sz w:val="21"/>
                      <w:szCs w:val="21"/>
                      <w:lang w:val="en-US" w:eastAsia="zh-CN" w:bidi="ar-SA"/>
                    </w:rPr>
                  </w:pPr>
                  <w:r>
                    <w:rPr>
                      <w:rFonts w:hint="eastAsia" w:cs="Times New Roman"/>
                      <w:b w:val="0"/>
                      <w:bCs/>
                      <w:color w:val="auto"/>
                      <w:spacing w:val="0"/>
                      <w:kern w:val="2"/>
                      <w:sz w:val="21"/>
                      <w:szCs w:val="21"/>
                      <w:highlight w:val="none"/>
                      <w:lang w:val="en-US" w:eastAsia="zh-CN" w:bidi="ar-SA"/>
                    </w:rPr>
                    <w:t>467</w:t>
                  </w:r>
                </w:p>
              </w:tc>
              <w:tc>
                <w:tcPr>
                  <w:tcW w:w="989" w:type="dxa"/>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2"/>
                      <w:sz w:val="21"/>
                      <w:szCs w:val="21"/>
                      <w:lang w:val="en-US" w:eastAsia="zh-CN" w:bidi="ar-SA"/>
                    </w:rPr>
                  </w:pPr>
                  <w:r>
                    <w:rPr>
                      <w:rFonts w:hint="eastAsia" w:cs="Times New Roman"/>
                      <w:b w:val="0"/>
                      <w:bCs/>
                      <w:color w:val="auto"/>
                      <w:spacing w:val="0"/>
                      <w:kern w:val="2"/>
                      <w:sz w:val="21"/>
                      <w:szCs w:val="21"/>
                      <w:highlight w:val="none"/>
                      <w:lang w:val="en-US" w:eastAsia="zh-CN" w:bidi="ar-SA"/>
                    </w:rPr>
                    <w:t>6.20</w:t>
                  </w:r>
                </w:p>
              </w:tc>
              <w:tc>
                <w:tcPr>
                  <w:tcW w:w="989" w:type="dxa"/>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0"/>
                      <w:sz w:val="21"/>
                      <w:szCs w:val="21"/>
                      <w:lang w:val="en-US" w:eastAsia="zh-CN" w:bidi="ar"/>
                    </w:rPr>
                  </w:pPr>
                  <w:r>
                    <w:rPr>
                      <w:rFonts w:hint="eastAsia" w:cs="Times New Roman"/>
                      <w:b w:val="0"/>
                      <w:bCs/>
                      <w:color w:val="auto"/>
                      <w:spacing w:val="0"/>
                      <w:kern w:val="2"/>
                      <w:sz w:val="21"/>
                      <w:szCs w:val="21"/>
                      <w:highlight w:val="none"/>
                      <w:lang w:val="en-US" w:eastAsia="zh-CN" w:bidi="ar-SA"/>
                    </w:rPr>
                    <w:t>460.80</w:t>
                  </w:r>
                </w:p>
              </w:tc>
              <w:tc>
                <w:tcPr>
                  <w:tcW w:w="2822" w:type="dxa"/>
                  <w:shd w:val="clear" w:color="auto" w:fill="auto"/>
                  <w:noWrap/>
                  <w:tcMar>
                    <w:top w:w="15" w:type="dxa"/>
                    <w:left w:w="15" w:type="dxa"/>
                    <w:bottom w:w="0"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eastAsia" w:cs="Times New Roman"/>
                      <w:bCs/>
                      <w:color w:val="auto"/>
                      <w:sz w:val="21"/>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1385" w:type="pct"/>
                  <w:vAlign w:val="center"/>
                </w:tcPr>
                <w:p>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default" w:ascii="Times New Roman" w:hAnsi="Times New Roman" w:cs="Times New Roman"/>
                      <w:color w:val="auto"/>
                      <w:szCs w:val="21"/>
                    </w:rPr>
                    <w:t>WX3平台东</w:t>
                  </w:r>
                  <w:r>
                    <w:rPr>
                      <w:rFonts w:hint="eastAsia" w:cs="Times New Roman"/>
                      <w:color w:val="auto"/>
                      <w:szCs w:val="21"/>
                      <w:lang w:val="en-US" w:eastAsia="zh-CN"/>
                    </w:rPr>
                    <w:t>南</w:t>
                  </w:r>
                  <w:r>
                    <w:rPr>
                      <w:rFonts w:hint="default" w:ascii="Times New Roman" w:hAnsi="Times New Roman" w:cs="Times New Roman"/>
                      <w:color w:val="auto"/>
                      <w:szCs w:val="21"/>
                    </w:rPr>
                    <w:t>侧</w:t>
                  </w:r>
                </w:p>
              </w:tc>
              <w:tc>
                <w:tcPr>
                  <w:tcW w:w="989" w:type="dxa"/>
                  <w:shd w:val="clear" w:color="auto" w:fill="auto"/>
                  <w:noWrap/>
                  <w:tcMar>
                    <w:top w:w="15" w:type="dxa"/>
                    <w:left w:w="15" w:type="dxa"/>
                    <w:bottom w:w="0"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2"/>
                      <w:sz w:val="21"/>
                      <w:szCs w:val="21"/>
                      <w:lang w:val="en-US" w:eastAsia="zh-CN" w:bidi="ar-SA"/>
                    </w:rPr>
                  </w:pPr>
                  <w:r>
                    <w:rPr>
                      <w:rFonts w:hint="eastAsia" w:cs="Times New Roman"/>
                      <w:b w:val="0"/>
                      <w:bCs/>
                      <w:color w:val="auto"/>
                      <w:spacing w:val="0"/>
                      <w:kern w:val="2"/>
                      <w:sz w:val="21"/>
                      <w:szCs w:val="21"/>
                      <w:highlight w:val="none"/>
                      <w:lang w:val="en-US" w:eastAsia="zh-CN" w:bidi="ar-SA"/>
                    </w:rPr>
                    <w:t>581</w:t>
                  </w:r>
                </w:p>
              </w:tc>
              <w:tc>
                <w:tcPr>
                  <w:tcW w:w="989" w:type="dxa"/>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2"/>
                      <w:sz w:val="21"/>
                      <w:szCs w:val="21"/>
                      <w:lang w:val="en-US" w:eastAsia="zh-CN" w:bidi="ar-SA"/>
                    </w:rPr>
                  </w:pPr>
                  <w:r>
                    <w:rPr>
                      <w:rFonts w:hint="eastAsia" w:cs="Times New Roman"/>
                      <w:b w:val="0"/>
                      <w:bCs/>
                      <w:color w:val="auto"/>
                      <w:spacing w:val="0"/>
                      <w:kern w:val="2"/>
                      <w:sz w:val="21"/>
                      <w:szCs w:val="21"/>
                      <w:highlight w:val="none"/>
                      <w:lang w:val="en-US" w:eastAsia="zh-CN" w:bidi="ar-SA"/>
                    </w:rPr>
                    <w:t>6.50</w:t>
                  </w:r>
                </w:p>
              </w:tc>
              <w:tc>
                <w:tcPr>
                  <w:tcW w:w="989" w:type="dxa"/>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0"/>
                      <w:sz w:val="21"/>
                      <w:szCs w:val="21"/>
                      <w:lang w:val="en-US" w:eastAsia="zh-CN" w:bidi="ar"/>
                    </w:rPr>
                  </w:pPr>
                  <w:r>
                    <w:rPr>
                      <w:rFonts w:hint="eastAsia" w:cs="Times New Roman"/>
                      <w:b w:val="0"/>
                      <w:bCs/>
                      <w:color w:val="auto"/>
                      <w:spacing w:val="0"/>
                      <w:kern w:val="2"/>
                      <w:sz w:val="21"/>
                      <w:szCs w:val="21"/>
                      <w:highlight w:val="none"/>
                      <w:lang w:val="en-US" w:eastAsia="zh-CN" w:bidi="ar-SA"/>
                    </w:rPr>
                    <w:t>575.50</w:t>
                  </w:r>
                </w:p>
              </w:tc>
              <w:tc>
                <w:tcPr>
                  <w:tcW w:w="2822" w:type="dxa"/>
                  <w:shd w:val="clear" w:color="auto" w:fill="auto"/>
                  <w:noWrap/>
                  <w:tcMar>
                    <w:top w:w="15" w:type="dxa"/>
                    <w:left w:w="15" w:type="dxa"/>
                    <w:bottom w:w="0"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eastAsia" w:cs="Times New Roman"/>
                      <w:bCs/>
                      <w:color w:val="auto"/>
                      <w:sz w:val="21"/>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1385" w:type="pct"/>
                  <w:vAlign w:val="center"/>
                </w:tcPr>
                <w:p>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default" w:ascii="Times New Roman" w:hAnsi="Times New Roman" w:cs="Times New Roman"/>
                      <w:color w:val="auto"/>
                      <w:szCs w:val="21"/>
                    </w:rPr>
                    <w:t>WX4平台南侧</w:t>
                  </w:r>
                </w:p>
              </w:tc>
              <w:tc>
                <w:tcPr>
                  <w:tcW w:w="989" w:type="dxa"/>
                  <w:shd w:val="clear" w:color="auto" w:fill="auto"/>
                  <w:noWrap/>
                  <w:tcMar>
                    <w:top w:w="15" w:type="dxa"/>
                    <w:left w:w="15" w:type="dxa"/>
                    <w:bottom w:w="0"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2"/>
                      <w:sz w:val="21"/>
                      <w:szCs w:val="21"/>
                      <w:lang w:val="en-US" w:eastAsia="zh-CN" w:bidi="ar-SA"/>
                    </w:rPr>
                  </w:pPr>
                  <w:r>
                    <w:rPr>
                      <w:rFonts w:hint="eastAsia" w:cs="Times New Roman"/>
                      <w:b w:val="0"/>
                      <w:bCs/>
                      <w:color w:val="auto"/>
                      <w:spacing w:val="0"/>
                      <w:kern w:val="2"/>
                      <w:sz w:val="21"/>
                      <w:szCs w:val="21"/>
                      <w:highlight w:val="none"/>
                      <w:lang w:val="en-US" w:eastAsia="zh-CN" w:bidi="ar-SA"/>
                    </w:rPr>
                    <w:t>438</w:t>
                  </w:r>
                </w:p>
              </w:tc>
              <w:tc>
                <w:tcPr>
                  <w:tcW w:w="989" w:type="dxa"/>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2"/>
                      <w:sz w:val="21"/>
                      <w:szCs w:val="21"/>
                      <w:lang w:val="en-US" w:eastAsia="zh-CN" w:bidi="ar-SA"/>
                    </w:rPr>
                  </w:pPr>
                  <w:r>
                    <w:rPr>
                      <w:rFonts w:hint="eastAsia" w:cs="Times New Roman"/>
                      <w:b w:val="0"/>
                      <w:bCs/>
                      <w:color w:val="auto"/>
                      <w:spacing w:val="0"/>
                      <w:kern w:val="2"/>
                      <w:sz w:val="21"/>
                      <w:szCs w:val="21"/>
                      <w:highlight w:val="none"/>
                      <w:lang w:val="en-US" w:eastAsia="zh-CN" w:bidi="ar-SA"/>
                    </w:rPr>
                    <w:t>7.20</w:t>
                  </w:r>
                </w:p>
              </w:tc>
              <w:tc>
                <w:tcPr>
                  <w:tcW w:w="989" w:type="dxa"/>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0"/>
                      <w:sz w:val="21"/>
                      <w:szCs w:val="21"/>
                      <w:lang w:val="en-US" w:eastAsia="zh-CN" w:bidi="ar"/>
                    </w:rPr>
                  </w:pPr>
                  <w:r>
                    <w:rPr>
                      <w:rFonts w:hint="eastAsia" w:cs="Times New Roman"/>
                      <w:b w:val="0"/>
                      <w:bCs/>
                      <w:color w:val="auto"/>
                      <w:spacing w:val="0"/>
                      <w:kern w:val="2"/>
                      <w:sz w:val="21"/>
                      <w:szCs w:val="21"/>
                      <w:highlight w:val="none"/>
                      <w:lang w:val="en-US" w:eastAsia="zh-CN" w:bidi="ar-SA"/>
                    </w:rPr>
                    <w:t>430.80</w:t>
                  </w:r>
                </w:p>
              </w:tc>
              <w:tc>
                <w:tcPr>
                  <w:tcW w:w="2822" w:type="dxa"/>
                  <w:shd w:val="clear" w:color="auto" w:fill="auto"/>
                  <w:noWrap/>
                  <w:tcMar>
                    <w:top w:w="15" w:type="dxa"/>
                    <w:left w:w="15" w:type="dxa"/>
                    <w:bottom w:w="0"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eastAsia" w:cs="Times New Roman"/>
                      <w:bCs/>
                      <w:color w:val="auto"/>
                      <w:sz w:val="21"/>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1385" w:type="pct"/>
                  <w:vAlign w:val="center"/>
                </w:tcPr>
                <w:p>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default" w:ascii="Times New Roman" w:hAnsi="Times New Roman" w:cs="Times New Roman"/>
                      <w:color w:val="auto"/>
                      <w:szCs w:val="21"/>
                    </w:rPr>
                    <w:t>WX5平台南侧</w:t>
                  </w:r>
                </w:p>
              </w:tc>
              <w:tc>
                <w:tcPr>
                  <w:tcW w:w="989" w:type="dxa"/>
                  <w:shd w:val="clear" w:color="auto" w:fill="auto"/>
                  <w:noWrap/>
                  <w:tcMar>
                    <w:top w:w="15" w:type="dxa"/>
                    <w:left w:w="15" w:type="dxa"/>
                    <w:bottom w:w="0"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2"/>
                      <w:sz w:val="21"/>
                      <w:szCs w:val="21"/>
                      <w:lang w:val="en-US" w:eastAsia="zh-CN" w:bidi="ar-SA"/>
                    </w:rPr>
                  </w:pPr>
                  <w:r>
                    <w:rPr>
                      <w:rFonts w:hint="eastAsia" w:cs="Times New Roman"/>
                      <w:b w:val="0"/>
                      <w:bCs/>
                      <w:color w:val="auto"/>
                      <w:spacing w:val="0"/>
                      <w:kern w:val="2"/>
                      <w:sz w:val="21"/>
                      <w:szCs w:val="21"/>
                      <w:highlight w:val="none"/>
                      <w:lang w:val="en-US" w:eastAsia="zh-CN" w:bidi="ar-SA"/>
                    </w:rPr>
                    <w:t>402</w:t>
                  </w:r>
                </w:p>
              </w:tc>
              <w:tc>
                <w:tcPr>
                  <w:tcW w:w="989" w:type="dxa"/>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2"/>
                      <w:sz w:val="21"/>
                      <w:szCs w:val="21"/>
                      <w:lang w:val="en-US" w:eastAsia="zh-CN" w:bidi="ar-SA"/>
                    </w:rPr>
                  </w:pPr>
                  <w:r>
                    <w:rPr>
                      <w:rFonts w:hint="eastAsia" w:cs="Times New Roman"/>
                      <w:b w:val="0"/>
                      <w:bCs/>
                      <w:color w:val="auto"/>
                      <w:spacing w:val="0"/>
                      <w:kern w:val="2"/>
                      <w:sz w:val="21"/>
                      <w:szCs w:val="21"/>
                      <w:highlight w:val="none"/>
                      <w:lang w:val="en-US" w:eastAsia="zh-CN" w:bidi="ar-SA"/>
                    </w:rPr>
                    <w:t>8.10</w:t>
                  </w:r>
                </w:p>
              </w:tc>
              <w:tc>
                <w:tcPr>
                  <w:tcW w:w="989" w:type="dxa"/>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0"/>
                      <w:sz w:val="21"/>
                      <w:szCs w:val="21"/>
                      <w:lang w:val="en-US" w:eastAsia="zh-CN" w:bidi="ar"/>
                    </w:rPr>
                  </w:pPr>
                  <w:r>
                    <w:rPr>
                      <w:rFonts w:hint="eastAsia" w:cs="Times New Roman"/>
                      <w:b w:val="0"/>
                      <w:bCs/>
                      <w:color w:val="auto"/>
                      <w:spacing w:val="0"/>
                      <w:kern w:val="2"/>
                      <w:sz w:val="21"/>
                      <w:szCs w:val="21"/>
                      <w:highlight w:val="none"/>
                      <w:lang w:val="en-US" w:eastAsia="zh-CN" w:bidi="ar-SA"/>
                    </w:rPr>
                    <w:t>393.90</w:t>
                  </w:r>
                </w:p>
              </w:tc>
              <w:tc>
                <w:tcPr>
                  <w:tcW w:w="2822" w:type="dxa"/>
                  <w:shd w:val="clear" w:color="auto" w:fill="auto"/>
                  <w:noWrap/>
                  <w:tcMar>
                    <w:top w:w="15" w:type="dxa"/>
                    <w:left w:w="15" w:type="dxa"/>
                    <w:bottom w:w="0"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eastAsia" w:cs="Times New Roman"/>
                      <w:bCs/>
                      <w:color w:val="auto"/>
                      <w:sz w:val="21"/>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1385" w:type="pct"/>
                  <w:vAlign w:val="center"/>
                </w:tcPr>
                <w:p>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default" w:ascii="Times New Roman" w:hAnsi="Times New Roman" w:cs="Times New Roman"/>
                      <w:color w:val="auto"/>
                      <w:szCs w:val="21"/>
                    </w:rPr>
                    <w:t>WX6</w:t>
                  </w:r>
                </w:p>
              </w:tc>
              <w:tc>
                <w:tcPr>
                  <w:tcW w:w="989" w:type="dxa"/>
                  <w:shd w:val="clear" w:color="auto" w:fill="auto"/>
                  <w:noWrap/>
                  <w:tcMar>
                    <w:top w:w="15" w:type="dxa"/>
                    <w:left w:w="15" w:type="dxa"/>
                    <w:bottom w:w="0"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2"/>
                      <w:sz w:val="21"/>
                      <w:szCs w:val="21"/>
                      <w:lang w:val="en-US" w:eastAsia="zh-CN" w:bidi="ar-SA"/>
                    </w:rPr>
                  </w:pPr>
                  <w:r>
                    <w:rPr>
                      <w:rFonts w:hint="eastAsia" w:cs="Times New Roman"/>
                      <w:b w:val="0"/>
                      <w:bCs/>
                      <w:color w:val="auto"/>
                      <w:spacing w:val="0"/>
                      <w:kern w:val="2"/>
                      <w:sz w:val="21"/>
                      <w:szCs w:val="21"/>
                      <w:highlight w:val="none"/>
                      <w:lang w:val="en-US" w:eastAsia="zh-CN" w:bidi="ar-SA"/>
                    </w:rPr>
                    <w:t>407</w:t>
                  </w:r>
                </w:p>
              </w:tc>
              <w:tc>
                <w:tcPr>
                  <w:tcW w:w="989" w:type="dxa"/>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2"/>
                      <w:sz w:val="21"/>
                      <w:szCs w:val="21"/>
                      <w:lang w:val="en-US" w:eastAsia="zh-CN" w:bidi="ar-SA"/>
                    </w:rPr>
                  </w:pPr>
                  <w:r>
                    <w:rPr>
                      <w:rFonts w:hint="eastAsia" w:cs="Times New Roman"/>
                      <w:b w:val="0"/>
                      <w:bCs/>
                      <w:color w:val="auto"/>
                      <w:spacing w:val="0"/>
                      <w:kern w:val="2"/>
                      <w:sz w:val="21"/>
                      <w:szCs w:val="21"/>
                      <w:highlight w:val="none"/>
                      <w:lang w:val="en-US" w:eastAsia="zh-CN" w:bidi="ar-SA"/>
                    </w:rPr>
                    <w:t>5.30</w:t>
                  </w:r>
                </w:p>
              </w:tc>
              <w:tc>
                <w:tcPr>
                  <w:tcW w:w="989" w:type="dxa"/>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0"/>
                      <w:sz w:val="21"/>
                      <w:szCs w:val="21"/>
                      <w:lang w:val="en-US" w:eastAsia="zh-CN" w:bidi="ar"/>
                    </w:rPr>
                  </w:pPr>
                  <w:r>
                    <w:rPr>
                      <w:rFonts w:hint="eastAsia" w:cs="Times New Roman"/>
                      <w:b w:val="0"/>
                      <w:bCs/>
                      <w:color w:val="auto"/>
                      <w:spacing w:val="0"/>
                      <w:kern w:val="2"/>
                      <w:sz w:val="21"/>
                      <w:szCs w:val="21"/>
                      <w:highlight w:val="none"/>
                      <w:lang w:val="en-US" w:eastAsia="zh-CN" w:bidi="ar-SA"/>
                    </w:rPr>
                    <w:t>401.70</w:t>
                  </w:r>
                </w:p>
              </w:tc>
              <w:tc>
                <w:tcPr>
                  <w:tcW w:w="2822" w:type="dxa"/>
                  <w:shd w:val="clear" w:color="auto" w:fill="auto"/>
                  <w:noWrap/>
                  <w:tcMar>
                    <w:top w:w="15" w:type="dxa"/>
                    <w:left w:w="15" w:type="dxa"/>
                    <w:bottom w:w="0"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eastAsia" w:cs="Times New Roman"/>
                      <w:bCs/>
                      <w:color w:val="auto"/>
                      <w:sz w:val="21"/>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1385" w:type="pct"/>
                  <w:vAlign w:val="center"/>
                </w:tcPr>
                <w:p>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default" w:ascii="Times New Roman" w:hAnsi="Times New Roman" w:cs="Times New Roman"/>
                      <w:color w:val="auto"/>
                      <w:szCs w:val="21"/>
                    </w:rPr>
                    <w:t>WX7</w:t>
                  </w:r>
                </w:p>
              </w:tc>
              <w:tc>
                <w:tcPr>
                  <w:tcW w:w="989" w:type="dxa"/>
                  <w:shd w:val="clear" w:color="auto" w:fill="auto"/>
                  <w:noWrap/>
                  <w:tcMar>
                    <w:top w:w="15" w:type="dxa"/>
                    <w:left w:w="15" w:type="dxa"/>
                    <w:bottom w:w="0"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2"/>
                      <w:sz w:val="21"/>
                      <w:szCs w:val="21"/>
                      <w:lang w:val="en-US" w:eastAsia="zh-CN" w:bidi="ar-SA"/>
                    </w:rPr>
                  </w:pPr>
                  <w:r>
                    <w:rPr>
                      <w:rFonts w:hint="eastAsia" w:cs="Times New Roman"/>
                      <w:b w:val="0"/>
                      <w:bCs/>
                      <w:color w:val="auto"/>
                      <w:spacing w:val="0"/>
                      <w:kern w:val="2"/>
                      <w:sz w:val="21"/>
                      <w:szCs w:val="21"/>
                      <w:highlight w:val="none"/>
                      <w:lang w:val="en-US" w:eastAsia="zh-CN" w:bidi="ar-SA"/>
                    </w:rPr>
                    <w:t>583</w:t>
                  </w:r>
                </w:p>
              </w:tc>
              <w:tc>
                <w:tcPr>
                  <w:tcW w:w="989" w:type="dxa"/>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2"/>
                      <w:sz w:val="21"/>
                      <w:szCs w:val="21"/>
                      <w:lang w:val="en-US" w:eastAsia="zh-CN" w:bidi="ar-SA"/>
                    </w:rPr>
                  </w:pPr>
                  <w:r>
                    <w:rPr>
                      <w:rFonts w:hint="eastAsia" w:cs="Times New Roman"/>
                      <w:b w:val="0"/>
                      <w:bCs/>
                      <w:color w:val="auto"/>
                      <w:spacing w:val="0"/>
                      <w:kern w:val="2"/>
                      <w:sz w:val="21"/>
                      <w:szCs w:val="21"/>
                      <w:highlight w:val="none"/>
                      <w:lang w:val="en-US" w:eastAsia="zh-CN" w:bidi="ar-SA"/>
                    </w:rPr>
                    <w:t>6.10</w:t>
                  </w:r>
                </w:p>
              </w:tc>
              <w:tc>
                <w:tcPr>
                  <w:tcW w:w="989" w:type="dxa"/>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0"/>
                      <w:sz w:val="21"/>
                      <w:szCs w:val="21"/>
                      <w:lang w:val="en-US" w:eastAsia="zh-CN" w:bidi="ar"/>
                    </w:rPr>
                  </w:pPr>
                  <w:r>
                    <w:rPr>
                      <w:rFonts w:hint="eastAsia" w:cs="Times New Roman"/>
                      <w:b w:val="0"/>
                      <w:bCs/>
                      <w:color w:val="auto"/>
                      <w:spacing w:val="0"/>
                      <w:kern w:val="2"/>
                      <w:sz w:val="21"/>
                      <w:szCs w:val="21"/>
                      <w:highlight w:val="none"/>
                      <w:lang w:val="en-US" w:eastAsia="zh-CN" w:bidi="ar-SA"/>
                    </w:rPr>
                    <w:t>576.90</w:t>
                  </w:r>
                </w:p>
              </w:tc>
              <w:tc>
                <w:tcPr>
                  <w:tcW w:w="2822" w:type="dxa"/>
                  <w:shd w:val="clear" w:color="auto" w:fill="auto"/>
                  <w:noWrap/>
                  <w:tcMar>
                    <w:top w:w="15" w:type="dxa"/>
                    <w:left w:w="15" w:type="dxa"/>
                    <w:bottom w:w="0"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eastAsia" w:cs="Times New Roman"/>
                      <w:bCs/>
                      <w:color w:val="auto"/>
                      <w:sz w:val="21"/>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1385" w:type="pct"/>
                  <w:vAlign w:val="center"/>
                </w:tcPr>
                <w:p>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default" w:ascii="Times New Roman" w:hAnsi="Times New Roman" w:cs="Times New Roman"/>
                      <w:color w:val="auto"/>
                      <w:szCs w:val="21"/>
                    </w:rPr>
                    <w:t>WX8</w:t>
                  </w:r>
                </w:p>
              </w:tc>
              <w:tc>
                <w:tcPr>
                  <w:tcW w:w="989" w:type="dxa"/>
                  <w:shd w:val="clear" w:color="auto" w:fill="auto"/>
                  <w:noWrap/>
                  <w:tcMar>
                    <w:top w:w="15" w:type="dxa"/>
                    <w:left w:w="15" w:type="dxa"/>
                    <w:bottom w:w="0"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2"/>
                      <w:sz w:val="21"/>
                      <w:szCs w:val="21"/>
                      <w:lang w:val="en-US" w:eastAsia="zh-CN" w:bidi="ar-SA"/>
                    </w:rPr>
                  </w:pPr>
                  <w:r>
                    <w:rPr>
                      <w:rFonts w:hint="eastAsia" w:cs="Times New Roman"/>
                      <w:b w:val="0"/>
                      <w:bCs/>
                      <w:color w:val="auto"/>
                      <w:spacing w:val="0"/>
                      <w:kern w:val="2"/>
                      <w:sz w:val="21"/>
                      <w:szCs w:val="21"/>
                      <w:highlight w:val="none"/>
                      <w:lang w:val="en-US" w:eastAsia="zh-CN" w:bidi="ar-SA"/>
                    </w:rPr>
                    <w:t>404</w:t>
                  </w:r>
                </w:p>
              </w:tc>
              <w:tc>
                <w:tcPr>
                  <w:tcW w:w="989" w:type="dxa"/>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2"/>
                      <w:sz w:val="21"/>
                      <w:szCs w:val="21"/>
                      <w:lang w:val="en-US" w:eastAsia="zh-CN" w:bidi="ar-SA"/>
                    </w:rPr>
                  </w:pPr>
                  <w:r>
                    <w:rPr>
                      <w:rFonts w:hint="eastAsia" w:cs="Times New Roman"/>
                      <w:b w:val="0"/>
                      <w:bCs/>
                      <w:color w:val="auto"/>
                      <w:spacing w:val="0"/>
                      <w:kern w:val="2"/>
                      <w:sz w:val="21"/>
                      <w:szCs w:val="21"/>
                      <w:highlight w:val="none"/>
                      <w:lang w:val="en-US" w:eastAsia="zh-CN" w:bidi="ar-SA"/>
                    </w:rPr>
                    <w:t>4.90</w:t>
                  </w:r>
                </w:p>
              </w:tc>
              <w:tc>
                <w:tcPr>
                  <w:tcW w:w="989" w:type="dxa"/>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0"/>
                      <w:sz w:val="21"/>
                      <w:szCs w:val="21"/>
                      <w:lang w:val="en-US" w:eastAsia="zh-CN" w:bidi="ar"/>
                    </w:rPr>
                  </w:pPr>
                  <w:r>
                    <w:rPr>
                      <w:rFonts w:hint="eastAsia" w:cs="Times New Roman"/>
                      <w:b w:val="0"/>
                      <w:bCs/>
                      <w:color w:val="auto"/>
                      <w:spacing w:val="0"/>
                      <w:kern w:val="2"/>
                      <w:sz w:val="21"/>
                      <w:szCs w:val="21"/>
                      <w:highlight w:val="none"/>
                      <w:lang w:val="en-US" w:eastAsia="zh-CN" w:bidi="ar-SA"/>
                    </w:rPr>
                    <w:t>399.10</w:t>
                  </w:r>
                </w:p>
              </w:tc>
              <w:tc>
                <w:tcPr>
                  <w:tcW w:w="2822" w:type="dxa"/>
                  <w:shd w:val="clear" w:color="auto" w:fill="auto"/>
                  <w:noWrap/>
                  <w:tcMar>
                    <w:top w:w="15" w:type="dxa"/>
                    <w:left w:w="15" w:type="dxa"/>
                    <w:bottom w:w="0"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eastAsia" w:cs="Times New Roman"/>
                      <w:bCs/>
                      <w:color w:val="auto"/>
                      <w:sz w:val="21"/>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1385" w:type="pct"/>
                  <w:vAlign w:val="center"/>
                </w:tcPr>
                <w:p>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default" w:ascii="Times New Roman" w:hAnsi="Times New Roman" w:cs="Times New Roman"/>
                      <w:color w:val="auto"/>
                      <w:szCs w:val="21"/>
                    </w:rPr>
                    <w:t>WX9</w:t>
                  </w:r>
                </w:p>
              </w:tc>
              <w:tc>
                <w:tcPr>
                  <w:tcW w:w="989" w:type="dxa"/>
                  <w:shd w:val="clear" w:color="auto" w:fill="auto"/>
                  <w:noWrap/>
                  <w:tcMar>
                    <w:top w:w="15" w:type="dxa"/>
                    <w:left w:w="15" w:type="dxa"/>
                    <w:bottom w:w="0"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2"/>
                      <w:sz w:val="21"/>
                      <w:szCs w:val="21"/>
                      <w:lang w:val="en-US" w:eastAsia="zh-CN" w:bidi="ar-SA"/>
                    </w:rPr>
                  </w:pPr>
                  <w:r>
                    <w:rPr>
                      <w:rFonts w:hint="eastAsia" w:cs="Times New Roman"/>
                      <w:b w:val="0"/>
                      <w:bCs/>
                      <w:color w:val="auto"/>
                      <w:spacing w:val="0"/>
                      <w:kern w:val="2"/>
                      <w:sz w:val="21"/>
                      <w:szCs w:val="21"/>
                      <w:highlight w:val="none"/>
                      <w:lang w:val="en-US" w:eastAsia="zh-CN" w:bidi="ar-SA"/>
                    </w:rPr>
                    <w:t>569</w:t>
                  </w:r>
                </w:p>
              </w:tc>
              <w:tc>
                <w:tcPr>
                  <w:tcW w:w="989" w:type="dxa"/>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2"/>
                      <w:sz w:val="21"/>
                      <w:szCs w:val="21"/>
                      <w:lang w:val="en-US" w:eastAsia="zh-CN" w:bidi="ar-SA"/>
                    </w:rPr>
                  </w:pPr>
                  <w:r>
                    <w:rPr>
                      <w:rFonts w:hint="eastAsia" w:cs="Times New Roman"/>
                      <w:b w:val="0"/>
                      <w:bCs/>
                      <w:color w:val="auto"/>
                      <w:spacing w:val="0"/>
                      <w:kern w:val="2"/>
                      <w:sz w:val="21"/>
                      <w:szCs w:val="21"/>
                      <w:highlight w:val="none"/>
                      <w:lang w:val="en-US" w:eastAsia="zh-CN" w:bidi="ar-SA"/>
                    </w:rPr>
                    <w:t>6.40</w:t>
                  </w:r>
                </w:p>
              </w:tc>
              <w:tc>
                <w:tcPr>
                  <w:tcW w:w="989" w:type="dxa"/>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0"/>
                      <w:sz w:val="21"/>
                      <w:szCs w:val="21"/>
                      <w:lang w:val="en-US" w:eastAsia="zh-CN" w:bidi="ar"/>
                    </w:rPr>
                  </w:pPr>
                  <w:r>
                    <w:rPr>
                      <w:rFonts w:hint="eastAsia" w:cs="Times New Roman"/>
                      <w:b w:val="0"/>
                      <w:bCs/>
                      <w:color w:val="auto"/>
                      <w:spacing w:val="0"/>
                      <w:kern w:val="2"/>
                      <w:sz w:val="21"/>
                      <w:szCs w:val="21"/>
                      <w:highlight w:val="none"/>
                      <w:lang w:val="en-US" w:eastAsia="zh-CN" w:bidi="ar-SA"/>
                    </w:rPr>
                    <w:t>562.60</w:t>
                  </w:r>
                </w:p>
              </w:tc>
              <w:tc>
                <w:tcPr>
                  <w:tcW w:w="2822" w:type="dxa"/>
                  <w:shd w:val="clear" w:color="auto" w:fill="auto"/>
                  <w:noWrap/>
                  <w:tcMar>
                    <w:top w:w="15" w:type="dxa"/>
                    <w:left w:w="15" w:type="dxa"/>
                    <w:bottom w:w="0"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eastAsia" w:cs="Times New Roman"/>
                      <w:bCs/>
                      <w:color w:val="auto"/>
                      <w:sz w:val="21"/>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369" w:hRule="atLeast"/>
                <w:jc w:val="center"/>
              </w:trPr>
              <w:tc>
                <w:tcPr>
                  <w:tcW w:w="1385" w:type="pct"/>
                  <w:vAlign w:val="center"/>
                </w:tcPr>
                <w:p>
                  <w:pPr>
                    <w:keepNext w:val="0"/>
                    <w:keepLines w:val="0"/>
                    <w:pageBreakBefore w:val="0"/>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default" w:ascii="Times New Roman" w:hAnsi="Times New Roman" w:cs="Times New Roman"/>
                      <w:color w:val="auto"/>
                      <w:szCs w:val="21"/>
                    </w:rPr>
                    <w:t>WX10</w:t>
                  </w:r>
                </w:p>
              </w:tc>
              <w:tc>
                <w:tcPr>
                  <w:tcW w:w="989" w:type="dxa"/>
                  <w:shd w:val="clear" w:color="auto" w:fill="auto"/>
                  <w:noWrap/>
                  <w:tcMar>
                    <w:top w:w="15" w:type="dxa"/>
                    <w:left w:w="15" w:type="dxa"/>
                    <w:bottom w:w="0"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2"/>
                      <w:sz w:val="21"/>
                      <w:szCs w:val="21"/>
                      <w:lang w:val="en-US" w:eastAsia="zh-CN" w:bidi="ar-SA"/>
                    </w:rPr>
                  </w:pPr>
                  <w:r>
                    <w:rPr>
                      <w:rFonts w:hint="eastAsia" w:cs="Times New Roman"/>
                      <w:b w:val="0"/>
                      <w:bCs/>
                      <w:color w:val="auto"/>
                      <w:spacing w:val="0"/>
                      <w:kern w:val="2"/>
                      <w:sz w:val="21"/>
                      <w:szCs w:val="21"/>
                      <w:highlight w:val="none"/>
                      <w:lang w:val="en-US" w:eastAsia="zh-CN" w:bidi="ar-SA"/>
                    </w:rPr>
                    <w:t>408</w:t>
                  </w:r>
                </w:p>
              </w:tc>
              <w:tc>
                <w:tcPr>
                  <w:tcW w:w="989" w:type="dxa"/>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2"/>
                      <w:sz w:val="21"/>
                      <w:szCs w:val="21"/>
                      <w:lang w:val="en-US" w:eastAsia="zh-CN" w:bidi="ar-SA"/>
                    </w:rPr>
                  </w:pPr>
                  <w:r>
                    <w:rPr>
                      <w:rFonts w:hint="eastAsia" w:cs="Times New Roman"/>
                      <w:b w:val="0"/>
                      <w:bCs/>
                      <w:color w:val="auto"/>
                      <w:spacing w:val="0"/>
                      <w:kern w:val="2"/>
                      <w:sz w:val="21"/>
                      <w:szCs w:val="21"/>
                      <w:highlight w:val="none"/>
                      <w:lang w:val="en-US" w:eastAsia="zh-CN" w:bidi="ar-SA"/>
                    </w:rPr>
                    <w:t>4.80</w:t>
                  </w:r>
                </w:p>
              </w:tc>
              <w:tc>
                <w:tcPr>
                  <w:tcW w:w="989" w:type="dxa"/>
                  <w:shd w:val="clear" w:color="auto" w:fill="auto"/>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eastAsia="宋体" w:cs="Times New Roman"/>
                      <w:color w:val="auto"/>
                      <w:kern w:val="0"/>
                      <w:sz w:val="21"/>
                      <w:szCs w:val="21"/>
                      <w:lang w:val="en-US" w:eastAsia="zh-CN" w:bidi="ar"/>
                    </w:rPr>
                  </w:pPr>
                  <w:r>
                    <w:rPr>
                      <w:rFonts w:hint="eastAsia" w:cs="Times New Roman"/>
                      <w:b w:val="0"/>
                      <w:bCs/>
                      <w:color w:val="auto"/>
                      <w:spacing w:val="0"/>
                      <w:kern w:val="2"/>
                      <w:sz w:val="21"/>
                      <w:szCs w:val="21"/>
                      <w:highlight w:val="none"/>
                      <w:lang w:val="en-US" w:eastAsia="zh-CN" w:bidi="ar-SA"/>
                    </w:rPr>
                    <w:t>403.20</w:t>
                  </w:r>
                </w:p>
              </w:tc>
              <w:tc>
                <w:tcPr>
                  <w:tcW w:w="2822" w:type="dxa"/>
                  <w:shd w:val="clear" w:color="auto" w:fill="auto"/>
                  <w:noWrap/>
                  <w:tcMar>
                    <w:top w:w="15" w:type="dxa"/>
                    <w:left w:w="15" w:type="dxa"/>
                    <w:bottom w:w="0" w:type="dxa"/>
                    <w:right w:w="15"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spacing w:before="0" w:beforeAutospacing="0" w:after="0" w:afterAutospacing="0" w:line="240" w:lineRule="auto"/>
                    <w:ind w:left="0" w:right="0"/>
                    <w:jc w:val="center"/>
                    <w:textAlignment w:val="auto"/>
                    <w:rPr>
                      <w:rFonts w:hint="default" w:ascii="Times New Roman" w:hAnsi="Times New Roman" w:cs="Times New Roman"/>
                      <w:color w:val="auto"/>
                      <w:szCs w:val="21"/>
                    </w:rPr>
                  </w:pPr>
                  <w:r>
                    <w:rPr>
                      <w:rFonts w:hint="eastAsia" w:cs="Times New Roman"/>
                      <w:bCs/>
                      <w:color w:val="auto"/>
                      <w:sz w:val="21"/>
                      <w:szCs w:val="21"/>
                      <w:lang w:val="en-US" w:eastAsia="zh-CN"/>
                    </w:rPr>
                    <w:t>*</w:t>
                  </w:r>
                </w:p>
              </w:tc>
            </w:tr>
          </w:tbl>
          <w:p>
            <w:pPr>
              <w:keepNext w:val="0"/>
              <w:keepLines w:val="0"/>
              <w:pageBreakBefore w:val="0"/>
              <w:suppressLineNumbers w:val="0"/>
              <w:kinsoku/>
              <w:wordWrap/>
              <w:overflowPunct/>
              <w:topLinePunct w:val="0"/>
              <w:autoSpaceDE w:val="0"/>
              <w:autoSpaceDN w:val="0"/>
              <w:bidi w:val="0"/>
              <w:adjustRightInd/>
              <w:snapToGrid/>
              <w:spacing w:before="0" w:beforeAutospacing="0" w:after="0" w:afterAutospacing="0" w:line="360" w:lineRule="auto"/>
              <w:ind w:left="0" w:right="0"/>
              <w:textAlignment w:val="auto"/>
              <w:rPr>
                <w:rFonts w:hint="default" w:ascii="Times New Roman" w:hAnsi="Times New Roman" w:cs="Times New Roman"/>
                <w:color w:val="auto"/>
                <w:kern w:val="0"/>
                <w:sz w:val="24"/>
              </w:rPr>
            </w:pPr>
            <w:r>
              <w:rPr>
                <w:rFonts w:hint="default" w:ascii="Times New Roman" w:hAnsi="Times New Roman" w:cs="Times New Roman"/>
                <w:color w:val="auto"/>
                <w:kern w:val="0"/>
                <w:sz w:val="24"/>
              </w:rPr>
              <w:t>（2）监测因子：</w:t>
            </w:r>
          </w:p>
          <w:p>
            <w:pPr>
              <w:keepNext w:val="0"/>
              <w:keepLines w:val="0"/>
              <w:pageBreakBefore w:val="0"/>
              <w:widowControl/>
              <w:suppressLineNumbers w:val="0"/>
              <w:kinsoku/>
              <w:wordWrap/>
              <w:overflowPunct/>
              <w:topLinePunct w:val="0"/>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bCs/>
                <w:color w:val="auto"/>
                <w:sz w:val="24"/>
              </w:rPr>
            </w:pPr>
            <w:r>
              <w:rPr>
                <w:rFonts w:hint="default" w:ascii="Times New Roman" w:hAnsi="Times New Roman" w:cs="Times New Roman"/>
                <w:bCs/>
                <w:color w:val="auto"/>
                <w:sz w:val="24"/>
              </w:rPr>
              <w:t>本项目监测因子如下：</w:t>
            </w:r>
          </w:p>
          <w:p>
            <w:pPr>
              <w:keepNext w:val="0"/>
              <w:keepLines w:val="0"/>
              <w:pageBreakBefore w:val="0"/>
              <w:widowControl/>
              <w:suppressLineNumbers w:val="0"/>
              <w:kinsoku/>
              <w:wordWrap/>
              <w:overflowPunct/>
              <w:topLinePunct w:val="0"/>
              <w:bidi w:val="0"/>
              <w:adjustRightInd/>
              <w:snapToGrid/>
              <w:spacing w:before="0" w:beforeAutospacing="0" w:after="0" w:afterAutospacing="0" w:line="360" w:lineRule="auto"/>
              <w:ind w:left="0" w:right="0" w:firstLine="480" w:firstLineChars="200"/>
              <w:textAlignment w:val="auto"/>
              <w:rPr>
                <w:rFonts w:hint="default" w:ascii="Times New Roman" w:hAnsi="Times New Roman" w:eastAsia="附件" w:cs="Times New Roman"/>
                <w:bCs/>
                <w:color w:val="auto"/>
                <w:sz w:val="24"/>
              </w:rPr>
            </w:pPr>
            <w:r>
              <w:rPr>
                <w:rFonts w:hint="default" w:ascii="Times New Roman" w:hAnsi="Times New Roman" w:cs="Times New Roman"/>
                <w:bCs/>
                <w:color w:val="auto"/>
                <w:sz w:val="24"/>
              </w:rPr>
              <w:t>基本水质因子：</w:t>
            </w:r>
            <w:r>
              <w:rPr>
                <w:rFonts w:hint="default" w:ascii="Times New Roman" w:hAnsi="Times New Roman" w:eastAsia="附件" w:cs="Times New Roman"/>
                <w:bCs/>
                <w:color w:val="auto"/>
                <w:sz w:val="24"/>
              </w:rPr>
              <w:t>pH、总硬度、溶解性总固体、硫酸盐、氯化物、铁、锰、挥发性酚类、耗氧量、氨氮、硫化物、硝酸盐、亚硝酸盐、氰化物、氟化物、汞、砷、镉、铬（六价）、铅、石油类、总大肠菌群。</w:t>
            </w:r>
          </w:p>
          <w:p>
            <w:pPr>
              <w:keepNext w:val="0"/>
              <w:keepLines w:val="0"/>
              <w:pageBreakBefore w:val="0"/>
              <w:widowControl/>
              <w:suppressLineNumbers w:val="0"/>
              <w:kinsoku/>
              <w:wordWrap/>
              <w:overflowPunct/>
              <w:topLinePunct w:val="0"/>
              <w:bidi w:val="0"/>
              <w:adjustRightInd/>
              <w:snapToGrid/>
              <w:spacing w:before="0" w:beforeAutospacing="0" w:after="0" w:afterAutospacing="0" w:line="360" w:lineRule="auto"/>
              <w:ind w:left="0" w:right="0" w:firstLine="480" w:firstLineChars="200"/>
              <w:textAlignment w:val="auto"/>
              <w:rPr>
                <w:rFonts w:hint="default" w:ascii="Times New Roman" w:hAnsi="Times New Roman" w:eastAsia="附件" w:cs="Times New Roman"/>
                <w:bCs/>
                <w:color w:val="auto"/>
                <w:sz w:val="24"/>
              </w:rPr>
            </w:pPr>
            <w:r>
              <w:rPr>
                <w:rFonts w:hint="default" w:ascii="Times New Roman" w:hAnsi="Times New Roman" w:eastAsia="附件" w:cs="Times New Roman"/>
                <w:color w:val="auto"/>
                <w:sz w:val="24"/>
              </w:rPr>
              <w:t>八大离子：Na</w:t>
            </w:r>
            <w:r>
              <w:rPr>
                <w:rFonts w:hint="default" w:ascii="Times New Roman" w:hAnsi="Times New Roman" w:eastAsia="附件" w:cs="Times New Roman"/>
                <w:color w:val="auto"/>
                <w:sz w:val="24"/>
                <w:vertAlign w:val="superscript"/>
              </w:rPr>
              <w:t>+</w:t>
            </w:r>
            <w:r>
              <w:rPr>
                <w:rFonts w:hint="default" w:ascii="Times New Roman" w:hAnsi="Times New Roman" w:eastAsia="附件" w:cs="Times New Roman"/>
                <w:color w:val="auto"/>
                <w:sz w:val="24"/>
              </w:rPr>
              <w:t>、K</w:t>
            </w:r>
            <w:r>
              <w:rPr>
                <w:rFonts w:hint="default" w:ascii="Times New Roman" w:hAnsi="Times New Roman" w:eastAsia="附件" w:cs="Times New Roman"/>
                <w:color w:val="auto"/>
                <w:sz w:val="24"/>
                <w:vertAlign w:val="superscript"/>
              </w:rPr>
              <w:t>+</w:t>
            </w:r>
            <w:r>
              <w:rPr>
                <w:rFonts w:hint="default" w:ascii="Times New Roman" w:hAnsi="Times New Roman" w:eastAsia="附件" w:cs="Times New Roman"/>
                <w:color w:val="auto"/>
                <w:sz w:val="24"/>
              </w:rPr>
              <w:t>、Ca</w:t>
            </w:r>
            <w:r>
              <w:rPr>
                <w:rFonts w:hint="default" w:ascii="Times New Roman" w:hAnsi="Times New Roman" w:eastAsia="附件" w:cs="Times New Roman"/>
                <w:color w:val="auto"/>
                <w:sz w:val="24"/>
                <w:vertAlign w:val="superscript"/>
              </w:rPr>
              <w:t>2+</w:t>
            </w:r>
            <w:r>
              <w:rPr>
                <w:rFonts w:hint="default" w:ascii="Times New Roman" w:hAnsi="Times New Roman" w:eastAsia="附件" w:cs="Times New Roman"/>
                <w:color w:val="auto"/>
                <w:sz w:val="24"/>
              </w:rPr>
              <w:t>、Mg</w:t>
            </w:r>
            <w:r>
              <w:rPr>
                <w:rFonts w:hint="default" w:ascii="Times New Roman" w:hAnsi="Times New Roman" w:eastAsia="附件" w:cs="Times New Roman"/>
                <w:color w:val="auto"/>
                <w:sz w:val="24"/>
                <w:vertAlign w:val="superscript"/>
              </w:rPr>
              <w:t>2+</w:t>
            </w:r>
            <w:r>
              <w:rPr>
                <w:rFonts w:hint="default" w:ascii="Times New Roman" w:hAnsi="Times New Roman" w:eastAsia="附件" w:cs="Times New Roman"/>
                <w:color w:val="auto"/>
                <w:sz w:val="24"/>
              </w:rPr>
              <w:t>、CO</w:t>
            </w:r>
            <w:r>
              <w:rPr>
                <w:rFonts w:hint="default" w:ascii="Times New Roman" w:hAnsi="Times New Roman" w:eastAsia="附件" w:cs="Times New Roman"/>
                <w:color w:val="auto"/>
                <w:sz w:val="24"/>
                <w:vertAlign w:val="subscript"/>
              </w:rPr>
              <w:t>3</w:t>
            </w:r>
            <w:r>
              <w:rPr>
                <w:rFonts w:hint="default" w:ascii="Times New Roman" w:hAnsi="Times New Roman" w:eastAsia="附件" w:cs="Times New Roman"/>
                <w:color w:val="auto"/>
                <w:sz w:val="24"/>
                <w:vertAlign w:val="superscript"/>
              </w:rPr>
              <w:t>2-</w:t>
            </w:r>
            <w:r>
              <w:rPr>
                <w:rFonts w:hint="default" w:ascii="Times New Roman" w:hAnsi="Times New Roman" w:eastAsia="附件" w:cs="Times New Roman"/>
                <w:color w:val="auto"/>
                <w:sz w:val="24"/>
              </w:rPr>
              <w:t>、HCO</w:t>
            </w:r>
            <w:r>
              <w:rPr>
                <w:rFonts w:hint="default" w:ascii="Times New Roman" w:hAnsi="Times New Roman" w:eastAsia="附件" w:cs="Times New Roman"/>
                <w:color w:val="auto"/>
                <w:sz w:val="24"/>
                <w:vertAlign w:val="subscript"/>
              </w:rPr>
              <w:t>3</w:t>
            </w:r>
            <w:r>
              <w:rPr>
                <w:rFonts w:hint="default" w:ascii="Times New Roman" w:hAnsi="Times New Roman" w:eastAsia="附件" w:cs="Times New Roman"/>
                <w:color w:val="auto"/>
                <w:sz w:val="24"/>
                <w:vertAlign w:val="superscript"/>
              </w:rPr>
              <w:t>-</w:t>
            </w:r>
            <w:r>
              <w:rPr>
                <w:rFonts w:hint="default" w:ascii="Times New Roman" w:hAnsi="Times New Roman" w:eastAsia="附件" w:cs="Times New Roman"/>
                <w:color w:val="auto"/>
                <w:sz w:val="24"/>
              </w:rPr>
              <w:t>、Cl</w:t>
            </w:r>
            <w:r>
              <w:rPr>
                <w:rFonts w:hint="default" w:ascii="Times New Roman" w:hAnsi="Times New Roman" w:eastAsia="附件" w:cs="Times New Roman"/>
                <w:color w:val="auto"/>
                <w:sz w:val="24"/>
                <w:vertAlign w:val="superscript"/>
              </w:rPr>
              <w:t>-</w:t>
            </w:r>
            <w:r>
              <w:rPr>
                <w:rFonts w:hint="default" w:ascii="Times New Roman" w:hAnsi="Times New Roman" w:eastAsia="附件" w:cs="Times New Roman"/>
                <w:color w:val="auto"/>
                <w:sz w:val="24"/>
              </w:rPr>
              <w:t>、SO</w:t>
            </w:r>
            <w:r>
              <w:rPr>
                <w:rFonts w:hint="default" w:ascii="Times New Roman" w:hAnsi="Times New Roman" w:eastAsia="附件" w:cs="Times New Roman"/>
                <w:color w:val="auto"/>
                <w:sz w:val="24"/>
                <w:vertAlign w:val="subscript"/>
              </w:rPr>
              <w:t>4</w:t>
            </w:r>
            <w:r>
              <w:rPr>
                <w:rFonts w:hint="default" w:ascii="Times New Roman" w:hAnsi="Times New Roman" w:eastAsia="附件" w:cs="Times New Roman"/>
                <w:color w:val="auto"/>
                <w:sz w:val="24"/>
                <w:vertAlign w:val="superscript"/>
              </w:rPr>
              <w:t>2-</w:t>
            </w:r>
            <w:r>
              <w:rPr>
                <w:rFonts w:hint="default" w:ascii="Times New Roman" w:hAnsi="Times New Roman" w:eastAsia="附件" w:cs="Times New Roman"/>
                <w:color w:val="auto"/>
                <w:sz w:val="24"/>
              </w:rPr>
              <w:t>。</w:t>
            </w:r>
          </w:p>
          <w:p>
            <w:pPr>
              <w:keepNext w:val="0"/>
              <w:keepLines w:val="0"/>
              <w:pageBreakBefore w:val="0"/>
              <w:suppressLineNumbers w:val="0"/>
              <w:kinsoku/>
              <w:wordWrap/>
              <w:overflowPunct/>
              <w:topLinePunct w:val="0"/>
              <w:autoSpaceDE w:val="0"/>
              <w:autoSpaceDN w:val="0"/>
              <w:bidi w:val="0"/>
              <w:adjustRightInd/>
              <w:snapToGrid/>
              <w:spacing w:before="0" w:beforeAutospacing="0" w:after="0" w:afterAutospacing="0" w:line="360" w:lineRule="auto"/>
              <w:ind w:left="0" w:right="0" w:firstLine="480" w:firstLineChars="200"/>
              <w:textAlignment w:val="auto"/>
              <w:rPr>
                <w:rFonts w:hint="default" w:ascii="Times New Roman" w:hAnsi="Times New Roman" w:cs="Times New Roman"/>
                <w:bCs/>
                <w:color w:val="auto"/>
                <w:sz w:val="24"/>
              </w:rPr>
            </w:pPr>
            <w:r>
              <w:rPr>
                <w:rFonts w:hint="default" w:ascii="Times New Roman" w:hAnsi="Times New Roman" w:cs="Times New Roman"/>
                <w:bCs/>
                <w:color w:val="auto"/>
                <w:sz w:val="24"/>
              </w:rPr>
              <w:t>特征因子：石油类、硫化物、氯化物。</w:t>
            </w:r>
          </w:p>
          <w:p>
            <w:pPr>
              <w:keepNext w:val="0"/>
              <w:keepLines w:val="0"/>
              <w:suppressLineNumbers w:val="0"/>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（3）监测频次：监测1天，每天采样1次。</w:t>
            </w:r>
          </w:p>
          <w:p>
            <w:pPr>
              <w:keepNext w:val="0"/>
              <w:keepLines w:val="0"/>
              <w:suppressLineNumbers w:val="0"/>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（4）评价标准：《地下水质量标准》(GB/T 14848—2017</w:t>
            </w:r>
            <w:r>
              <w:rPr>
                <w:rFonts w:hint="eastAsia" w:cs="Times New Roman"/>
                <w:color w:val="auto"/>
                <w:kern w:val="0"/>
                <w:sz w:val="24"/>
                <w:lang w:eastAsia="zh-CN"/>
              </w:rPr>
              <w:t>）</w:t>
            </w:r>
            <w:r>
              <w:rPr>
                <w:rFonts w:hint="default" w:ascii="Times New Roman" w:hAnsi="Times New Roman" w:cs="Times New Roman"/>
                <w:color w:val="auto"/>
                <w:kern w:val="0"/>
                <w:sz w:val="24"/>
              </w:rPr>
              <w:t>中Ⅲ类标准。</w:t>
            </w:r>
          </w:p>
          <w:p>
            <w:pPr>
              <w:keepNext w:val="0"/>
              <w:keepLines w:val="0"/>
              <w:suppressLineNumbers w:val="0"/>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（5）评价方法：根据《环境影响评价技术导则 地下水环境》（HJ610-2016），地下水环境质量现状评价方法采用标准指数法，除pH值外，其它水质参数的单项标准指数S</w:t>
            </w:r>
            <w:r>
              <w:rPr>
                <w:rFonts w:hint="default" w:ascii="Times New Roman" w:hAnsi="Times New Roman" w:cs="Times New Roman"/>
                <w:color w:val="auto"/>
                <w:kern w:val="0"/>
                <w:sz w:val="24"/>
                <w:vertAlign w:val="subscript"/>
              </w:rPr>
              <w:t>i</w:t>
            </w:r>
            <w:r>
              <w:rPr>
                <w:rFonts w:hint="default" w:ascii="Times New Roman" w:hAnsi="Times New Roman" w:cs="Times New Roman"/>
                <w:color w:val="auto"/>
                <w:kern w:val="0"/>
                <w:sz w:val="24"/>
              </w:rPr>
              <w:t>为：</w:t>
            </w:r>
          </w:p>
          <w:p>
            <w:pPr>
              <w:keepNext w:val="0"/>
              <w:keepLines w:val="0"/>
              <w:suppressLineNumbers w:val="0"/>
              <w:autoSpaceDE w:val="0"/>
              <w:autoSpaceDN w:val="0"/>
              <w:adjustRightInd w:val="0"/>
              <w:spacing w:before="0" w:beforeAutospacing="0" w:after="0" w:afterAutospacing="0" w:line="360" w:lineRule="auto"/>
              <w:ind w:left="0" w:right="0" w:firstLine="200"/>
              <w:jc w:val="center"/>
              <w:rPr>
                <w:rFonts w:hint="default" w:ascii="Times New Roman" w:hAnsi="Times New Roman" w:cs="Times New Roman"/>
                <w:color w:val="auto"/>
                <w:kern w:val="0"/>
                <w:sz w:val="24"/>
              </w:rPr>
            </w:pPr>
            <w:r>
              <w:rPr>
                <w:rFonts w:hint="default" w:ascii="Times New Roman" w:hAnsi="Times New Roman" w:cs="Times New Roman"/>
                <w:color w:val="auto"/>
                <w:kern w:val="0"/>
                <w:sz w:val="24"/>
              </w:rPr>
              <w:t>S</w:t>
            </w:r>
            <w:r>
              <w:rPr>
                <w:rFonts w:hint="default" w:ascii="Times New Roman" w:hAnsi="Times New Roman" w:cs="Times New Roman"/>
                <w:color w:val="auto"/>
                <w:kern w:val="0"/>
                <w:sz w:val="24"/>
                <w:vertAlign w:val="subscript"/>
              </w:rPr>
              <w:t>i</w:t>
            </w:r>
            <w:r>
              <w:rPr>
                <w:rFonts w:hint="default" w:ascii="Times New Roman" w:hAnsi="Times New Roman" w:cs="Times New Roman"/>
                <w:color w:val="auto"/>
                <w:kern w:val="0"/>
                <w:sz w:val="24"/>
              </w:rPr>
              <w:t>=C</w:t>
            </w:r>
            <w:r>
              <w:rPr>
                <w:rFonts w:hint="default" w:ascii="Times New Roman" w:hAnsi="Times New Roman" w:cs="Times New Roman"/>
                <w:color w:val="auto"/>
                <w:kern w:val="0"/>
                <w:sz w:val="24"/>
                <w:vertAlign w:val="subscript"/>
              </w:rPr>
              <w:t>i</w:t>
            </w:r>
            <w:r>
              <w:rPr>
                <w:rFonts w:hint="default" w:ascii="Times New Roman" w:hAnsi="Times New Roman" w:cs="Times New Roman"/>
                <w:color w:val="auto"/>
                <w:kern w:val="0"/>
                <w:sz w:val="24"/>
              </w:rPr>
              <w:t>/C</w:t>
            </w:r>
            <w:r>
              <w:rPr>
                <w:rFonts w:hint="default" w:ascii="Times New Roman" w:hAnsi="Times New Roman" w:cs="Times New Roman"/>
                <w:color w:val="auto"/>
                <w:kern w:val="0"/>
                <w:sz w:val="24"/>
                <w:vertAlign w:val="subscript"/>
              </w:rPr>
              <w:t>0i</w:t>
            </w:r>
          </w:p>
          <w:p>
            <w:pPr>
              <w:keepNext w:val="0"/>
              <w:keepLines w:val="0"/>
              <w:suppressLineNumbers w:val="0"/>
              <w:autoSpaceDE w:val="0"/>
              <w:autoSpaceDN w:val="0"/>
              <w:adjustRightIn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式中：C</w:t>
            </w:r>
            <w:r>
              <w:rPr>
                <w:rFonts w:hint="default" w:ascii="Times New Roman" w:hAnsi="Times New Roman" w:cs="Times New Roman"/>
                <w:color w:val="auto"/>
                <w:kern w:val="0"/>
                <w:sz w:val="24"/>
                <w:vertAlign w:val="subscript"/>
              </w:rPr>
              <w:t>i</w:t>
            </w:r>
            <w:r>
              <w:rPr>
                <w:rFonts w:hint="default" w:ascii="Times New Roman" w:hAnsi="Times New Roman" w:cs="Times New Roman"/>
                <w:color w:val="auto"/>
                <w:kern w:val="0"/>
                <w:sz w:val="24"/>
              </w:rPr>
              <w:t>——第i种污染物实测浓度值，mg/L；</w:t>
            </w:r>
          </w:p>
          <w:p>
            <w:pPr>
              <w:keepNext w:val="0"/>
              <w:keepLines w:val="0"/>
              <w:suppressLineNumbers w:val="0"/>
              <w:autoSpaceDE w:val="0"/>
              <w:autoSpaceDN w:val="0"/>
              <w:adjustRightInd w:val="0"/>
              <w:spacing w:before="0" w:beforeAutospacing="0" w:after="0" w:afterAutospacing="0" w:line="360" w:lineRule="auto"/>
              <w:ind w:left="0" w:right="0" w:firstLine="1200" w:firstLineChars="500"/>
              <w:rPr>
                <w:rFonts w:hint="default" w:ascii="Times New Roman" w:hAnsi="Times New Roman" w:cs="Times New Roman"/>
                <w:color w:val="auto"/>
                <w:kern w:val="0"/>
                <w:sz w:val="24"/>
              </w:rPr>
            </w:pPr>
            <w:r>
              <w:rPr>
                <w:rFonts w:hint="default" w:ascii="Times New Roman" w:hAnsi="Times New Roman" w:cs="Times New Roman"/>
                <w:color w:val="auto"/>
                <w:kern w:val="0"/>
                <w:sz w:val="24"/>
              </w:rPr>
              <w:t>C</w:t>
            </w:r>
            <w:r>
              <w:rPr>
                <w:rFonts w:hint="default" w:ascii="Times New Roman" w:hAnsi="Times New Roman" w:cs="Times New Roman"/>
                <w:color w:val="auto"/>
                <w:kern w:val="0"/>
                <w:sz w:val="24"/>
                <w:vertAlign w:val="subscript"/>
              </w:rPr>
              <w:t>0i</w:t>
            </w:r>
            <w:r>
              <w:rPr>
                <w:rFonts w:hint="default" w:ascii="Times New Roman" w:hAnsi="Times New Roman" w:cs="Times New Roman"/>
                <w:color w:val="auto"/>
                <w:kern w:val="0"/>
                <w:sz w:val="24"/>
              </w:rPr>
              <w:t>——第i种污染物在GB3838-2002中III类标准值，mg/L；</w:t>
            </w:r>
          </w:p>
          <w:p>
            <w:pPr>
              <w:keepNext w:val="0"/>
              <w:keepLines w:val="0"/>
              <w:suppressLineNumbers w:val="0"/>
              <w:autoSpaceDE w:val="0"/>
              <w:autoSpaceDN w:val="0"/>
              <w:adjustRightIn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pH的标准指数S</w:t>
            </w:r>
            <w:r>
              <w:rPr>
                <w:rFonts w:hint="default" w:ascii="Times New Roman" w:hAnsi="Times New Roman" w:cs="Times New Roman"/>
                <w:color w:val="auto"/>
                <w:kern w:val="0"/>
                <w:sz w:val="24"/>
                <w:vertAlign w:val="subscript"/>
              </w:rPr>
              <w:t>pH</w:t>
            </w:r>
            <w:r>
              <w:rPr>
                <w:rFonts w:hint="default" w:ascii="Times New Roman" w:hAnsi="Times New Roman" w:cs="Times New Roman"/>
                <w:color w:val="auto"/>
                <w:kern w:val="0"/>
                <w:sz w:val="24"/>
              </w:rPr>
              <w:t>为：</w:t>
            </w:r>
          </w:p>
          <w:p>
            <w:pPr>
              <w:keepNext w:val="0"/>
              <w:keepLines w:val="0"/>
              <w:suppressLineNumbers w:val="0"/>
              <w:autoSpaceDE w:val="0"/>
              <w:autoSpaceDN w:val="0"/>
              <w:adjustRightInd w:val="0"/>
              <w:spacing w:before="0" w:beforeAutospacing="0" w:after="0" w:afterAutospacing="0" w:line="360" w:lineRule="auto"/>
              <w:ind w:left="0" w:right="0"/>
              <w:jc w:val="center"/>
              <w:rPr>
                <w:rFonts w:hint="default" w:ascii="Times New Roman" w:hAnsi="Times New Roman" w:cs="Times New Roman"/>
                <w:color w:val="auto"/>
                <w:kern w:val="0"/>
                <w:sz w:val="24"/>
              </w:rPr>
            </w:pPr>
            <w:r>
              <w:rPr>
                <w:rFonts w:hint="default" w:ascii="Times New Roman" w:hAnsi="Times New Roman" w:cs="Times New Roman"/>
                <w:color w:val="auto"/>
                <w:kern w:val="0"/>
                <w:sz w:val="24"/>
              </w:rPr>
              <w:t>当pH≤7.0  SpH=（7.0-pH）/（7.0-pH</w:t>
            </w:r>
            <w:r>
              <w:rPr>
                <w:rFonts w:hint="default" w:ascii="Times New Roman" w:hAnsi="Times New Roman" w:cs="Times New Roman"/>
                <w:color w:val="auto"/>
                <w:kern w:val="0"/>
                <w:sz w:val="24"/>
                <w:vertAlign w:val="subscript"/>
              </w:rPr>
              <w:t>sd</w:t>
            </w:r>
            <w:r>
              <w:rPr>
                <w:rFonts w:hint="default" w:ascii="Times New Roman" w:hAnsi="Times New Roman" w:cs="Times New Roman"/>
                <w:color w:val="auto"/>
                <w:kern w:val="0"/>
                <w:sz w:val="24"/>
              </w:rPr>
              <w:t>）</w:t>
            </w:r>
          </w:p>
          <w:p>
            <w:pPr>
              <w:keepNext w:val="0"/>
              <w:keepLines w:val="0"/>
              <w:suppressLineNumbers w:val="0"/>
              <w:autoSpaceDE w:val="0"/>
              <w:autoSpaceDN w:val="0"/>
              <w:adjustRightInd w:val="0"/>
              <w:spacing w:before="0" w:beforeAutospacing="0" w:after="0" w:afterAutospacing="0" w:line="360" w:lineRule="auto"/>
              <w:ind w:left="0" w:right="0"/>
              <w:jc w:val="center"/>
              <w:rPr>
                <w:rFonts w:hint="default" w:ascii="Times New Roman" w:hAnsi="Times New Roman" w:cs="Times New Roman"/>
                <w:color w:val="auto"/>
                <w:kern w:val="0"/>
                <w:sz w:val="24"/>
              </w:rPr>
            </w:pPr>
            <w:r>
              <w:rPr>
                <w:rFonts w:hint="default" w:ascii="Times New Roman" w:hAnsi="Times New Roman" w:cs="Times New Roman"/>
                <w:color w:val="auto"/>
                <w:kern w:val="0"/>
                <w:sz w:val="24"/>
              </w:rPr>
              <w:t>当pH≥7.0  SpH=（pH-7.0）/（pH</w:t>
            </w:r>
            <w:r>
              <w:rPr>
                <w:rFonts w:hint="default" w:ascii="Times New Roman" w:hAnsi="Times New Roman" w:cs="Times New Roman"/>
                <w:color w:val="auto"/>
                <w:kern w:val="0"/>
                <w:sz w:val="24"/>
                <w:vertAlign w:val="subscript"/>
              </w:rPr>
              <w:t>sw</w:t>
            </w:r>
            <w:r>
              <w:rPr>
                <w:rFonts w:hint="default" w:ascii="Times New Roman" w:hAnsi="Times New Roman" w:cs="Times New Roman"/>
                <w:color w:val="auto"/>
                <w:kern w:val="0"/>
                <w:sz w:val="24"/>
              </w:rPr>
              <w:t>-7.0）</w:t>
            </w:r>
          </w:p>
          <w:p>
            <w:pPr>
              <w:keepNext w:val="0"/>
              <w:keepLines w:val="0"/>
              <w:suppressLineNumbers w:val="0"/>
              <w:overflowPunct w:val="0"/>
              <w:autoSpaceDE w:val="0"/>
              <w:autoSpaceDN w:val="0"/>
              <w:adjustRightIn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式中：pH——实测的pH值；</w:t>
            </w:r>
          </w:p>
          <w:p>
            <w:pPr>
              <w:keepNext w:val="0"/>
              <w:keepLines w:val="0"/>
              <w:suppressLineNumbers w:val="0"/>
              <w:autoSpaceDE w:val="0"/>
              <w:autoSpaceDN w:val="0"/>
              <w:adjustRightInd w:val="0"/>
              <w:spacing w:before="0" w:beforeAutospacing="0" w:after="0" w:afterAutospacing="0" w:line="360" w:lineRule="auto"/>
              <w:ind w:left="0" w:right="0" w:firstLine="1200" w:firstLineChars="500"/>
              <w:rPr>
                <w:rFonts w:hint="default" w:ascii="Times New Roman" w:hAnsi="Times New Roman" w:cs="Times New Roman"/>
                <w:color w:val="auto"/>
                <w:kern w:val="0"/>
                <w:sz w:val="24"/>
              </w:rPr>
            </w:pPr>
            <w:r>
              <w:rPr>
                <w:rFonts w:hint="default" w:ascii="Times New Roman" w:hAnsi="Times New Roman" w:cs="Times New Roman"/>
                <w:color w:val="auto"/>
                <w:kern w:val="0"/>
                <w:sz w:val="24"/>
              </w:rPr>
              <w:t>pH</w:t>
            </w:r>
            <w:r>
              <w:rPr>
                <w:rFonts w:hint="default" w:ascii="Times New Roman" w:hAnsi="Times New Roman" w:cs="Times New Roman"/>
                <w:color w:val="auto"/>
                <w:kern w:val="0"/>
                <w:sz w:val="24"/>
                <w:vertAlign w:val="subscript"/>
              </w:rPr>
              <w:t>sd</w:t>
            </w:r>
            <w:r>
              <w:rPr>
                <w:rFonts w:hint="default" w:ascii="Times New Roman" w:hAnsi="Times New Roman" w:cs="Times New Roman"/>
                <w:color w:val="auto"/>
                <w:kern w:val="0"/>
                <w:sz w:val="24"/>
              </w:rPr>
              <w:t>——地表水质量标准中规定的pH值下限；</w:t>
            </w:r>
          </w:p>
          <w:p>
            <w:pPr>
              <w:keepNext w:val="0"/>
              <w:keepLines w:val="0"/>
              <w:suppressLineNumbers w:val="0"/>
              <w:autoSpaceDE w:val="0"/>
              <w:autoSpaceDN w:val="0"/>
              <w:adjustRightInd w:val="0"/>
              <w:spacing w:before="0" w:beforeAutospacing="0" w:after="0" w:afterAutospacing="0" w:line="360" w:lineRule="auto"/>
              <w:ind w:left="0" w:right="0" w:firstLine="1200" w:firstLineChars="500"/>
              <w:rPr>
                <w:rFonts w:hint="default" w:ascii="Times New Roman" w:hAnsi="Times New Roman" w:cs="Times New Roman"/>
                <w:color w:val="auto"/>
                <w:kern w:val="0"/>
                <w:sz w:val="24"/>
              </w:rPr>
            </w:pPr>
            <w:r>
              <w:rPr>
                <w:rFonts w:hint="default" w:ascii="Times New Roman" w:hAnsi="Times New Roman" w:cs="Times New Roman"/>
                <w:color w:val="auto"/>
                <w:kern w:val="0"/>
                <w:sz w:val="24"/>
              </w:rPr>
              <w:t>pH</w:t>
            </w:r>
            <w:r>
              <w:rPr>
                <w:rFonts w:hint="default" w:ascii="Times New Roman" w:hAnsi="Times New Roman" w:cs="Times New Roman"/>
                <w:color w:val="auto"/>
                <w:kern w:val="0"/>
                <w:sz w:val="24"/>
                <w:vertAlign w:val="subscript"/>
              </w:rPr>
              <w:t>sw</w:t>
            </w:r>
            <w:r>
              <w:rPr>
                <w:rFonts w:hint="default" w:ascii="Times New Roman" w:hAnsi="Times New Roman" w:cs="Times New Roman"/>
                <w:color w:val="auto"/>
                <w:kern w:val="0"/>
                <w:sz w:val="24"/>
              </w:rPr>
              <w:t>——地表水质量标准中规定的pH值上限。</w:t>
            </w:r>
          </w:p>
          <w:p>
            <w:pPr>
              <w:keepNext w:val="0"/>
              <w:keepLines w:val="0"/>
              <w:suppressLineNumbers w:val="0"/>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地下水环境质量监测结果及评价结果见下表。</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 xml:space="preserve">  地下水环境现状监测及评价结果（单位：mg/L，pH无量纲）</w:t>
            </w:r>
          </w:p>
          <w:tbl>
            <w:tblPr>
              <w:tblStyle w:val="44"/>
              <w:tblW w:w="800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46"/>
              <w:gridCol w:w="805"/>
              <w:gridCol w:w="740"/>
              <w:gridCol w:w="726"/>
              <w:gridCol w:w="677"/>
              <w:gridCol w:w="677"/>
              <w:gridCol w:w="789"/>
              <w:gridCol w:w="794"/>
              <w:gridCol w:w="789"/>
              <w:gridCol w:w="790"/>
              <w:gridCol w:w="67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restart"/>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 w:val="18"/>
                      <w:szCs w:val="18"/>
                    </w:rPr>
                  </w:pPr>
                  <w:r>
                    <w:rPr>
                      <w:rFonts w:hint="default" w:ascii="Times New Roman" w:hAnsi="Times New Roman" w:cs="Times New Roman"/>
                      <w:bCs/>
                      <w:color w:val="auto"/>
                      <w:sz w:val="18"/>
                      <w:szCs w:val="18"/>
                    </w:rPr>
                    <w:t>监测时间</w:t>
                  </w:r>
                </w:p>
              </w:tc>
              <w:tc>
                <w:tcPr>
                  <w:tcW w:w="805" w:type="dxa"/>
                  <w:vMerge w:val="restart"/>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 w:val="18"/>
                      <w:szCs w:val="18"/>
                    </w:rPr>
                  </w:pPr>
                  <w:r>
                    <w:rPr>
                      <w:rFonts w:hint="default" w:ascii="Times New Roman" w:hAnsi="Times New Roman" w:cs="Times New Roman"/>
                      <w:bCs/>
                      <w:color w:val="auto"/>
                      <w:sz w:val="18"/>
                      <w:szCs w:val="18"/>
                    </w:rPr>
                    <w:t>监测项目</w:t>
                  </w:r>
                </w:p>
              </w:tc>
              <w:tc>
                <w:tcPr>
                  <w:tcW w:w="740" w:type="dxa"/>
                  <w:vMerge w:val="restart"/>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r>
                    <w:rPr>
                      <w:rFonts w:hint="default" w:ascii="Times New Roman" w:hAnsi="Times New Roman" w:cs="Times New Roman"/>
                      <w:bCs/>
                      <w:color w:val="auto"/>
                      <w:sz w:val="18"/>
                      <w:szCs w:val="18"/>
                    </w:rPr>
                    <w:t>单位</w:t>
                  </w:r>
                </w:p>
              </w:tc>
              <w:tc>
                <w:tcPr>
                  <w:tcW w:w="3663" w:type="dxa"/>
                  <w:gridSpan w:val="5"/>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bCs/>
                      <w:color w:val="auto"/>
                      <w:sz w:val="18"/>
                      <w:szCs w:val="18"/>
                    </w:rPr>
                  </w:pPr>
                  <w:r>
                    <w:rPr>
                      <w:rFonts w:hint="default" w:ascii="Times New Roman" w:hAnsi="Times New Roman" w:cs="Times New Roman"/>
                      <w:bCs/>
                      <w:color w:val="auto"/>
                      <w:sz w:val="18"/>
                      <w:szCs w:val="18"/>
                    </w:rPr>
                    <w:t>监测点位</w:t>
                  </w:r>
                </w:p>
              </w:tc>
              <w:tc>
                <w:tcPr>
                  <w:tcW w:w="789" w:type="dxa"/>
                  <w:vMerge w:val="restar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bCs/>
                      <w:color w:val="auto"/>
                      <w:sz w:val="18"/>
                      <w:szCs w:val="18"/>
                    </w:rPr>
                  </w:pPr>
                  <w:r>
                    <w:rPr>
                      <w:rFonts w:hint="default" w:ascii="Times New Roman" w:hAnsi="Times New Roman" w:cs="Times New Roman"/>
                      <w:b/>
                      <w:bCs/>
                      <w:color w:val="auto"/>
                      <w:sz w:val="18"/>
                      <w:szCs w:val="18"/>
                    </w:rPr>
                    <w:t>Ⅲ类</w:t>
                  </w:r>
                </w:p>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r>
                    <w:rPr>
                      <w:rFonts w:hint="default" w:ascii="Times New Roman" w:hAnsi="Times New Roman" w:cs="Times New Roman"/>
                      <w:b/>
                      <w:bCs/>
                      <w:color w:val="auto"/>
                      <w:sz w:val="18"/>
                      <w:szCs w:val="18"/>
                    </w:rPr>
                    <w:t>标准值</w:t>
                  </w:r>
                </w:p>
              </w:tc>
              <w:tc>
                <w:tcPr>
                  <w:tcW w:w="790" w:type="dxa"/>
                  <w:vMerge w:val="restart"/>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r>
                    <w:rPr>
                      <w:rFonts w:hint="default" w:ascii="Times New Roman" w:hAnsi="Times New Roman" w:cs="Times New Roman"/>
                      <w:bCs/>
                      <w:color w:val="auto"/>
                      <w:sz w:val="18"/>
                      <w:szCs w:val="18"/>
                    </w:rPr>
                    <w:t>最大标准指数值</w:t>
                  </w:r>
                </w:p>
              </w:tc>
              <w:tc>
                <w:tcPr>
                  <w:tcW w:w="673" w:type="dxa"/>
                  <w:vMerge w:val="restar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bCs/>
                      <w:color w:val="auto"/>
                      <w:sz w:val="18"/>
                      <w:szCs w:val="18"/>
                    </w:rPr>
                  </w:pPr>
                  <w:r>
                    <w:rPr>
                      <w:rFonts w:hint="default" w:ascii="Times New Roman" w:hAnsi="Times New Roman" w:cs="Times New Roman"/>
                      <w:b/>
                      <w:bCs/>
                      <w:color w:val="auto"/>
                      <w:sz w:val="18"/>
                      <w:szCs w:val="18"/>
                    </w:rPr>
                    <w:t>超标率</w:t>
                  </w:r>
                </w:p>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r>
                    <w:rPr>
                      <w:rFonts w:hint="default" w:ascii="Times New Roman" w:hAnsi="Times New Roman" w:cs="Times New Roman"/>
                      <w:b/>
                      <w:bCs/>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740"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726"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r>
                    <w:rPr>
                      <w:rFonts w:hint="default" w:ascii="Times New Roman" w:hAnsi="Times New Roman" w:cs="Times New Roman"/>
                      <w:bCs/>
                      <w:color w:val="auto"/>
                      <w:sz w:val="18"/>
                      <w:szCs w:val="18"/>
                    </w:rPr>
                    <w:t>D1</w:t>
                  </w:r>
                </w:p>
              </w:tc>
              <w:tc>
                <w:tcPr>
                  <w:tcW w:w="677"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r>
                    <w:rPr>
                      <w:rFonts w:hint="default" w:ascii="Times New Roman" w:hAnsi="Times New Roman" w:cs="Times New Roman"/>
                      <w:bCs/>
                      <w:color w:val="auto"/>
                      <w:sz w:val="18"/>
                      <w:szCs w:val="18"/>
                    </w:rPr>
                    <w:t>D2</w:t>
                  </w:r>
                </w:p>
              </w:tc>
              <w:tc>
                <w:tcPr>
                  <w:tcW w:w="677"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r>
                    <w:rPr>
                      <w:rFonts w:hint="default" w:ascii="Times New Roman" w:hAnsi="Times New Roman" w:cs="Times New Roman"/>
                      <w:bCs/>
                      <w:color w:val="auto"/>
                      <w:sz w:val="18"/>
                      <w:szCs w:val="18"/>
                    </w:rPr>
                    <w:t>D3</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r>
                    <w:rPr>
                      <w:rFonts w:hint="default" w:ascii="Times New Roman" w:hAnsi="Times New Roman" w:cs="Times New Roman"/>
                      <w:bCs/>
                      <w:color w:val="auto"/>
                      <w:sz w:val="18"/>
                      <w:szCs w:val="18"/>
                    </w:rPr>
                    <w:t>D4</w:t>
                  </w:r>
                </w:p>
              </w:tc>
              <w:tc>
                <w:tcPr>
                  <w:tcW w:w="794"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r>
                    <w:rPr>
                      <w:rFonts w:hint="default" w:ascii="Times New Roman" w:hAnsi="Times New Roman" w:cs="Times New Roman"/>
                      <w:bCs/>
                      <w:color w:val="auto"/>
                      <w:sz w:val="18"/>
                      <w:szCs w:val="18"/>
                    </w:rPr>
                    <w:t>D5</w:t>
                  </w:r>
                </w:p>
              </w:tc>
              <w:tc>
                <w:tcPr>
                  <w:tcW w:w="789"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790"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673"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restart"/>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eastAsia="宋体" w:cs="Times New Roman"/>
                      <w:bCs/>
                      <w:color w:val="auto"/>
                      <w:sz w:val="18"/>
                      <w:szCs w:val="18"/>
                      <w:lang w:val="en-US" w:eastAsia="zh-CN"/>
                    </w:rPr>
                  </w:pPr>
                  <w:r>
                    <w:rPr>
                      <w:rFonts w:hint="default" w:ascii="Times New Roman" w:hAnsi="Times New Roman" w:cs="Times New Roman"/>
                      <w:bCs/>
                      <w:color w:val="auto"/>
                      <w:sz w:val="18"/>
                      <w:szCs w:val="18"/>
                    </w:rPr>
                    <w:t>202</w:t>
                  </w:r>
                  <w:r>
                    <w:rPr>
                      <w:rFonts w:hint="default" w:ascii="Times New Roman" w:hAnsi="Times New Roman" w:cs="Times New Roman"/>
                      <w:bCs/>
                      <w:color w:val="auto"/>
                      <w:sz w:val="18"/>
                      <w:szCs w:val="18"/>
                      <w:lang w:val="en-US" w:eastAsia="zh-CN"/>
                    </w:rPr>
                    <w:t>4.</w:t>
                  </w:r>
                  <w:r>
                    <w:rPr>
                      <w:rFonts w:hint="eastAsia" w:cs="Times New Roman"/>
                      <w:bCs/>
                      <w:color w:val="auto"/>
                      <w:sz w:val="18"/>
                      <w:szCs w:val="18"/>
                      <w:lang w:val="en-US" w:eastAsia="zh-CN"/>
                    </w:rPr>
                    <w:t>1</w:t>
                  </w:r>
                  <w:r>
                    <w:rPr>
                      <w:rFonts w:hint="default" w:ascii="Times New Roman" w:hAnsi="Times New Roman" w:cs="Times New Roman"/>
                      <w:bCs/>
                      <w:color w:val="auto"/>
                      <w:sz w:val="18"/>
                      <w:szCs w:val="18"/>
                      <w:lang w:val="en-US" w:eastAsia="zh-CN"/>
                    </w:rPr>
                    <w:t>1.</w:t>
                  </w:r>
                  <w:r>
                    <w:rPr>
                      <w:rFonts w:hint="eastAsia" w:cs="Times New Roman"/>
                      <w:bCs/>
                      <w:color w:val="auto"/>
                      <w:sz w:val="18"/>
                      <w:szCs w:val="18"/>
                      <w:lang w:val="en-US" w:eastAsia="zh-CN"/>
                    </w:rPr>
                    <w:t>19</w:t>
                  </w:r>
                </w:p>
              </w:tc>
              <w:tc>
                <w:tcPr>
                  <w:tcW w:w="805"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 w:val="18"/>
                      <w:szCs w:val="18"/>
                    </w:rPr>
                  </w:pPr>
                  <w:r>
                    <w:rPr>
                      <w:rFonts w:hint="default" w:ascii="Times New Roman" w:hAnsi="Times New Roman" w:cs="Times New Roman"/>
                      <w:color w:val="auto"/>
                      <w:kern w:val="0"/>
                      <w:sz w:val="18"/>
                      <w:szCs w:val="18"/>
                      <w:lang w:bidi="ar"/>
                    </w:rPr>
                    <w:t>pH</w:t>
                  </w:r>
                </w:p>
              </w:tc>
              <w:tc>
                <w:tcPr>
                  <w:tcW w:w="740"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 w:val="18"/>
                      <w:szCs w:val="18"/>
                    </w:rPr>
                  </w:pPr>
                  <w:r>
                    <w:rPr>
                      <w:rFonts w:hint="default" w:ascii="Times New Roman" w:hAnsi="Times New Roman" w:cs="Times New Roman"/>
                      <w:color w:val="auto"/>
                      <w:kern w:val="0"/>
                      <w:sz w:val="18"/>
                      <w:szCs w:val="18"/>
                      <w:lang w:bidi="ar"/>
                    </w:rPr>
                    <w:t>无量纲</w:t>
                  </w:r>
                </w:p>
              </w:tc>
              <w:tc>
                <w:tcPr>
                  <w:tcW w:w="72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18"/>
                      <w:szCs w:val="18"/>
                    </w:rPr>
                  </w:pPr>
                  <w:r>
                    <w:rPr>
                      <w:rFonts w:hint="eastAsia" w:cs="Times New Roman"/>
                      <w:bCs/>
                      <w:color w:val="auto"/>
                      <w:sz w:val="21"/>
                      <w:szCs w:val="21"/>
                      <w:lang w:val="en-US" w:eastAsia="zh-CN"/>
                    </w:rPr>
                    <w:t>*</w:t>
                  </w:r>
                </w:p>
              </w:tc>
              <w:tc>
                <w:tcPr>
                  <w:tcW w:w="67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18"/>
                      <w:szCs w:val="18"/>
                    </w:rPr>
                  </w:pPr>
                  <w:r>
                    <w:rPr>
                      <w:rFonts w:hint="eastAsia" w:cs="Times New Roman"/>
                      <w:bCs/>
                      <w:color w:val="auto"/>
                      <w:sz w:val="21"/>
                      <w:szCs w:val="21"/>
                      <w:lang w:val="en-US" w:eastAsia="zh-CN"/>
                    </w:rPr>
                    <w:t>*</w:t>
                  </w:r>
                </w:p>
              </w:tc>
              <w:tc>
                <w:tcPr>
                  <w:tcW w:w="67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18"/>
                      <w:szCs w:val="18"/>
                    </w:rPr>
                  </w:pPr>
                  <w:r>
                    <w:rPr>
                      <w:rFonts w:hint="eastAsia" w:cs="Times New Roman"/>
                      <w:bCs/>
                      <w:color w:val="auto"/>
                      <w:sz w:val="21"/>
                      <w:szCs w:val="21"/>
                      <w:lang w:val="en-US" w:eastAsia="zh-CN"/>
                    </w:rPr>
                    <w:t>*</w:t>
                  </w:r>
                </w:p>
              </w:tc>
              <w:tc>
                <w:tcPr>
                  <w:tcW w:w="78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18"/>
                      <w:szCs w:val="18"/>
                    </w:rPr>
                  </w:pPr>
                  <w:r>
                    <w:rPr>
                      <w:rFonts w:hint="eastAsia" w:cs="Times New Roman"/>
                      <w:bCs/>
                      <w:color w:val="auto"/>
                      <w:sz w:val="21"/>
                      <w:szCs w:val="21"/>
                      <w:lang w:val="en-US" w:eastAsia="zh-CN"/>
                    </w:rPr>
                    <w:t>*</w:t>
                  </w:r>
                </w:p>
              </w:tc>
              <w:tc>
                <w:tcPr>
                  <w:tcW w:w="79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18"/>
                      <w:szCs w:val="18"/>
                    </w:rPr>
                  </w:pPr>
                  <w:r>
                    <w:rPr>
                      <w:rFonts w:hint="eastAsia" w:cs="Times New Roman"/>
                      <w:bCs/>
                      <w:color w:val="auto"/>
                      <w:sz w:val="21"/>
                      <w:szCs w:val="21"/>
                      <w:lang w:val="en-US" w:eastAsia="zh-CN"/>
                    </w:rPr>
                    <w:t>*</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r>
                    <w:rPr>
                      <w:rFonts w:hint="default" w:ascii="Times New Roman" w:hAnsi="Times New Roman" w:cs="Times New Roman"/>
                      <w:color w:val="auto"/>
                      <w:kern w:val="0"/>
                      <w:sz w:val="18"/>
                      <w:szCs w:val="18"/>
                      <w:lang w:bidi="ar"/>
                    </w:rPr>
                    <w:t>6.5-8.5</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eastAsia" w:ascii="Times New Roman" w:hAnsi="Times New Roman" w:eastAsia="宋体" w:cs="Times New Roman"/>
                      <w:color w:val="auto"/>
                      <w:sz w:val="18"/>
                      <w:szCs w:val="18"/>
                      <w:lang w:val="en-US" w:eastAsia="zh-CN"/>
                    </w:rPr>
                  </w:pPr>
                  <w:r>
                    <w:rPr>
                      <w:rFonts w:hint="default" w:ascii="Times New Roman" w:hAnsi="Times New Roman" w:cs="Times New Roman"/>
                      <w:color w:val="auto"/>
                      <w:sz w:val="18"/>
                      <w:szCs w:val="18"/>
                    </w:rPr>
                    <w:t>0.</w:t>
                  </w:r>
                  <w:r>
                    <w:rPr>
                      <w:rFonts w:hint="eastAsia" w:cs="Times New Roman"/>
                      <w:color w:val="auto"/>
                      <w:sz w:val="18"/>
                      <w:szCs w:val="18"/>
                      <w:lang w:val="en-US" w:eastAsia="zh-CN"/>
                    </w:rPr>
                    <w:t>6</w:t>
                  </w:r>
                </w:p>
              </w:tc>
              <w:tc>
                <w:tcPr>
                  <w:tcW w:w="673"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r>
                    <w:rPr>
                      <w:rFonts w:hint="default" w:ascii="Times New Roman" w:hAnsi="Times New Roman" w:cs="Times New Roman"/>
                      <w:bCs/>
                      <w:color w:val="auto"/>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0"/>
                      <w:sz w:val="18"/>
                      <w:szCs w:val="18"/>
                      <w:lang w:val="en-US" w:eastAsia="zh-CN" w:bidi="ar-SA"/>
                    </w:rPr>
                  </w:pPr>
                  <w:r>
                    <w:rPr>
                      <w:rFonts w:hint="default" w:ascii="Times New Roman" w:hAnsi="Times New Roman" w:cs="Times New Roman"/>
                      <w:color w:val="auto"/>
                      <w:kern w:val="0"/>
                      <w:sz w:val="18"/>
                      <w:szCs w:val="18"/>
                      <w:lang w:bidi="ar"/>
                    </w:rPr>
                    <w:t>氨氮</w:t>
                  </w:r>
                </w:p>
              </w:tc>
              <w:tc>
                <w:tcPr>
                  <w:tcW w:w="74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mg/L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0.50mg/L</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等线" w:cs="Times New Roman"/>
                      <w:color w:val="auto"/>
                      <w:kern w:val="2"/>
                      <w:sz w:val="18"/>
                      <w:szCs w:val="18"/>
                      <w:lang w:val="en-US" w:eastAsia="zh-CN" w:bidi="ar-SA"/>
                    </w:rPr>
                  </w:pPr>
                  <w:r>
                    <w:rPr>
                      <w:rFonts w:hint="default" w:ascii="Times New Roman" w:hAnsi="Times New Roman" w:eastAsia="等线" w:cs="Times New Roman"/>
                      <w:color w:val="auto"/>
                      <w:sz w:val="18"/>
                      <w:szCs w:val="18"/>
                    </w:rPr>
                    <w:t>0.</w:t>
                  </w:r>
                  <w:r>
                    <w:rPr>
                      <w:rFonts w:hint="eastAsia" w:ascii="Times New Roman" w:hAnsi="Times New Roman" w:eastAsia="等线" w:cs="Times New Roman"/>
                      <w:color w:val="auto"/>
                      <w:sz w:val="18"/>
                      <w:szCs w:val="18"/>
                      <w:lang w:val="en-US" w:eastAsia="zh-CN"/>
                    </w:rPr>
                    <w:t>14</w:t>
                  </w:r>
                </w:p>
              </w:tc>
              <w:tc>
                <w:tcPr>
                  <w:tcW w:w="673"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kern w:val="0"/>
                      <w:sz w:val="18"/>
                      <w:szCs w:val="18"/>
                      <w:lang w:bidi="ar"/>
                    </w:rPr>
                    <w:t>溶解性总固体</w:t>
                  </w:r>
                </w:p>
              </w:tc>
              <w:tc>
                <w:tcPr>
                  <w:tcW w:w="74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kern w:val="0"/>
                      <w:sz w:val="18"/>
                      <w:szCs w:val="18"/>
                      <w:lang w:bidi="ar"/>
                    </w:rPr>
                    <w:t>mg/L</w:t>
                  </w:r>
                </w:p>
              </w:tc>
              <w:tc>
                <w:tcPr>
                  <w:tcW w:w="72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pacing w:val="6"/>
                      <w:sz w:val="18"/>
                      <w:szCs w:val="18"/>
                    </w:rPr>
                  </w:pPr>
                  <w:r>
                    <w:rPr>
                      <w:rFonts w:hint="eastAsia" w:cs="Times New Roman"/>
                      <w:bCs/>
                      <w:color w:val="auto"/>
                      <w:sz w:val="21"/>
                      <w:szCs w:val="21"/>
                      <w:lang w:val="en-US" w:eastAsia="zh-CN"/>
                    </w:rPr>
                    <w:t>*</w:t>
                  </w:r>
                </w:p>
              </w:tc>
              <w:tc>
                <w:tcPr>
                  <w:tcW w:w="67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pacing w:val="6"/>
                      <w:sz w:val="18"/>
                      <w:szCs w:val="18"/>
                    </w:rPr>
                  </w:pPr>
                  <w:r>
                    <w:rPr>
                      <w:rFonts w:hint="eastAsia" w:cs="Times New Roman"/>
                      <w:bCs/>
                      <w:color w:val="auto"/>
                      <w:sz w:val="21"/>
                      <w:szCs w:val="21"/>
                      <w:lang w:val="en-US" w:eastAsia="zh-CN"/>
                    </w:rPr>
                    <w:t>*</w:t>
                  </w:r>
                </w:p>
              </w:tc>
              <w:tc>
                <w:tcPr>
                  <w:tcW w:w="67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pacing w:val="6"/>
                      <w:sz w:val="18"/>
                      <w:szCs w:val="18"/>
                    </w:rPr>
                  </w:pPr>
                  <w:r>
                    <w:rPr>
                      <w:rFonts w:hint="eastAsia" w:cs="Times New Roman"/>
                      <w:bCs/>
                      <w:color w:val="auto"/>
                      <w:sz w:val="21"/>
                      <w:szCs w:val="21"/>
                      <w:lang w:val="en-US" w:eastAsia="zh-CN"/>
                    </w:rPr>
                    <w:t>*</w:t>
                  </w:r>
                </w:p>
              </w:tc>
              <w:tc>
                <w:tcPr>
                  <w:tcW w:w="78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pacing w:val="6"/>
                      <w:sz w:val="18"/>
                      <w:szCs w:val="18"/>
                    </w:rPr>
                  </w:pPr>
                  <w:r>
                    <w:rPr>
                      <w:rFonts w:hint="eastAsia" w:cs="Times New Roman"/>
                      <w:bCs/>
                      <w:color w:val="auto"/>
                      <w:sz w:val="21"/>
                      <w:szCs w:val="21"/>
                      <w:lang w:val="en-US" w:eastAsia="zh-CN"/>
                    </w:rPr>
                    <w:t>*</w:t>
                  </w:r>
                </w:p>
              </w:tc>
              <w:tc>
                <w:tcPr>
                  <w:tcW w:w="79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pacing w:val="6"/>
                      <w:sz w:val="18"/>
                      <w:szCs w:val="18"/>
                    </w:rPr>
                  </w:pPr>
                  <w:r>
                    <w:rPr>
                      <w:rFonts w:hint="eastAsia" w:cs="Times New Roman"/>
                      <w:bCs/>
                      <w:color w:val="auto"/>
                      <w:sz w:val="21"/>
                      <w:szCs w:val="21"/>
                      <w:lang w:val="en-US" w:eastAsia="zh-CN"/>
                    </w:rPr>
                    <w:t>*</w:t>
                  </w:r>
                </w:p>
              </w:tc>
              <w:tc>
                <w:tcPr>
                  <w:tcW w:w="789"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kern w:val="0"/>
                      <w:sz w:val="18"/>
                      <w:szCs w:val="18"/>
                      <w:lang w:bidi="ar"/>
                    </w:rPr>
                    <w:t>1000mg/L</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eastAsia="宋体" w:cs="Times New Roman"/>
                      <w:color w:val="auto"/>
                      <w:sz w:val="18"/>
                      <w:szCs w:val="18"/>
                      <w:lang w:val="en-US" w:eastAsia="zh-CN"/>
                    </w:rPr>
                  </w:pPr>
                  <w:r>
                    <w:rPr>
                      <w:rFonts w:hint="default" w:ascii="Times New Roman" w:hAnsi="Times New Roman" w:cs="Times New Roman"/>
                      <w:color w:val="auto"/>
                      <w:sz w:val="18"/>
                      <w:szCs w:val="18"/>
                    </w:rPr>
                    <w:t>0.</w:t>
                  </w:r>
                  <w:r>
                    <w:rPr>
                      <w:rFonts w:hint="eastAsia" w:ascii="Times New Roman" w:hAnsi="Times New Roman" w:cs="Times New Roman"/>
                      <w:color w:val="auto"/>
                      <w:sz w:val="18"/>
                      <w:szCs w:val="18"/>
                      <w:lang w:val="en-US" w:eastAsia="zh-CN"/>
                    </w:rPr>
                    <w:t>33</w:t>
                  </w:r>
                </w:p>
              </w:tc>
              <w:tc>
                <w:tcPr>
                  <w:tcW w:w="673"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color w:val="auto"/>
                      <w:sz w:val="18"/>
                      <w:szCs w:val="18"/>
                    </w:rPr>
                    <w:t>总大肠菌群</w:t>
                  </w:r>
                </w:p>
              </w:tc>
              <w:tc>
                <w:tcPr>
                  <w:tcW w:w="740"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bCs/>
                      <w:color w:val="auto"/>
                      <w:sz w:val="18"/>
                      <w:szCs w:val="18"/>
                    </w:rPr>
                    <w:t>MPN/100mL</w:t>
                  </w:r>
                </w:p>
              </w:tc>
              <w:tc>
                <w:tcPr>
                  <w:tcW w:w="726" w:type="dxa"/>
                  <w:tcBorders>
                    <w:tl2br w:val="nil"/>
                    <w:tr2bl w:val="nil"/>
                  </w:tcBorders>
                  <w:shd w:val="clear" w:color="auto" w:fill="auto"/>
                  <w:vAlign w:val="center"/>
                </w:tcPr>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bCs/>
                      <w:color w:val="auto"/>
                      <w:sz w:val="18"/>
                      <w:szCs w:val="18"/>
                    </w:rPr>
                    <w:t>3.0MPN/100mL</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eastAsia="等线" w:cs="Times New Roman"/>
                      <w:color w:val="auto"/>
                      <w:sz w:val="18"/>
                      <w:szCs w:val="18"/>
                    </w:rPr>
                    <w:t>/</w:t>
                  </w:r>
                </w:p>
              </w:tc>
              <w:tc>
                <w:tcPr>
                  <w:tcW w:w="673"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bCs/>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color w:val="auto"/>
                      <w:sz w:val="18"/>
                      <w:szCs w:val="18"/>
                    </w:rPr>
                    <w:t>细菌总数</w:t>
                  </w:r>
                </w:p>
              </w:tc>
              <w:tc>
                <w:tcPr>
                  <w:tcW w:w="740"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bCs/>
                      <w:color w:val="auto"/>
                      <w:sz w:val="18"/>
                      <w:szCs w:val="18"/>
                    </w:rPr>
                    <w:t>CFU/mL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bCs/>
                      <w:color w:val="auto"/>
                      <w:sz w:val="18"/>
                      <w:szCs w:val="18"/>
                    </w:rPr>
                    <w:t>100CFU/mL</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eastAsia" w:ascii="Times New Roman" w:hAnsi="Times New Roman" w:eastAsia="等线" w:cs="Times New Roman"/>
                      <w:color w:val="auto"/>
                      <w:kern w:val="2"/>
                      <w:sz w:val="18"/>
                      <w:szCs w:val="18"/>
                      <w:lang w:val="en-US" w:eastAsia="zh-CN" w:bidi="ar-SA"/>
                    </w:rPr>
                  </w:pPr>
                  <w:r>
                    <w:rPr>
                      <w:rFonts w:hint="default" w:ascii="Times New Roman" w:hAnsi="Times New Roman" w:eastAsia="等线" w:cs="Times New Roman"/>
                      <w:color w:val="auto"/>
                      <w:sz w:val="18"/>
                      <w:szCs w:val="18"/>
                    </w:rPr>
                    <w:t>0.2</w:t>
                  </w:r>
                  <w:r>
                    <w:rPr>
                      <w:rFonts w:hint="eastAsia" w:ascii="Times New Roman" w:hAnsi="Times New Roman" w:eastAsia="等线" w:cs="Times New Roman"/>
                      <w:color w:val="auto"/>
                      <w:sz w:val="18"/>
                      <w:szCs w:val="18"/>
                      <w:lang w:val="en-US" w:eastAsia="zh-CN"/>
                    </w:rPr>
                    <w:t>3</w:t>
                  </w:r>
                </w:p>
              </w:tc>
              <w:tc>
                <w:tcPr>
                  <w:tcW w:w="673"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bCs/>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碳酸根</w:t>
                  </w:r>
                </w:p>
              </w:tc>
              <w:tc>
                <w:tcPr>
                  <w:tcW w:w="740"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mg/L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bCs/>
                      <w:color w:val="auto"/>
                      <w:sz w:val="18"/>
                      <w:szCs w:val="18"/>
                    </w:rPr>
                    <w:t>/</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eastAsia="等线" w:cs="Times New Roman"/>
                      <w:color w:val="auto"/>
                      <w:sz w:val="18"/>
                      <w:szCs w:val="18"/>
                    </w:rPr>
                    <w:t>/</w:t>
                  </w:r>
                </w:p>
              </w:tc>
              <w:tc>
                <w:tcPr>
                  <w:tcW w:w="673"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重碳酸根</w:t>
                  </w:r>
                </w:p>
              </w:tc>
              <w:tc>
                <w:tcPr>
                  <w:tcW w:w="740"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mg/L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bCs/>
                      <w:color w:val="auto"/>
                      <w:sz w:val="18"/>
                      <w:szCs w:val="18"/>
                    </w:rPr>
                    <w:t>/</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eastAsia="等线" w:cs="Times New Roman"/>
                      <w:color w:val="auto"/>
                      <w:sz w:val="18"/>
                      <w:szCs w:val="18"/>
                    </w:rPr>
                    <w:t>/</w:t>
                  </w:r>
                </w:p>
              </w:tc>
              <w:tc>
                <w:tcPr>
                  <w:tcW w:w="673"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0"/>
                      <w:sz w:val="18"/>
                      <w:szCs w:val="18"/>
                      <w:lang w:val="en-US" w:eastAsia="zh-CN" w:bidi="ar-SA"/>
                    </w:rPr>
                  </w:pPr>
                  <w:r>
                    <w:rPr>
                      <w:rFonts w:hint="default" w:ascii="Times New Roman" w:hAnsi="Times New Roman" w:cs="Times New Roman"/>
                      <w:color w:val="auto"/>
                      <w:sz w:val="18"/>
                      <w:szCs w:val="18"/>
                      <w:shd w:val="clear" w:color="auto" w:fill="FFFFFF"/>
                    </w:rPr>
                    <w:t>氯化物</w:t>
                  </w:r>
                </w:p>
              </w:tc>
              <w:tc>
                <w:tcPr>
                  <w:tcW w:w="740"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color w:val="auto"/>
                      <w:kern w:val="0"/>
                      <w:sz w:val="18"/>
                      <w:szCs w:val="18"/>
                      <w:lang w:bidi="ar"/>
                    </w:rPr>
                    <w:t>mg/L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eastAsia" w:cs="Times New Roman"/>
                      <w:color w:val="auto"/>
                      <w:sz w:val="18"/>
                      <w:szCs w:val="18"/>
                      <w:lang w:val="en-US" w:eastAsia="zh-CN"/>
                    </w:rPr>
                    <w:t>250mg/L</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sz w:val="18"/>
                      <w:szCs w:val="18"/>
                    </w:rPr>
                    <w:t>/</w:t>
                  </w:r>
                </w:p>
              </w:tc>
              <w:tc>
                <w:tcPr>
                  <w:tcW w:w="673"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bCs/>
                      <w:color w:val="auto"/>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0"/>
                      <w:sz w:val="18"/>
                      <w:szCs w:val="18"/>
                      <w:lang w:val="en-US" w:eastAsia="zh-CN" w:bidi="ar-SA"/>
                    </w:rPr>
                  </w:pPr>
                  <w:r>
                    <w:rPr>
                      <w:rFonts w:hint="default" w:ascii="Times New Roman" w:hAnsi="Times New Roman" w:cs="Times New Roman"/>
                      <w:color w:val="auto"/>
                      <w:sz w:val="18"/>
                      <w:szCs w:val="18"/>
                      <w:shd w:val="clear" w:color="auto" w:fill="FFFFFF"/>
                    </w:rPr>
                    <w:t>硫酸盐</w:t>
                  </w:r>
                </w:p>
              </w:tc>
              <w:tc>
                <w:tcPr>
                  <w:tcW w:w="740"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color w:val="auto"/>
                      <w:kern w:val="0"/>
                      <w:sz w:val="18"/>
                      <w:szCs w:val="18"/>
                      <w:lang w:bidi="ar"/>
                    </w:rPr>
                    <w:t>mg/L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eastAsia" w:ascii="Times New Roman" w:hAnsi="Times New Roman" w:cs="Times New Roman"/>
                      <w:color w:val="auto"/>
                      <w:kern w:val="2"/>
                      <w:sz w:val="18"/>
                      <w:szCs w:val="18"/>
                      <w:lang w:val="en-US" w:eastAsia="zh-CN" w:bidi="ar-SA"/>
                    </w:rPr>
                    <w:t>250mg/L</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sz w:val="18"/>
                      <w:szCs w:val="18"/>
                    </w:rPr>
                    <w:t>/</w:t>
                  </w:r>
                </w:p>
              </w:tc>
              <w:tc>
                <w:tcPr>
                  <w:tcW w:w="673"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bCs/>
                      <w:color w:val="auto"/>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0"/>
                      <w:sz w:val="18"/>
                      <w:szCs w:val="18"/>
                      <w:lang w:val="en-US" w:eastAsia="zh-CN" w:bidi="ar-SA"/>
                    </w:rPr>
                  </w:pPr>
                  <w:r>
                    <w:rPr>
                      <w:rFonts w:hint="default" w:ascii="Times New Roman" w:hAnsi="Times New Roman" w:cs="Times New Roman"/>
                      <w:color w:val="auto"/>
                      <w:kern w:val="0"/>
                      <w:sz w:val="18"/>
                      <w:szCs w:val="18"/>
                    </w:rPr>
                    <w:t>硝酸盐</w:t>
                  </w:r>
                </w:p>
              </w:tc>
              <w:tc>
                <w:tcPr>
                  <w:tcW w:w="740"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
                      <w:color w:val="auto"/>
                      <w:kern w:val="2"/>
                      <w:sz w:val="18"/>
                      <w:szCs w:val="18"/>
                      <w:lang w:val="en-US" w:eastAsia="zh-CN" w:bidi="ar-SA"/>
                    </w:rPr>
                  </w:pPr>
                  <w:r>
                    <w:rPr>
                      <w:rFonts w:hint="default" w:ascii="Times New Roman" w:hAnsi="Times New Roman" w:cs="Times New Roman"/>
                      <w:color w:val="auto"/>
                      <w:kern w:val="0"/>
                      <w:sz w:val="18"/>
                      <w:szCs w:val="18"/>
                      <w:lang w:bidi="ar"/>
                    </w:rPr>
                    <w:t>mg/L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bCs/>
                      <w:color w:val="auto"/>
                      <w:sz w:val="18"/>
                      <w:szCs w:val="18"/>
                    </w:rPr>
                    <w:t>/</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sz w:val="18"/>
                      <w:szCs w:val="18"/>
                    </w:rPr>
                    <w:t>/</w:t>
                  </w:r>
                </w:p>
              </w:tc>
              <w:tc>
                <w:tcPr>
                  <w:tcW w:w="673"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bCs/>
                      <w:color w:val="auto"/>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0"/>
                      <w:sz w:val="18"/>
                      <w:szCs w:val="18"/>
                      <w:lang w:val="en-US" w:eastAsia="zh-CN" w:bidi="ar-SA"/>
                    </w:rPr>
                  </w:pPr>
                  <w:r>
                    <w:rPr>
                      <w:rFonts w:hint="default" w:ascii="Times New Roman" w:hAnsi="Times New Roman" w:cs="Times New Roman"/>
                      <w:color w:val="auto"/>
                      <w:kern w:val="0"/>
                      <w:sz w:val="18"/>
                      <w:szCs w:val="18"/>
                    </w:rPr>
                    <w:t>亚硝酸盐</w:t>
                  </w:r>
                </w:p>
              </w:tc>
              <w:tc>
                <w:tcPr>
                  <w:tcW w:w="740"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
                      <w:color w:val="auto"/>
                      <w:kern w:val="2"/>
                      <w:sz w:val="18"/>
                      <w:szCs w:val="18"/>
                      <w:lang w:val="en-US" w:eastAsia="zh-CN" w:bidi="ar-SA"/>
                    </w:rPr>
                  </w:pPr>
                  <w:r>
                    <w:rPr>
                      <w:rFonts w:hint="default" w:ascii="Times New Roman" w:hAnsi="Times New Roman" w:cs="Times New Roman"/>
                      <w:color w:val="auto"/>
                      <w:kern w:val="0"/>
                      <w:sz w:val="18"/>
                      <w:szCs w:val="18"/>
                      <w:lang w:bidi="ar"/>
                    </w:rPr>
                    <w:t>mg/L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bCs/>
                      <w:color w:val="auto"/>
                      <w:sz w:val="18"/>
                      <w:szCs w:val="18"/>
                    </w:rPr>
                    <w:t>1.00</w:t>
                  </w:r>
                  <w:r>
                    <w:rPr>
                      <w:rFonts w:hint="default" w:ascii="Times New Roman" w:hAnsi="Times New Roman" w:cs="Times New Roman"/>
                      <w:color w:val="auto"/>
                      <w:kern w:val="0"/>
                      <w:sz w:val="18"/>
                      <w:szCs w:val="18"/>
                      <w:lang w:bidi="ar"/>
                    </w:rPr>
                    <w:t>mg/L</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eastAsia="等线" w:cs="Times New Roman"/>
                      <w:color w:val="auto"/>
                      <w:sz w:val="18"/>
                      <w:szCs w:val="18"/>
                    </w:rPr>
                    <w:t xml:space="preserve">/ </w:t>
                  </w:r>
                </w:p>
              </w:tc>
              <w:tc>
                <w:tcPr>
                  <w:tcW w:w="673"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bCs/>
                      <w:color w:val="auto"/>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挥发酚</w:t>
                  </w:r>
                </w:p>
              </w:tc>
              <w:tc>
                <w:tcPr>
                  <w:tcW w:w="74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mg/L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0.002mg/L</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eastAsia="等线" w:cs="Times New Roman"/>
                      <w:color w:val="auto"/>
                      <w:sz w:val="18"/>
                      <w:szCs w:val="18"/>
                    </w:rPr>
                    <w:t>/</w:t>
                  </w:r>
                </w:p>
              </w:tc>
              <w:tc>
                <w:tcPr>
                  <w:tcW w:w="673"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氰化物</w:t>
                  </w:r>
                </w:p>
              </w:tc>
              <w:tc>
                <w:tcPr>
                  <w:tcW w:w="74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mg/L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0.05mg/L</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eastAsia="等线" w:cs="Times New Roman"/>
                      <w:color w:val="auto"/>
                      <w:sz w:val="18"/>
                      <w:szCs w:val="18"/>
                    </w:rPr>
                    <w:t>/</w:t>
                  </w:r>
                </w:p>
              </w:tc>
              <w:tc>
                <w:tcPr>
                  <w:tcW w:w="673"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铬（六价）</w:t>
                  </w:r>
                </w:p>
              </w:tc>
              <w:tc>
                <w:tcPr>
                  <w:tcW w:w="74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mg/L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0.05mg/L</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eastAsia="等线" w:cs="Times New Roman"/>
                      <w:color w:val="auto"/>
                      <w:sz w:val="18"/>
                      <w:szCs w:val="18"/>
                    </w:rPr>
                    <w:t>/</w:t>
                  </w:r>
                </w:p>
              </w:tc>
              <w:tc>
                <w:tcPr>
                  <w:tcW w:w="673"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总硬度</w:t>
                  </w:r>
                </w:p>
              </w:tc>
              <w:tc>
                <w:tcPr>
                  <w:tcW w:w="74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mg/L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450mg/L</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sz w:val="18"/>
                      <w:szCs w:val="18"/>
                    </w:rPr>
                    <w:t>0.</w:t>
                  </w:r>
                  <w:r>
                    <w:rPr>
                      <w:rFonts w:hint="eastAsia" w:ascii="Times New Roman" w:hAnsi="Times New Roman" w:cs="Times New Roman"/>
                      <w:color w:val="auto"/>
                      <w:sz w:val="18"/>
                      <w:szCs w:val="18"/>
                      <w:lang w:val="en-US" w:eastAsia="zh-CN"/>
                    </w:rPr>
                    <w:t>67</w:t>
                  </w:r>
                </w:p>
              </w:tc>
              <w:tc>
                <w:tcPr>
                  <w:tcW w:w="673"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0"/>
                      <w:sz w:val="18"/>
                      <w:szCs w:val="18"/>
                      <w:lang w:val="en-US" w:eastAsia="zh-CN" w:bidi="ar-SA"/>
                    </w:rPr>
                  </w:pPr>
                  <w:r>
                    <w:rPr>
                      <w:rFonts w:hint="default" w:ascii="Times New Roman" w:hAnsi="Times New Roman" w:cs="Times New Roman"/>
                      <w:color w:val="auto"/>
                      <w:kern w:val="0"/>
                      <w:sz w:val="18"/>
                      <w:szCs w:val="18"/>
                      <w:lang w:bidi="ar"/>
                    </w:rPr>
                    <w:t>氟化物</w:t>
                  </w:r>
                </w:p>
              </w:tc>
              <w:tc>
                <w:tcPr>
                  <w:tcW w:w="740"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mg/L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bCs/>
                      <w:color w:val="auto"/>
                      <w:sz w:val="18"/>
                      <w:szCs w:val="18"/>
                    </w:rPr>
                    <w:t>1.0</w:t>
                  </w:r>
                  <w:r>
                    <w:rPr>
                      <w:rFonts w:hint="default" w:ascii="Times New Roman" w:hAnsi="Times New Roman" w:cs="Times New Roman"/>
                      <w:color w:val="auto"/>
                      <w:kern w:val="0"/>
                      <w:sz w:val="18"/>
                      <w:szCs w:val="18"/>
                      <w:lang w:bidi="ar"/>
                    </w:rPr>
                    <w:t>mg/L</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eastAsia="等线" w:cs="Times New Roman"/>
                      <w:color w:val="auto"/>
                      <w:sz w:val="18"/>
                      <w:szCs w:val="18"/>
                    </w:rPr>
                    <w:t xml:space="preserve">/ </w:t>
                  </w:r>
                </w:p>
              </w:tc>
              <w:tc>
                <w:tcPr>
                  <w:tcW w:w="673"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eastAsia="宋体" w:cs="Times New Roman"/>
                      <w:color w:val="auto"/>
                      <w:kern w:val="2"/>
                      <w:sz w:val="18"/>
                      <w:szCs w:val="18"/>
                      <w:lang w:val="en-US" w:eastAsia="zh-CN" w:bidi="ar-SA"/>
                    </w:rPr>
                    <w:t>高锰酸盐指数（以O</w:t>
                  </w:r>
                  <w:r>
                    <w:rPr>
                      <w:rFonts w:hint="default" w:ascii="Times New Roman" w:hAnsi="Times New Roman" w:eastAsia="宋体" w:cs="Times New Roman"/>
                      <w:color w:val="auto"/>
                      <w:kern w:val="2"/>
                      <w:sz w:val="18"/>
                      <w:szCs w:val="18"/>
                      <w:vertAlign w:val="subscript"/>
                      <w:lang w:val="en-US" w:eastAsia="zh-CN" w:bidi="ar-SA"/>
                    </w:rPr>
                    <w:t>2</w:t>
                  </w:r>
                  <w:r>
                    <w:rPr>
                      <w:rFonts w:hint="default" w:ascii="Times New Roman" w:hAnsi="Times New Roman" w:eastAsia="宋体" w:cs="Times New Roman"/>
                      <w:color w:val="auto"/>
                      <w:kern w:val="2"/>
                      <w:sz w:val="18"/>
                      <w:szCs w:val="18"/>
                      <w:lang w:val="en-US" w:eastAsia="zh-CN" w:bidi="ar-SA"/>
                    </w:rPr>
                    <w:t>计）</w:t>
                  </w:r>
                </w:p>
              </w:tc>
              <w:tc>
                <w:tcPr>
                  <w:tcW w:w="74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mg/L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3.0mg/L</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sz w:val="18"/>
                      <w:szCs w:val="18"/>
                    </w:rPr>
                    <w:t>0.</w:t>
                  </w:r>
                  <w:r>
                    <w:rPr>
                      <w:rFonts w:hint="eastAsia" w:ascii="Times New Roman" w:hAnsi="Times New Roman" w:cs="Times New Roman"/>
                      <w:color w:val="auto"/>
                      <w:sz w:val="18"/>
                      <w:szCs w:val="18"/>
                      <w:lang w:val="en-US" w:eastAsia="zh-CN"/>
                    </w:rPr>
                    <w:t>99</w:t>
                  </w:r>
                </w:p>
              </w:tc>
              <w:tc>
                <w:tcPr>
                  <w:tcW w:w="673"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0"/>
                      <w:sz w:val="18"/>
                      <w:szCs w:val="18"/>
                      <w:lang w:val="en-US" w:eastAsia="zh-CN" w:bidi="ar-SA"/>
                    </w:rPr>
                  </w:pPr>
                  <w:r>
                    <w:rPr>
                      <w:rFonts w:hint="default" w:ascii="Times New Roman" w:hAnsi="Times New Roman" w:cs="Times New Roman"/>
                      <w:color w:val="auto"/>
                      <w:kern w:val="0"/>
                      <w:sz w:val="18"/>
                      <w:szCs w:val="18"/>
                      <w:lang w:bidi="ar"/>
                    </w:rPr>
                    <w:t>汞</w:t>
                  </w:r>
                </w:p>
              </w:tc>
              <w:tc>
                <w:tcPr>
                  <w:tcW w:w="74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μg/L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color w:val="auto"/>
                      <w:kern w:val="0"/>
                      <w:sz w:val="18"/>
                      <w:szCs w:val="18"/>
                      <w:lang w:bidi="ar"/>
                    </w:rPr>
                    <w:t>0.001mg/L</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eastAsia="等线" w:cs="Times New Roman"/>
                      <w:color w:val="auto"/>
                      <w:sz w:val="18"/>
                      <w:szCs w:val="18"/>
                    </w:rPr>
                    <w:t>/</w:t>
                  </w:r>
                </w:p>
              </w:tc>
              <w:tc>
                <w:tcPr>
                  <w:tcW w:w="673"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bCs/>
                      <w:color w:val="auto"/>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0"/>
                      <w:sz w:val="18"/>
                      <w:szCs w:val="18"/>
                      <w:lang w:val="en-US" w:eastAsia="zh-CN" w:bidi="ar-SA"/>
                    </w:rPr>
                  </w:pPr>
                  <w:r>
                    <w:rPr>
                      <w:rFonts w:hint="default" w:ascii="Times New Roman" w:hAnsi="Times New Roman" w:cs="Times New Roman"/>
                      <w:color w:val="auto"/>
                      <w:kern w:val="0"/>
                      <w:sz w:val="18"/>
                      <w:szCs w:val="18"/>
                      <w:lang w:bidi="ar"/>
                    </w:rPr>
                    <w:t>砷</w:t>
                  </w:r>
                </w:p>
              </w:tc>
              <w:tc>
                <w:tcPr>
                  <w:tcW w:w="740"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
                      <w:color w:val="auto"/>
                      <w:kern w:val="2"/>
                      <w:sz w:val="18"/>
                      <w:szCs w:val="18"/>
                      <w:lang w:val="en-US" w:eastAsia="zh-CN" w:bidi="ar-SA"/>
                    </w:rPr>
                  </w:pPr>
                  <w:r>
                    <w:rPr>
                      <w:rFonts w:hint="default" w:ascii="Times New Roman" w:hAnsi="Times New Roman" w:cs="Times New Roman"/>
                      <w:color w:val="auto"/>
                      <w:kern w:val="0"/>
                      <w:sz w:val="18"/>
                      <w:szCs w:val="18"/>
                      <w:lang w:bidi="ar"/>
                    </w:rPr>
                    <w:t>μg/L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color w:val="auto"/>
                      <w:kern w:val="0"/>
                      <w:sz w:val="18"/>
                      <w:szCs w:val="18"/>
                      <w:lang w:bidi="ar"/>
                    </w:rPr>
                    <w:t>0.01mg/L</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eastAsia="等线" w:cs="Times New Roman"/>
                      <w:color w:val="auto"/>
                      <w:sz w:val="18"/>
                      <w:szCs w:val="18"/>
                    </w:rPr>
                    <w:t>/</w:t>
                  </w:r>
                </w:p>
              </w:tc>
              <w:tc>
                <w:tcPr>
                  <w:tcW w:w="673"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bCs/>
                      <w:color w:val="auto"/>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color w:val="auto"/>
                      <w:kern w:val="0"/>
                      <w:sz w:val="18"/>
                      <w:szCs w:val="18"/>
                      <w:lang w:bidi="ar"/>
                    </w:rPr>
                    <w:t>铅</w:t>
                  </w:r>
                </w:p>
              </w:tc>
              <w:tc>
                <w:tcPr>
                  <w:tcW w:w="740"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color w:val="auto"/>
                      <w:kern w:val="0"/>
                      <w:sz w:val="18"/>
                      <w:szCs w:val="18"/>
                      <w:lang w:bidi="ar"/>
                    </w:rPr>
                    <w:t>μg/L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0.01mg/L</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eastAsia="等线" w:cs="Times New Roman"/>
                      <w:color w:val="auto"/>
                      <w:sz w:val="18"/>
                      <w:szCs w:val="18"/>
                    </w:rPr>
                    <w:t>/</w:t>
                  </w:r>
                </w:p>
              </w:tc>
              <w:tc>
                <w:tcPr>
                  <w:tcW w:w="673"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bCs/>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color w:val="auto"/>
                      <w:kern w:val="0"/>
                      <w:sz w:val="18"/>
                      <w:szCs w:val="18"/>
                      <w:lang w:bidi="ar"/>
                    </w:rPr>
                    <w:t>铁</w:t>
                  </w:r>
                </w:p>
              </w:tc>
              <w:tc>
                <w:tcPr>
                  <w:tcW w:w="740"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color w:val="auto"/>
                      <w:kern w:val="0"/>
                      <w:sz w:val="18"/>
                      <w:szCs w:val="18"/>
                      <w:lang w:bidi="ar"/>
                    </w:rPr>
                    <w:t>mg/L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bCs/>
                      <w:color w:val="auto"/>
                      <w:sz w:val="18"/>
                      <w:szCs w:val="18"/>
                    </w:rPr>
                    <w:t>0.3</w:t>
                  </w:r>
                  <w:r>
                    <w:rPr>
                      <w:rFonts w:hint="default" w:ascii="Times New Roman" w:hAnsi="Times New Roman" w:cs="Times New Roman"/>
                      <w:color w:val="auto"/>
                      <w:kern w:val="0"/>
                      <w:sz w:val="18"/>
                      <w:szCs w:val="18"/>
                      <w:lang w:bidi="ar"/>
                    </w:rPr>
                    <w:t>mg/L</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等线" w:cs="Times New Roman"/>
                      <w:color w:val="auto"/>
                      <w:kern w:val="2"/>
                      <w:sz w:val="18"/>
                      <w:szCs w:val="18"/>
                      <w:lang w:val="en-US" w:eastAsia="zh-CN" w:bidi="ar-SA"/>
                    </w:rPr>
                  </w:pPr>
                  <w:r>
                    <w:rPr>
                      <w:rFonts w:hint="eastAsia" w:ascii="Times New Roman" w:hAnsi="Times New Roman" w:eastAsia="等线" w:cs="Times New Roman"/>
                      <w:color w:val="auto"/>
                      <w:kern w:val="2"/>
                      <w:sz w:val="18"/>
                      <w:szCs w:val="18"/>
                      <w:lang w:val="en-US" w:eastAsia="zh-CN" w:bidi="ar-SA"/>
                    </w:rPr>
                    <w:t>/</w:t>
                  </w:r>
                </w:p>
              </w:tc>
              <w:tc>
                <w:tcPr>
                  <w:tcW w:w="673"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bCs/>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color w:val="auto"/>
                      <w:kern w:val="0"/>
                      <w:sz w:val="18"/>
                      <w:szCs w:val="18"/>
                      <w:lang w:bidi="ar"/>
                    </w:rPr>
                    <w:t>锰</w:t>
                  </w:r>
                </w:p>
              </w:tc>
              <w:tc>
                <w:tcPr>
                  <w:tcW w:w="740"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color w:val="auto"/>
                      <w:kern w:val="0"/>
                      <w:sz w:val="18"/>
                      <w:szCs w:val="18"/>
                      <w:lang w:bidi="ar"/>
                    </w:rPr>
                    <w:t>mg/L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bCs/>
                      <w:color w:val="auto"/>
                      <w:sz w:val="18"/>
                      <w:szCs w:val="18"/>
                    </w:rPr>
                    <w:t>0.10</w:t>
                  </w:r>
                  <w:r>
                    <w:rPr>
                      <w:rFonts w:hint="default" w:ascii="Times New Roman" w:hAnsi="Times New Roman" w:cs="Times New Roman"/>
                      <w:color w:val="auto"/>
                      <w:kern w:val="0"/>
                      <w:sz w:val="18"/>
                      <w:szCs w:val="18"/>
                      <w:lang w:bidi="ar"/>
                    </w:rPr>
                    <w:t>mg/L</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eastAsia" w:ascii="Times New Roman" w:hAnsi="Times New Roman" w:cs="Times New Roman"/>
                      <w:color w:val="auto"/>
                      <w:kern w:val="2"/>
                      <w:sz w:val="18"/>
                      <w:szCs w:val="18"/>
                      <w:lang w:val="en-US" w:eastAsia="zh-CN" w:bidi="ar-SA"/>
                    </w:rPr>
                    <w:t>/</w:t>
                  </w:r>
                </w:p>
              </w:tc>
              <w:tc>
                <w:tcPr>
                  <w:tcW w:w="673"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bCs/>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0"/>
                      <w:sz w:val="18"/>
                      <w:szCs w:val="18"/>
                      <w:lang w:val="en-US" w:eastAsia="zh-CN" w:bidi="ar-SA"/>
                    </w:rPr>
                  </w:pPr>
                  <w:r>
                    <w:rPr>
                      <w:rFonts w:hint="default" w:ascii="Times New Roman" w:hAnsi="Times New Roman" w:cs="Times New Roman"/>
                      <w:color w:val="auto"/>
                      <w:kern w:val="0"/>
                      <w:sz w:val="18"/>
                      <w:szCs w:val="18"/>
                      <w:lang w:bidi="ar"/>
                    </w:rPr>
                    <w:t>K</w:t>
                  </w:r>
                  <w:r>
                    <w:rPr>
                      <w:rFonts w:hint="default" w:ascii="Times New Roman" w:hAnsi="Times New Roman" w:cs="Times New Roman"/>
                      <w:color w:val="auto"/>
                      <w:kern w:val="0"/>
                      <w:sz w:val="18"/>
                      <w:szCs w:val="18"/>
                      <w:vertAlign w:val="superscript"/>
                      <w:lang w:bidi="ar"/>
                    </w:rPr>
                    <w:t>+</w:t>
                  </w:r>
                </w:p>
              </w:tc>
              <w:tc>
                <w:tcPr>
                  <w:tcW w:w="740"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color w:val="auto"/>
                      <w:kern w:val="0"/>
                      <w:sz w:val="18"/>
                      <w:szCs w:val="18"/>
                      <w:lang w:bidi="ar"/>
                    </w:rPr>
                    <w:t>mg/L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eastAsia="等线" w:cs="Times New Roman"/>
                      <w:color w:val="auto"/>
                      <w:sz w:val="18"/>
                      <w:szCs w:val="18"/>
                    </w:rPr>
                    <w:t>/</w:t>
                  </w:r>
                </w:p>
              </w:tc>
              <w:tc>
                <w:tcPr>
                  <w:tcW w:w="673"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bCs/>
                      <w:color w:val="auto"/>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0"/>
                      <w:sz w:val="18"/>
                      <w:szCs w:val="18"/>
                      <w:lang w:val="en-US" w:eastAsia="zh-CN" w:bidi="ar-SA"/>
                    </w:rPr>
                  </w:pPr>
                  <w:r>
                    <w:rPr>
                      <w:rFonts w:hint="default" w:ascii="Times New Roman" w:hAnsi="Times New Roman" w:cs="Times New Roman"/>
                      <w:color w:val="auto"/>
                      <w:kern w:val="0"/>
                      <w:sz w:val="18"/>
                      <w:szCs w:val="18"/>
                      <w:lang w:bidi="ar"/>
                    </w:rPr>
                    <w:t>Na</w:t>
                  </w:r>
                  <w:r>
                    <w:rPr>
                      <w:rFonts w:hint="default" w:ascii="Times New Roman" w:hAnsi="Times New Roman" w:cs="Times New Roman"/>
                      <w:color w:val="auto"/>
                      <w:kern w:val="0"/>
                      <w:sz w:val="18"/>
                      <w:szCs w:val="18"/>
                      <w:vertAlign w:val="superscript"/>
                      <w:lang w:bidi="ar"/>
                    </w:rPr>
                    <w:t>+</w:t>
                  </w:r>
                </w:p>
              </w:tc>
              <w:tc>
                <w:tcPr>
                  <w:tcW w:w="740"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color w:val="auto"/>
                      <w:kern w:val="0"/>
                      <w:sz w:val="18"/>
                      <w:szCs w:val="18"/>
                      <w:lang w:bidi="ar"/>
                    </w:rPr>
                    <w:t>mg/L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eastAsia="等线" w:cs="Times New Roman"/>
                      <w:color w:val="auto"/>
                      <w:sz w:val="18"/>
                      <w:szCs w:val="18"/>
                    </w:rPr>
                    <w:t>/</w:t>
                  </w:r>
                </w:p>
              </w:tc>
              <w:tc>
                <w:tcPr>
                  <w:tcW w:w="673"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bCs/>
                      <w:color w:val="auto"/>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0"/>
                      <w:sz w:val="18"/>
                      <w:szCs w:val="18"/>
                      <w:lang w:val="en-US" w:eastAsia="zh-CN" w:bidi="ar-SA"/>
                    </w:rPr>
                  </w:pPr>
                  <w:r>
                    <w:rPr>
                      <w:rFonts w:hint="default" w:ascii="Times New Roman" w:hAnsi="Times New Roman" w:cs="Times New Roman"/>
                      <w:color w:val="auto"/>
                      <w:kern w:val="0"/>
                      <w:sz w:val="18"/>
                      <w:szCs w:val="18"/>
                      <w:lang w:bidi="ar"/>
                    </w:rPr>
                    <w:t>Ca</w:t>
                  </w:r>
                  <w:r>
                    <w:rPr>
                      <w:rFonts w:hint="default" w:ascii="Times New Roman" w:hAnsi="Times New Roman" w:cs="Times New Roman"/>
                      <w:color w:val="auto"/>
                      <w:kern w:val="0"/>
                      <w:sz w:val="18"/>
                      <w:szCs w:val="18"/>
                      <w:vertAlign w:val="superscript"/>
                      <w:lang w:bidi="ar"/>
                    </w:rPr>
                    <w:t>2+</w:t>
                  </w:r>
                </w:p>
              </w:tc>
              <w:tc>
                <w:tcPr>
                  <w:tcW w:w="740"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color w:val="auto"/>
                      <w:kern w:val="0"/>
                      <w:sz w:val="18"/>
                      <w:szCs w:val="18"/>
                      <w:lang w:bidi="ar"/>
                    </w:rPr>
                    <w:t>mg/L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eastAsia="等线" w:cs="Times New Roman"/>
                      <w:color w:val="auto"/>
                      <w:sz w:val="18"/>
                      <w:szCs w:val="18"/>
                    </w:rPr>
                    <w:t>/</w:t>
                  </w:r>
                </w:p>
              </w:tc>
              <w:tc>
                <w:tcPr>
                  <w:tcW w:w="673"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bCs/>
                      <w:color w:val="auto"/>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0"/>
                      <w:sz w:val="18"/>
                      <w:szCs w:val="18"/>
                      <w:lang w:val="en-US" w:eastAsia="zh-CN" w:bidi="ar-SA"/>
                    </w:rPr>
                  </w:pPr>
                  <w:r>
                    <w:rPr>
                      <w:rFonts w:hint="default" w:ascii="Times New Roman" w:hAnsi="Times New Roman" w:cs="Times New Roman"/>
                      <w:color w:val="auto"/>
                      <w:kern w:val="0"/>
                      <w:sz w:val="18"/>
                      <w:szCs w:val="18"/>
                      <w:lang w:bidi="ar"/>
                    </w:rPr>
                    <w:t>Mg</w:t>
                  </w:r>
                  <w:r>
                    <w:rPr>
                      <w:rFonts w:hint="default" w:ascii="Times New Roman" w:hAnsi="Times New Roman" w:cs="Times New Roman"/>
                      <w:color w:val="auto"/>
                      <w:kern w:val="0"/>
                      <w:sz w:val="18"/>
                      <w:szCs w:val="18"/>
                      <w:vertAlign w:val="superscript"/>
                      <w:lang w:bidi="ar"/>
                    </w:rPr>
                    <w:t>2+</w:t>
                  </w:r>
                </w:p>
              </w:tc>
              <w:tc>
                <w:tcPr>
                  <w:tcW w:w="740"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
                      <w:color w:val="auto"/>
                      <w:kern w:val="2"/>
                      <w:sz w:val="18"/>
                      <w:szCs w:val="18"/>
                      <w:lang w:val="en-US" w:eastAsia="zh-CN" w:bidi="ar-SA"/>
                    </w:rPr>
                  </w:pPr>
                  <w:r>
                    <w:rPr>
                      <w:rFonts w:hint="default" w:ascii="Times New Roman" w:hAnsi="Times New Roman" w:cs="Times New Roman"/>
                      <w:color w:val="auto"/>
                      <w:kern w:val="0"/>
                      <w:sz w:val="18"/>
                      <w:szCs w:val="18"/>
                      <w:lang w:bidi="ar"/>
                    </w:rPr>
                    <w:t>mg/L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color w:val="auto"/>
                      <w:kern w:val="0"/>
                      <w:sz w:val="18"/>
                      <w:szCs w:val="18"/>
                      <w:lang w:bidi="ar"/>
                    </w:rPr>
                    <w:t>/</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eastAsia="等线" w:cs="Times New Roman"/>
                      <w:color w:val="auto"/>
                      <w:sz w:val="18"/>
                      <w:szCs w:val="18"/>
                    </w:rPr>
                    <w:t>/</w:t>
                  </w:r>
                </w:p>
              </w:tc>
              <w:tc>
                <w:tcPr>
                  <w:tcW w:w="673"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bCs/>
                      <w:color w:val="auto"/>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color w:val="auto"/>
                      <w:kern w:val="0"/>
                      <w:sz w:val="18"/>
                      <w:szCs w:val="18"/>
                      <w:lang w:bidi="ar"/>
                    </w:rPr>
                    <w:t>镉</w:t>
                  </w:r>
                </w:p>
              </w:tc>
              <w:tc>
                <w:tcPr>
                  <w:tcW w:w="740"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color w:val="auto"/>
                      <w:kern w:val="0"/>
                      <w:sz w:val="18"/>
                      <w:szCs w:val="18"/>
                      <w:lang w:bidi="ar"/>
                    </w:rPr>
                    <w:t>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color w:val="auto"/>
                      <w:kern w:val="0"/>
                      <w:sz w:val="18"/>
                      <w:szCs w:val="18"/>
                      <w:lang w:bidi="ar"/>
                    </w:rPr>
                    <w:t>0.005mg/L</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eastAsia="等线" w:cs="Times New Roman"/>
                      <w:color w:val="auto"/>
                      <w:sz w:val="18"/>
                      <w:szCs w:val="18"/>
                    </w:rPr>
                    <w:t>/</w:t>
                  </w:r>
                </w:p>
              </w:tc>
              <w:tc>
                <w:tcPr>
                  <w:tcW w:w="673"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bCs/>
                      <w:color w:val="auto"/>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0"/>
                      <w:sz w:val="18"/>
                      <w:szCs w:val="18"/>
                      <w:lang w:val="en-US" w:eastAsia="zh-CN" w:bidi="ar-SA"/>
                    </w:rPr>
                  </w:pPr>
                  <w:r>
                    <w:rPr>
                      <w:rFonts w:hint="eastAsia" w:cs="Times New Roman"/>
                      <w:color w:val="auto"/>
                      <w:kern w:val="0"/>
                      <w:sz w:val="18"/>
                      <w:szCs w:val="18"/>
                      <w:lang w:val="en-US" w:eastAsia="zh-CN"/>
                    </w:rPr>
                    <w:t>钡</w:t>
                  </w:r>
                </w:p>
              </w:tc>
              <w:tc>
                <w:tcPr>
                  <w:tcW w:w="740"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bCs/>
                      <w:color w:val="auto"/>
                      <w:sz w:val="18"/>
                      <w:szCs w:val="18"/>
                    </w:rPr>
                    <w:t>mg/L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2"/>
                      <w:sz w:val="18"/>
                      <w:szCs w:val="18"/>
                      <w:highlight w:val="none"/>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2"/>
                      <w:sz w:val="18"/>
                      <w:szCs w:val="18"/>
                      <w:highlight w:val="none"/>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2"/>
                      <w:sz w:val="18"/>
                      <w:szCs w:val="18"/>
                      <w:highlight w:val="none"/>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2"/>
                      <w:sz w:val="18"/>
                      <w:szCs w:val="18"/>
                      <w:highlight w:val="none"/>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2"/>
                      <w:sz w:val="18"/>
                      <w:szCs w:val="18"/>
                      <w:highlight w:val="none"/>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eastAsia" w:ascii="Times New Roman" w:hAnsi="Times New Roman" w:cs="Times New Roman"/>
                      <w:color w:val="auto"/>
                      <w:kern w:val="2"/>
                      <w:sz w:val="18"/>
                      <w:szCs w:val="18"/>
                      <w:lang w:val="en-US" w:eastAsia="zh-CN" w:bidi="ar-SA"/>
                    </w:rPr>
                    <w:t>/</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eastAsia" w:ascii="Times New Roman" w:hAnsi="Times New Roman" w:cs="Times New Roman"/>
                      <w:color w:val="auto"/>
                      <w:kern w:val="2"/>
                      <w:sz w:val="18"/>
                      <w:szCs w:val="18"/>
                      <w:lang w:val="en-US" w:eastAsia="zh-CN" w:bidi="ar-SA"/>
                    </w:rPr>
                    <w:t>/</w:t>
                  </w:r>
                </w:p>
              </w:tc>
              <w:tc>
                <w:tcPr>
                  <w:tcW w:w="673"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eastAsia" w:ascii="Times New Roman" w:hAnsi="Times New Roman" w:cs="Times New Roman"/>
                      <w:bCs/>
                      <w:color w:val="auto"/>
                      <w:kern w:val="2"/>
                      <w:sz w:val="18"/>
                      <w:szCs w:val="18"/>
                      <w:lang w:val="en-US" w:eastAsia="zh-CN" w:bidi="ar-SA"/>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p>
              </w:tc>
              <w:tc>
                <w:tcPr>
                  <w:tcW w:w="805"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0"/>
                      <w:sz w:val="18"/>
                      <w:szCs w:val="18"/>
                      <w:lang w:val="en-US" w:eastAsia="zh-CN" w:bidi="ar-SA"/>
                    </w:rPr>
                  </w:pPr>
                  <w:r>
                    <w:rPr>
                      <w:rFonts w:hint="default" w:ascii="Times New Roman" w:hAnsi="Times New Roman" w:cs="Times New Roman"/>
                      <w:color w:val="auto"/>
                      <w:kern w:val="0"/>
                      <w:sz w:val="18"/>
                      <w:szCs w:val="18"/>
                      <w:lang w:bidi="ar"/>
                    </w:rPr>
                    <w:t>石油类</w:t>
                  </w:r>
                </w:p>
              </w:tc>
              <w:tc>
                <w:tcPr>
                  <w:tcW w:w="740"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color w:val="auto"/>
                      <w:kern w:val="0"/>
                      <w:sz w:val="18"/>
                      <w:szCs w:val="18"/>
                      <w:lang w:bidi="ar"/>
                    </w:rPr>
                    <w:t>mg/L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0"/>
                      <w:sz w:val="18"/>
                      <w:szCs w:val="18"/>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cs="Times New Roman"/>
                      <w:bCs/>
                      <w:color w:val="auto"/>
                      <w:sz w:val="18"/>
                      <w:szCs w:val="18"/>
                    </w:rPr>
                    <w:t>/</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default" w:ascii="Times New Roman" w:hAnsi="Times New Roman" w:eastAsia="等线" w:cs="Times New Roman"/>
                      <w:color w:val="auto"/>
                      <w:sz w:val="18"/>
                      <w:szCs w:val="18"/>
                    </w:rPr>
                    <w:t>/</w:t>
                  </w:r>
                </w:p>
              </w:tc>
              <w:tc>
                <w:tcPr>
                  <w:tcW w:w="673"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bCs/>
                      <w:color w:val="auto"/>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 w:val="18"/>
                      <w:szCs w:val="18"/>
                    </w:rPr>
                  </w:pPr>
                </w:p>
              </w:tc>
              <w:tc>
                <w:tcPr>
                  <w:tcW w:w="805"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 w:val="18"/>
                      <w:szCs w:val="18"/>
                    </w:rPr>
                  </w:pPr>
                  <w:r>
                    <w:rPr>
                      <w:rFonts w:hint="default" w:ascii="Times New Roman" w:hAnsi="Times New Roman" w:cs="Times New Roman"/>
                      <w:color w:val="auto"/>
                      <w:kern w:val="0"/>
                      <w:sz w:val="18"/>
                      <w:szCs w:val="18"/>
                      <w:lang w:bidi="ar"/>
                    </w:rPr>
                    <w:t>硫化物</w:t>
                  </w:r>
                </w:p>
              </w:tc>
              <w:tc>
                <w:tcPr>
                  <w:tcW w:w="740"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r>
                    <w:rPr>
                      <w:rFonts w:hint="default" w:ascii="Times New Roman" w:hAnsi="Times New Roman" w:cs="Times New Roman"/>
                      <w:color w:val="auto"/>
                      <w:kern w:val="0"/>
                      <w:sz w:val="18"/>
                      <w:szCs w:val="18"/>
                      <w:lang w:bidi="ar"/>
                    </w:rPr>
                    <w:t>mg/L</w:t>
                  </w:r>
                </w:p>
              </w:tc>
              <w:tc>
                <w:tcPr>
                  <w:tcW w:w="72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kern w:val="0"/>
                      <w:sz w:val="18"/>
                      <w:szCs w:val="18"/>
                    </w:rPr>
                  </w:pPr>
                  <w:r>
                    <w:rPr>
                      <w:rFonts w:hint="eastAsia" w:cs="Times New Roman"/>
                      <w:bCs/>
                      <w:color w:val="auto"/>
                      <w:sz w:val="21"/>
                      <w:szCs w:val="21"/>
                      <w:lang w:val="en-US" w:eastAsia="zh-CN"/>
                    </w:rPr>
                    <w:t>*</w:t>
                  </w:r>
                </w:p>
              </w:tc>
              <w:tc>
                <w:tcPr>
                  <w:tcW w:w="67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kern w:val="0"/>
                      <w:sz w:val="18"/>
                      <w:szCs w:val="18"/>
                    </w:rPr>
                  </w:pPr>
                  <w:r>
                    <w:rPr>
                      <w:rFonts w:hint="eastAsia" w:cs="Times New Roman"/>
                      <w:bCs/>
                      <w:color w:val="auto"/>
                      <w:sz w:val="21"/>
                      <w:szCs w:val="21"/>
                      <w:lang w:val="en-US" w:eastAsia="zh-CN"/>
                    </w:rPr>
                    <w:t>*</w:t>
                  </w:r>
                </w:p>
              </w:tc>
              <w:tc>
                <w:tcPr>
                  <w:tcW w:w="67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kern w:val="0"/>
                      <w:sz w:val="18"/>
                      <w:szCs w:val="18"/>
                    </w:rPr>
                  </w:pPr>
                  <w:r>
                    <w:rPr>
                      <w:rFonts w:hint="eastAsia" w:cs="Times New Roman"/>
                      <w:bCs/>
                      <w:color w:val="auto"/>
                      <w:sz w:val="21"/>
                      <w:szCs w:val="21"/>
                      <w:lang w:val="en-US" w:eastAsia="zh-CN"/>
                    </w:rPr>
                    <w:t>*</w:t>
                  </w:r>
                </w:p>
              </w:tc>
              <w:tc>
                <w:tcPr>
                  <w:tcW w:w="78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kern w:val="0"/>
                      <w:sz w:val="18"/>
                      <w:szCs w:val="18"/>
                    </w:rPr>
                  </w:pPr>
                  <w:r>
                    <w:rPr>
                      <w:rFonts w:hint="eastAsia" w:cs="Times New Roman"/>
                      <w:bCs/>
                      <w:color w:val="auto"/>
                      <w:sz w:val="21"/>
                      <w:szCs w:val="21"/>
                      <w:lang w:val="en-US" w:eastAsia="zh-CN"/>
                    </w:rPr>
                    <w:t>*</w:t>
                  </w:r>
                </w:p>
              </w:tc>
              <w:tc>
                <w:tcPr>
                  <w:tcW w:w="79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kern w:val="0"/>
                      <w:sz w:val="18"/>
                      <w:szCs w:val="18"/>
                    </w:rPr>
                  </w:pPr>
                  <w:r>
                    <w:rPr>
                      <w:rFonts w:hint="eastAsia" w:cs="Times New Roman"/>
                      <w:bCs/>
                      <w:color w:val="auto"/>
                      <w:sz w:val="21"/>
                      <w:szCs w:val="21"/>
                      <w:lang w:val="en-US" w:eastAsia="zh-CN"/>
                    </w:rPr>
                    <w:t>*</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cs="Times New Roman"/>
                      <w:color w:val="auto"/>
                      <w:kern w:val="0"/>
                      <w:sz w:val="18"/>
                      <w:szCs w:val="18"/>
                      <w:lang w:bidi="ar"/>
                    </w:rPr>
                    <w:t>0.02mg/L</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 w:val="18"/>
                      <w:szCs w:val="18"/>
                    </w:rPr>
                  </w:pPr>
                  <w:r>
                    <w:rPr>
                      <w:rFonts w:hint="default" w:ascii="Times New Roman" w:hAnsi="Times New Roman" w:eastAsia="等线" w:cs="Times New Roman"/>
                      <w:color w:val="auto"/>
                      <w:sz w:val="18"/>
                      <w:szCs w:val="18"/>
                    </w:rPr>
                    <w:t>/</w:t>
                  </w:r>
                </w:p>
              </w:tc>
              <w:tc>
                <w:tcPr>
                  <w:tcW w:w="673"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bCs/>
                      <w:color w:val="auto"/>
                      <w:sz w:val="18"/>
                      <w:szCs w:val="18"/>
                    </w:rPr>
                  </w:pPr>
                  <w:r>
                    <w:rPr>
                      <w:rFonts w:hint="default" w:ascii="Times New Roman" w:hAnsi="Times New Roman" w:cs="Times New Roman"/>
                      <w:bCs/>
                      <w:color w:val="auto"/>
                      <w:sz w:val="18"/>
                      <w:szCs w:val="18"/>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 w:val="18"/>
                      <w:szCs w:val="18"/>
                    </w:rPr>
                  </w:pPr>
                </w:p>
              </w:tc>
              <w:tc>
                <w:tcPr>
                  <w:tcW w:w="805" w:type="dxa"/>
                  <w:tcBorders>
                    <w:tl2br w:val="nil"/>
                    <w:tr2bl w:val="nil"/>
                  </w:tcBorders>
                  <w:shd w:val="clear" w:color="auto" w:fill="auto"/>
                  <w:vAlign w:val="center"/>
                </w:tcPr>
                <w:p>
                  <w:pPr>
                    <w:keepNext w:val="0"/>
                    <w:keepLines w:val="0"/>
                    <w:widowControl/>
                    <w:suppressLineNumbers w:val="0"/>
                    <w:spacing w:before="0" w:beforeAutospacing="0" w:after="0" w:afterAutospacing="0" w:line="240" w:lineRule="exact"/>
                    <w:ind w:left="0" w:right="0"/>
                    <w:jc w:val="center"/>
                    <w:rPr>
                      <w:rFonts w:hint="default" w:ascii="Times New Roman" w:hAnsi="Times New Roman" w:eastAsia="宋体" w:cs="Times New Roman"/>
                      <w:color w:val="auto"/>
                      <w:kern w:val="0"/>
                      <w:sz w:val="18"/>
                      <w:szCs w:val="18"/>
                      <w:highlight w:val="none"/>
                      <w:lang w:val="en-US" w:eastAsia="zh-CN" w:bidi="ar-SA"/>
                    </w:rPr>
                  </w:pPr>
                  <w:r>
                    <w:rPr>
                      <w:rFonts w:hint="eastAsia" w:hAnsi="宋体"/>
                      <w:color w:val="auto"/>
                      <w:sz w:val="18"/>
                      <w:szCs w:val="18"/>
                      <w:highlight w:val="none"/>
                    </w:rPr>
                    <w:t>Cl</w:t>
                  </w:r>
                  <w:r>
                    <w:rPr>
                      <w:rFonts w:hint="eastAsia" w:hAnsi="宋体"/>
                      <w:color w:val="auto"/>
                      <w:sz w:val="18"/>
                      <w:szCs w:val="18"/>
                      <w:highlight w:val="none"/>
                      <w:vertAlign w:val="superscript"/>
                    </w:rPr>
                    <w:t>-</w:t>
                  </w:r>
                </w:p>
              </w:tc>
              <w:tc>
                <w:tcPr>
                  <w:tcW w:w="740"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cs="Times New Roman"/>
                      <w:bCs/>
                      <w:color w:val="auto"/>
                      <w:sz w:val="18"/>
                      <w:szCs w:val="18"/>
                    </w:rPr>
                  </w:pPr>
                  <w:r>
                    <w:rPr>
                      <w:rFonts w:hint="default" w:ascii="Times New Roman" w:hAnsi="Times New Roman" w:cs="Times New Roman"/>
                      <w:color w:val="auto"/>
                      <w:kern w:val="0"/>
                      <w:sz w:val="18"/>
                      <w:szCs w:val="18"/>
                      <w:lang w:bidi="ar"/>
                    </w:rPr>
                    <w:t>mg/L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2"/>
                      <w:sz w:val="18"/>
                      <w:szCs w:val="18"/>
                      <w:highlight w:val="none"/>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2"/>
                      <w:sz w:val="18"/>
                      <w:szCs w:val="18"/>
                      <w:highlight w:val="none"/>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2"/>
                      <w:sz w:val="18"/>
                      <w:szCs w:val="18"/>
                      <w:highlight w:val="none"/>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2"/>
                      <w:sz w:val="18"/>
                      <w:szCs w:val="18"/>
                      <w:highlight w:val="none"/>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2"/>
                      <w:sz w:val="18"/>
                      <w:szCs w:val="18"/>
                      <w:highlight w:val="none"/>
                      <w:lang w:val="en-US" w:eastAsia="zh-CN" w:bidi="ar-SA"/>
                    </w:rPr>
                  </w:pPr>
                  <w:r>
                    <w:rPr>
                      <w:rFonts w:hint="eastAsia" w:cs="Times New Roman"/>
                      <w:bCs/>
                      <w:color w:val="auto"/>
                      <w:sz w:val="21"/>
                      <w:szCs w:val="21"/>
                      <w:lang w:val="en-US" w:eastAsia="zh-CN"/>
                    </w:rPr>
                    <w:t>*</w:t>
                  </w:r>
                </w:p>
              </w:tc>
              <w:tc>
                <w:tcPr>
                  <w:tcW w:w="789"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eastAsia="宋体" w:cs="Times New Roman"/>
                      <w:color w:val="auto"/>
                      <w:sz w:val="18"/>
                      <w:szCs w:val="18"/>
                      <w:lang w:val="en-US" w:eastAsia="zh-CN"/>
                    </w:rPr>
                  </w:pPr>
                  <w:r>
                    <w:rPr>
                      <w:rFonts w:hint="eastAsia" w:cs="Times New Roman"/>
                      <w:color w:val="auto"/>
                      <w:sz w:val="18"/>
                      <w:szCs w:val="18"/>
                      <w:lang w:val="en-US" w:eastAsia="zh-CN"/>
                    </w:rPr>
                    <w:t>/</w:t>
                  </w:r>
                </w:p>
              </w:tc>
              <w:tc>
                <w:tcPr>
                  <w:tcW w:w="790"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eastAsia" w:ascii="Times New Roman" w:hAnsi="Times New Roman" w:eastAsia="宋体" w:cs="Times New Roman"/>
                      <w:color w:val="auto"/>
                      <w:sz w:val="18"/>
                      <w:szCs w:val="18"/>
                      <w:lang w:val="en-US" w:eastAsia="zh-CN"/>
                    </w:rPr>
                  </w:pPr>
                  <w:r>
                    <w:rPr>
                      <w:rFonts w:hint="eastAsia" w:cs="Times New Roman"/>
                      <w:color w:val="auto"/>
                      <w:sz w:val="18"/>
                      <w:szCs w:val="18"/>
                      <w:lang w:val="en-US" w:eastAsia="zh-CN"/>
                    </w:rPr>
                    <w:t>/</w:t>
                  </w:r>
                </w:p>
              </w:tc>
              <w:tc>
                <w:tcPr>
                  <w:tcW w:w="673"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eastAsia" w:ascii="Times New Roman" w:hAnsi="Times New Roman" w:eastAsia="宋体" w:cs="Times New Roman"/>
                      <w:bCs/>
                      <w:color w:val="auto"/>
                      <w:sz w:val="18"/>
                      <w:szCs w:val="18"/>
                      <w:lang w:val="en-US" w:eastAsia="zh-CN"/>
                    </w:rPr>
                  </w:pPr>
                  <w:r>
                    <w:rPr>
                      <w:rFonts w:hint="eastAsia" w:cs="Times New Roman"/>
                      <w:bCs/>
                      <w:color w:val="auto"/>
                      <w:sz w:val="18"/>
                      <w:szCs w:val="18"/>
                      <w:lang w:val="en-US" w:eastAsia="zh-CN"/>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vMerge w:val="continue"/>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
                      <w:color w:val="auto"/>
                      <w:sz w:val="18"/>
                      <w:szCs w:val="18"/>
                    </w:rPr>
                  </w:pPr>
                </w:p>
              </w:tc>
              <w:tc>
                <w:tcPr>
                  <w:tcW w:w="805" w:type="dxa"/>
                  <w:tcBorders>
                    <w:tl2br w:val="nil"/>
                    <w:tr2bl w:val="nil"/>
                  </w:tcBorders>
                  <w:shd w:val="clear" w:color="auto" w:fill="auto"/>
                  <w:vAlign w:val="center"/>
                </w:tcPr>
                <w:p>
                  <w:pPr>
                    <w:keepNext w:val="0"/>
                    <w:keepLines w:val="0"/>
                    <w:widowControl/>
                    <w:suppressLineNumbers w:val="0"/>
                    <w:spacing w:before="0" w:beforeAutospacing="0" w:after="0" w:afterAutospacing="0" w:line="240" w:lineRule="exact"/>
                    <w:ind w:left="0" w:right="0"/>
                    <w:jc w:val="center"/>
                    <w:rPr>
                      <w:rFonts w:hint="default" w:ascii="Times New Roman" w:hAnsi="Times New Roman" w:eastAsia="宋体" w:cs="Times New Roman"/>
                      <w:color w:val="auto"/>
                      <w:kern w:val="0"/>
                      <w:sz w:val="18"/>
                      <w:szCs w:val="18"/>
                      <w:highlight w:val="none"/>
                      <w:lang w:val="en-US" w:eastAsia="zh-CN" w:bidi="ar-SA"/>
                    </w:rPr>
                  </w:pPr>
                  <w:r>
                    <w:rPr>
                      <w:rFonts w:hint="eastAsia" w:hAnsi="宋体"/>
                      <w:color w:val="auto"/>
                      <w:sz w:val="18"/>
                      <w:szCs w:val="18"/>
                      <w:highlight w:val="none"/>
                    </w:rPr>
                    <w:t>SO</w:t>
                  </w:r>
                  <w:r>
                    <w:rPr>
                      <w:rFonts w:hint="eastAsia" w:hAnsi="宋体"/>
                      <w:color w:val="auto"/>
                      <w:sz w:val="18"/>
                      <w:szCs w:val="18"/>
                      <w:highlight w:val="none"/>
                      <w:vertAlign w:val="subscript"/>
                    </w:rPr>
                    <w:t>4</w:t>
                  </w:r>
                  <w:r>
                    <w:rPr>
                      <w:rFonts w:hint="eastAsia" w:hAnsi="宋体"/>
                      <w:color w:val="auto"/>
                      <w:sz w:val="18"/>
                      <w:szCs w:val="18"/>
                      <w:highlight w:val="none"/>
                      <w:vertAlign w:val="superscript"/>
                    </w:rPr>
                    <w:t>2-</w:t>
                  </w:r>
                </w:p>
              </w:tc>
              <w:tc>
                <w:tcPr>
                  <w:tcW w:w="740"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default" w:ascii="Times New Roman" w:hAnsi="Times New Roman" w:cs="Times New Roman"/>
                      <w:color w:val="auto"/>
                      <w:kern w:val="0"/>
                      <w:sz w:val="18"/>
                      <w:szCs w:val="18"/>
                      <w:lang w:bidi="ar"/>
                    </w:rPr>
                    <w:t>mg/L</w:t>
                  </w:r>
                </w:p>
              </w:tc>
              <w:tc>
                <w:tcPr>
                  <w:tcW w:w="726"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2"/>
                      <w:sz w:val="18"/>
                      <w:szCs w:val="18"/>
                      <w:highlight w:val="none"/>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2"/>
                      <w:sz w:val="18"/>
                      <w:szCs w:val="18"/>
                      <w:highlight w:val="none"/>
                      <w:lang w:val="en-US" w:eastAsia="zh-CN" w:bidi="ar-SA"/>
                    </w:rPr>
                  </w:pPr>
                  <w:r>
                    <w:rPr>
                      <w:rFonts w:hint="eastAsia" w:cs="Times New Roman"/>
                      <w:bCs/>
                      <w:color w:val="auto"/>
                      <w:sz w:val="21"/>
                      <w:szCs w:val="21"/>
                      <w:lang w:val="en-US" w:eastAsia="zh-CN"/>
                    </w:rPr>
                    <w:t>*</w:t>
                  </w:r>
                </w:p>
              </w:tc>
              <w:tc>
                <w:tcPr>
                  <w:tcW w:w="67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2"/>
                      <w:sz w:val="18"/>
                      <w:szCs w:val="18"/>
                      <w:highlight w:val="none"/>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2"/>
                      <w:sz w:val="18"/>
                      <w:szCs w:val="18"/>
                      <w:highlight w:val="none"/>
                      <w:lang w:val="en-US" w:eastAsia="zh-CN" w:bidi="ar-SA"/>
                    </w:rPr>
                  </w:pPr>
                  <w:r>
                    <w:rPr>
                      <w:rFonts w:hint="eastAsia" w:cs="Times New Roman"/>
                      <w:bCs/>
                      <w:color w:val="auto"/>
                      <w:sz w:val="21"/>
                      <w:szCs w:val="21"/>
                      <w:lang w:val="en-US" w:eastAsia="zh-CN"/>
                    </w:rPr>
                    <w:t>*</w:t>
                  </w:r>
                </w:p>
              </w:tc>
              <w:tc>
                <w:tcPr>
                  <w:tcW w:w="794"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2"/>
                      <w:sz w:val="18"/>
                      <w:szCs w:val="18"/>
                      <w:highlight w:val="none"/>
                      <w:lang w:val="en-US" w:eastAsia="zh-CN" w:bidi="ar-SA"/>
                    </w:rPr>
                  </w:pPr>
                  <w:r>
                    <w:rPr>
                      <w:rFonts w:hint="eastAsia" w:cs="Times New Roman"/>
                      <w:bCs/>
                      <w:color w:val="auto"/>
                      <w:sz w:val="21"/>
                      <w:szCs w:val="21"/>
                      <w:lang w:val="en-US" w:eastAsia="zh-CN"/>
                    </w:rPr>
                    <w:t>*</w:t>
                  </w:r>
                </w:p>
              </w:tc>
              <w:tc>
                <w:tcPr>
                  <w:tcW w:w="789"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eastAsia" w:ascii="Times New Roman" w:hAnsi="Times New Roman" w:cs="Times New Roman"/>
                      <w:color w:val="auto"/>
                      <w:kern w:val="2"/>
                      <w:sz w:val="18"/>
                      <w:szCs w:val="18"/>
                      <w:lang w:val="en-US" w:eastAsia="zh-CN" w:bidi="ar-SA"/>
                    </w:rPr>
                    <w:t>/</w:t>
                  </w:r>
                </w:p>
              </w:tc>
              <w:tc>
                <w:tcPr>
                  <w:tcW w:w="790" w:type="dxa"/>
                  <w:tcBorders>
                    <w:tl2br w:val="nil"/>
                    <w:tr2bl w:val="nil"/>
                  </w:tcBorders>
                  <w:shd w:val="clear" w:color="auto" w:fill="auto"/>
                  <w:vAlign w:val="center"/>
                </w:tcPr>
                <w:p>
                  <w:pPr>
                    <w:keepNext w:val="0"/>
                    <w:keepLines w:val="0"/>
                    <w:suppressLineNumbers w:val="0"/>
                    <w:snapToGrid w:val="0"/>
                    <w:spacing w:before="0" w:beforeAutospacing="0" w:after="0" w:afterAutospacing="0"/>
                    <w:ind w:left="0" w:leftChars="0" w:right="0" w:rightChars="0"/>
                    <w:jc w:val="center"/>
                    <w:rPr>
                      <w:rFonts w:hint="default" w:ascii="Times New Roman" w:hAnsi="Times New Roman" w:eastAsia="宋体" w:cs="Times New Roman"/>
                      <w:color w:val="auto"/>
                      <w:kern w:val="2"/>
                      <w:sz w:val="18"/>
                      <w:szCs w:val="18"/>
                      <w:lang w:val="en-US" w:eastAsia="zh-CN" w:bidi="ar-SA"/>
                    </w:rPr>
                  </w:pPr>
                  <w:r>
                    <w:rPr>
                      <w:rFonts w:hint="eastAsia" w:ascii="Times New Roman" w:hAnsi="Times New Roman" w:cs="Times New Roman"/>
                      <w:color w:val="auto"/>
                      <w:kern w:val="2"/>
                      <w:sz w:val="18"/>
                      <w:szCs w:val="18"/>
                      <w:lang w:val="en-US" w:eastAsia="zh-CN" w:bidi="ar-SA"/>
                    </w:rPr>
                    <w:t>/</w:t>
                  </w:r>
                </w:p>
              </w:tc>
              <w:tc>
                <w:tcPr>
                  <w:tcW w:w="673" w:type="dxa"/>
                  <w:tcBorders>
                    <w:tl2br w:val="nil"/>
                    <w:tr2bl w:val="nil"/>
                  </w:tcBorders>
                  <w:shd w:val="clear" w:color="auto" w:fill="auto"/>
                  <w:vAlign w:val="center"/>
                </w:tcPr>
                <w:p>
                  <w:pPr>
                    <w:keepNext w:val="0"/>
                    <w:keepLines w:val="0"/>
                    <w:suppressLineNumbers w:val="0"/>
                    <w:tabs>
                      <w:tab w:val="left" w:pos="735"/>
                    </w:tabs>
                    <w:snapToGrid w:val="0"/>
                    <w:spacing w:before="0" w:beforeAutospacing="0" w:after="0" w:afterAutospacing="0"/>
                    <w:ind w:left="0" w:leftChars="0" w:right="0" w:rightChars="0"/>
                    <w:jc w:val="center"/>
                    <w:rPr>
                      <w:rFonts w:hint="default" w:ascii="Times New Roman" w:hAnsi="Times New Roman" w:eastAsia="宋体" w:cs="Times New Roman"/>
                      <w:bCs/>
                      <w:color w:val="auto"/>
                      <w:kern w:val="2"/>
                      <w:sz w:val="18"/>
                      <w:szCs w:val="18"/>
                      <w:lang w:val="en-US" w:eastAsia="zh-CN" w:bidi="ar-SA"/>
                    </w:rPr>
                  </w:pPr>
                  <w:r>
                    <w:rPr>
                      <w:rFonts w:hint="eastAsia" w:ascii="Times New Roman" w:hAnsi="Times New Roman" w:cs="Times New Roman"/>
                      <w:bCs/>
                      <w:color w:val="auto"/>
                      <w:kern w:val="2"/>
                      <w:sz w:val="18"/>
                      <w:szCs w:val="18"/>
                      <w:lang w:val="en-US" w:eastAsia="zh-CN" w:bidi="ar-SA"/>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546" w:type="dxa"/>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jc w:val="center"/>
                    <w:rPr>
                      <w:rFonts w:hint="default" w:ascii="Times New Roman" w:hAnsi="Times New Roman" w:cs="Times New Roman"/>
                      <w:bCs/>
                      <w:color w:val="auto"/>
                      <w:sz w:val="18"/>
                      <w:szCs w:val="18"/>
                    </w:rPr>
                  </w:pPr>
                  <w:r>
                    <w:rPr>
                      <w:rFonts w:hint="default" w:ascii="Times New Roman" w:hAnsi="Times New Roman" w:cs="Times New Roman"/>
                      <w:bCs/>
                      <w:color w:val="auto"/>
                      <w:sz w:val="18"/>
                      <w:szCs w:val="18"/>
                    </w:rPr>
                    <w:t>备注</w:t>
                  </w:r>
                </w:p>
              </w:tc>
              <w:tc>
                <w:tcPr>
                  <w:tcW w:w="7460" w:type="dxa"/>
                  <w:gridSpan w:val="10"/>
                  <w:tcBorders>
                    <w:tl2br w:val="nil"/>
                    <w:tr2bl w:val="nil"/>
                  </w:tcBorders>
                  <w:vAlign w:val="center"/>
                </w:tcPr>
                <w:p>
                  <w:pPr>
                    <w:keepNext w:val="0"/>
                    <w:keepLines w:val="0"/>
                    <w:suppressLineNumbers w:val="0"/>
                    <w:tabs>
                      <w:tab w:val="left" w:pos="735"/>
                    </w:tabs>
                    <w:snapToGrid w:val="0"/>
                    <w:spacing w:before="0" w:beforeAutospacing="0" w:after="0" w:afterAutospacing="0"/>
                    <w:ind w:left="0" w:right="0"/>
                    <w:rPr>
                      <w:rFonts w:hint="default" w:ascii="Times New Roman" w:hAnsi="Times New Roman" w:cs="Times New Roman"/>
                      <w:bCs/>
                      <w:color w:val="auto"/>
                      <w:sz w:val="18"/>
                      <w:szCs w:val="18"/>
                    </w:rPr>
                  </w:pPr>
                  <w:r>
                    <w:rPr>
                      <w:rFonts w:hint="default" w:ascii="Times New Roman" w:hAnsi="Times New Roman" w:cs="Times New Roman"/>
                      <w:bCs/>
                      <w:color w:val="auto"/>
                      <w:sz w:val="18"/>
                      <w:szCs w:val="18"/>
                    </w:rPr>
                    <w:t>“</w:t>
                  </w:r>
                  <w:r>
                    <w:rPr>
                      <w:rFonts w:hint="eastAsia" w:ascii="Times New Roman" w:hAnsi="Times New Roman" w:cs="Times New Roman"/>
                      <w:bCs/>
                      <w:color w:val="auto"/>
                      <w:sz w:val="18"/>
                      <w:szCs w:val="18"/>
                      <w:lang w:val="en-US" w:eastAsia="zh-CN"/>
                    </w:rPr>
                    <w:t>ND</w:t>
                  </w:r>
                  <w:r>
                    <w:rPr>
                      <w:rFonts w:hint="default" w:ascii="Times New Roman" w:hAnsi="Times New Roman" w:cs="Times New Roman"/>
                      <w:bCs/>
                      <w:color w:val="auto"/>
                      <w:sz w:val="18"/>
                      <w:szCs w:val="18"/>
                    </w:rPr>
                    <w:t>”表示监测值低于方法检出限值，报出值为检出限值。石油类参照地表水环境质量标准</w:t>
                  </w:r>
                  <w:r>
                    <w:rPr>
                      <w:rFonts w:hint="default" w:ascii="Times New Roman" w:hAnsi="Times New Roman" w:cs="Times New Roman"/>
                      <w:b/>
                      <w:bCs/>
                      <w:color w:val="auto"/>
                      <w:sz w:val="18"/>
                      <w:szCs w:val="18"/>
                    </w:rPr>
                    <w:fldChar w:fldCharType="begin"/>
                  </w:r>
                  <w:r>
                    <w:rPr>
                      <w:rFonts w:hint="default" w:ascii="Times New Roman" w:hAnsi="Times New Roman" w:cs="Times New Roman"/>
                      <w:b/>
                      <w:bCs/>
                      <w:color w:val="auto"/>
                      <w:sz w:val="18"/>
                      <w:szCs w:val="18"/>
                    </w:rPr>
                    <w:instrText xml:space="preserve"> = 3 \* ROMAN </w:instrText>
                  </w:r>
                  <w:r>
                    <w:rPr>
                      <w:rFonts w:hint="default" w:ascii="Times New Roman" w:hAnsi="Times New Roman" w:cs="Times New Roman"/>
                      <w:b/>
                      <w:bCs/>
                      <w:color w:val="auto"/>
                      <w:sz w:val="18"/>
                      <w:szCs w:val="18"/>
                    </w:rPr>
                    <w:fldChar w:fldCharType="separate"/>
                  </w:r>
                  <w:r>
                    <w:rPr>
                      <w:rFonts w:hint="default" w:ascii="Times New Roman" w:hAnsi="Times New Roman" w:cs="Times New Roman"/>
                      <w:b/>
                      <w:bCs/>
                      <w:color w:val="auto"/>
                      <w:sz w:val="18"/>
                      <w:szCs w:val="18"/>
                    </w:rPr>
                    <w:t>III</w:t>
                  </w:r>
                  <w:r>
                    <w:rPr>
                      <w:rFonts w:hint="default" w:ascii="Times New Roman" w:hAnsi="Times New Roman" w:cs="Times New Roman"/>
                      <w:b/>
                      <w:bCs/>
                      <w:color w:val="auto"/>
                      <w:sz w:val="18"/>
                      <w:szCs w:val="18"/>
                    </w:rPr>
                    <w:fldChar w:fldCharType="end"/>
                  </w:r>
                  <w:r>
                    <w:rPr>
                      <w:rFonts w:hint="default" w:ascii="Times New Roman" w:hAnsi="Times New Roman" w:cs="Times New Roman"/>
                      <w:b/>
                      <w:bCs/>
                      <w:color w:val="auto"/>
                      <w:sz w:val="18"/>
                      <w:szCs w:val="18"/>
                    </w:rPr>
                    <w:t>类标准值。</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eastAsia="附件" w:cs="Times New Roman"/>
                <w:color w:val="auto"/>
                <w:kern w:val="0"/>
                <w:sz w:val="24"/>
              </w:rPr>
            </w:pPr>
            <w:r>
              <w:rPr>
                <w:rFonts w:hint="default" w:ascii="Times New Roman" w:hAnsi="Times New Roman" w:cs="Times New Roman"/>
                <w:bCs/>
                <w:color w:val="auto"/>
                <w:sz w:val="24"/>
              </w:rPr>
              <w:t>由上表统计分析可知，各监测点水质良好，各项监测指标均可达到</w:t>
            </w:r>
            <w:r>
              <w:rPr>
                <w:rFonts w:hint="default" w:ascii="Times New Roman" w:hAnsi="Times New Roman" w:cs="Times New Roman"/>
                <w:bCs/>
                <w:color w:val="auto"/>
                <w:sz w:val="24"/>
              </w:rPr>
              <w:fldChar w:fldCharType="begin"/>
            </w:r>
            <w:r>
              <w:rPr>
                <w:rFonts w:hint="default" w:ascii="Times New Roman" w:hAnsi="Times New Roman" w:cs="Times New Roman"/>
                <w:bCs/>
                <w:color w:val="auto"/>
                <w:sz w:val="24"/>
              </w:rPr>
              <w:instrText xml:space="preserve"> = 3 \* ROMAN </w:instrText>
            </w:r>
            <w:r>
              <w:rPr>
                <w:rFonts w:hint="default" w:ascii="Times New Roman" w:hAnsi="Times New Roman" w:cs="Times New Roman"/>
                <w:bCs/>
                <w:color w:val="auto"/>
                <w:sz w:val="24"/>
              </w:rPr>
              <w:fldChar w:fldCharType="separate"/>
            </w:r>
            <w:r>
              <w:rPr>
                <w:rFonts w:hint="default" w:ascii="Times New Roman" w:hAnsi="Times New Roman" w:cs="Times New Roman"/>
                <w:bCs/>
                <w:color w:val="auto"/>
                <w:sz w:val="24"/>
              </w:rPr>
              <w:t>《地下水质量标准》（GB/T14848—2017）</w:t>
            </w:r>
            <w:r>
              <w:rPr>
                <w:rFonts w:hint="default" w:ascii="Times New Roman" w:hAnsi="Times New Roman" w:cs="Times New Roman"/>
                <w:bCs/>
                <w:color w:val="auto"/>
                <w:sz w:val="24"/>
              </w:rPr>
              <w:fldChar w:fldCharType="begin"/>
            </w:r>
            <w:r>
              <w:rPr>
                <w:rFonts w:hint="default" w:ascii="Times New Roman" w:hAnsi="Times New Roman" w:cs="Times New Roman"/>
                <w:bCs/>
                <w:color w:val="auto"/>
                <w:sz w:val="24"/>
              </w:rPr>
              <w:instrText xml:space="preserve"> = 3 \* ROMAN </w:instrText>
            </w:r>
            <w:r>
              <w:rPr>
                <w:rFonts w:hint="default" w:ascii="Times New Roman" w:hAnsi="Times New Roman" w:cs="Times New Roman"/>
                <w:bCs/>
                <w:color w:val="auto"/>
                <w:sz w:val="24"/>
              </w:rPr>
              <w:fldChar w:fldCharType="separate"/>
            </w:r>
            <w:r>
              <w:rPr>
                <w:rFonts w:hint="default" w:ascii="Times New Roman" w:hAnsi="Times New Roman" w:cs="Times New Roman"/>
                <w:bCs/>
                <w:color w:val="auto"/>
                <w:sz w:val="24"/>
              </w:rPr>
              <w:t>III</w:t>
            </w:r>
            <w:r>
              <w:rPr>
                <w:rFonts w:hint="default" w:ascii="Times New Roman" w:hAnsi="Times New Roman" w:cs="Times New Roman"/>
                <w:bCs/>
                <w:color w:val="auto"/>
                <w:sz w:val="24"/>
              </w:rPr>
              <w:fldChar w:fldCharType="end"/>
            </w:r>
            <w:r>
              <w:rPr>
                <w:rFonts w:hint="default" w:ascii="Times New Roman" w:hAnsi="Times New Roman" w:cs="Times New Roman"/>
                <w:bCs/>
                <w:color w:val="auto"/>
                <w:sz w:val="24"/>
              </w:rPr>
              <w:fldChar w:fldCharType="end"/>
            </w:r>
            <w:r>
              <w:rPr>
                <w:rFonts w:hint="default" w:ascii="Times New Roman" w:hAnsi="Times New Roman" w:cs="Times New Roman"/>
                <w:bCs/>
                <w:color w:val="auto"/>
                <w:sz w:val="24"/>
              </w:rPr>
              <w:t>类水质标准。根据监测结果</w:t>
            </w:r>
            <w:r>
              <w:rPr>
                <w:rFonts w:hint="default" w:ascii="Times New Roman" w:hAnsi="Times New Roman" w:eastAsia="附件" w:cs="Times New Roman"/>
                <w:bCs/>
                <w:color w:val="auto"/>
                <w:sz w:val="24"/>
              </w:rPr>
              <w:t>，阳离子以钙离子为主，阴离子以碳酸氢根离子为主，因此，项目区地下水化学类型为</w:t>
            </w:r>
            <w:r>
              <w:rPr>
                <w:rFonts w:hint="default" w:ascii="Times New Roman" w:hAnsi="Times New Roman" w:eastAsia="附件" w:cs="Times New Roman"/>
                <w:color w:val="auto"/>
                <w:kern w:val="0"/>
                <w:sz w:val="24"/>
              </w:rPr>
              <w:t>HCO</w:t>
            </w:r>
            <w:r>
              <w:rPr>
                <w:rFonts w:hint="default" w:ascii="Times New Roman" w:hAnsi="Times New Roman" w:eastAsia="附件" w:cs="Times New Roman"/>
                <w:bCs/>
                <w:color w:val="auto"/>
                <w:kern w:val="0"/>
                <w:sz w:val="24"/>
                <w:vertAlign w:val="subscript"/>
              </w:rPr>
              <w:t>3</w:t>
            </w:r>
            <w:r>
              <w:rPr>
                <w:rFonts w:hint="default" w:ascii="Times New Roman" w:hAnsi="Times New Roman" w:eastAsia="附件" w:cs="Times New Roman"/>
                <w:bCs/>
                <w:color w:val="auto"/>
                <w:sz w:val="24"/>
              </w:rPr>
              <w:t>-</w:t>
            </w:r>
            <w:r>
              <w:rPr>
                <w:rFonts w:hint="default" w:ascii="Times New Roman" w:hAnsi="Times New Roman" w:eastAsia="附件" w:cs="Times New Roman"/>
                <w:b/>
                <w:color w:val="auto"/>
                <w:kern w:val="0"/>
                <w:sz w:val="24"/>
              </w:rPr>
              <w:t>Ca</w:t>
            </w:r>
            <w:r>
              <w:rPr>
                <w:rFonts w:hint="default" w:ascii="Times New Roman" w:hAnsi="Times New Roman" w:eastAsia="附件" w:cs="Times New Roman"/>
                <w:b/>
                <w:color w:val="auto"/>
                <w:kern w:val="0"/>
                <w:sz w:val="24"/>
                <w:vertAlign w:val="superscript"/>
              </w:rPr>
              <w:t>2+</w:t>
            </w:r>
            <w:r>
              <w:rPr>
                <w:rFonts w:hint="default" w:ascii="Times New Roman" w:hAnsi="Times New Roman" w:eastAsia="附件" w:cs="Times New Roman"/>
                <w:b/>
                <w:color w:val="auto"/>
                <w:kern w:val="0"/>
                <w:sz w:val="24"/>
              </w:rPr>
              <w:t>、</w:t>
            </w:r>
            <w:r>
              <w:rPr>
                <w:rFonts w:hint="default" w:ascii="Times New Roman" w:hAnsi="Times New Roman" w:cs="Times New Roman"/>
                <w:color w:val="auto"/>
                <w:sz w:val="24"/>
              </w:rPr>
              <w:t>Mg</w:t>
            </w:r>
            <w:r>
              <w:rPr>
                <w:rFonts w:hint="default" w:ascii="Times New Roman" w:hAnsi="Times New Roman" w:cs="Times New Roman"/>
                <w:color w:val="auto"/>
                <w:sz w:val="24"/>
                <w:vertAlign w:val="superscript"/>
              </w:rPr>
              <w:t>2+</w:t>
            </w:r>
            <w:r>
              <w:rPr>
                <w:rFonts w:hint="default" w:ascii="Times New Roman" w:hAnsi="Times New Roman" w:eastAsia="附件" w:cs="Times New Roman"/>
                <w:color w:val="auto"/>
                <w:kern w:val="0"/>
                <w:sz w:val="24"/>
              </w:rPr>
              <w:t>型水。</w:t>
            </w:r>
          </w:p>
          <w:p>
            <w:pPr>
              <w:keepNext w:val="0"/>
              <w:keepLines w:val="0"/>
              <w:suppressLineNumbers w:val="0"/>
              <w:spacing w:before="0" w:beforeAutospacing="0" w:after="0" w:afterAutospacing="0" w:line="360" w:lineRule="auto"/>
              <w:ind w:left="0" w:right="0" w:firstLine="482" w:firstLineChars="200"/>
              <w:rPr>
                <w:rFonts w:hint="default" w:ascii="Times New Roman" w:hAnsi="Times New Roman" w:cs="Times New Roman"/>
                <w:b/>
                <w:bCs/>
                <w:color w:val="auto"/>
                <w:sz w:val="24"/>
              </w:rPr>
            </w:pPr>
            <w:r>
              <w:rPr>
                <w:rFonts w:hint="default" w:ascii="Times New Roman" w:hAnsi="Times New Roman" w:cs="Times New Roman"/>
                <w:b/>
                <w:bCs/>
                <w:color w:val="auto"/>
                <w:sz w:val="24"/>
              </w:rPr>
              <w:t>5、土壤环境</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eastAsia="附件" w:cs="Times New Roman"/>
                <w:color w:val="auto"/>
                <w:sz w:val="24"/>
              </w:rPr>
            </w:pPr>
            <w:r>
              <w:rPr>
                <w:rFonts w:hint="default" w:ascii="Times New Roman" w:hAnsi="Times New Roman" w:eastAsia="附件" w:cs="Times New Roman"/>
                <w:color w:val="auto"/>
                <w:sz w:val="24"/>
              </w:rPr>
              <w:t>为了解项目所在地土壤环境现状，2024年</w:t>
            </w:r>
            <w:r>
              <w:rPr>
                <w:rFonts w:hint="eastAsia" w:eastAsia="附件" w:cs="Times New Roman"/>
                <w:color w:val="auto"/>
                <w:sz w:val="24"/>
                <w:lang w:val="en-US" w:eastAsia="zh-CN"/>
              </w:rPr>
              <w:t>11</w:t>
            </w:r>
            <w:r>
              <w:rPr>
                <w:rFonts w:hint="default" w:ascii="Times New Roman" w:hAnsi="Times New Roman" w:eastAsia="附件" w:cs="Times New Roman"/>
                <w:color w:val="auto"/>
                <w:sz w:val="24"/>
              </w:rPr>
              <w:t>月</w:t>
            </w:r>
            <w:r>
              <w:rPr>
                <w:rFonts w:hint="eastAsia" w:eastAsia="附件" w:cs="Times New Roman"/>
                <w:color w:val="auto"/>
                <w:sz w:val="24"/>
                <w:lang w:val="en-US" w:eastAsia="zh-CN"/>
              </w:rPr>
              <w:t>19</w:t>
            </w:r>
            <w:r>
              <w:rPr>
                <w:rFonts w:hint="default" w:ascii="Times New Roman" w:hAnsi="Times New Roman" w:eastAsia="附件" w:cs="Times New Roman"/>
                <w:color w:val="auto"/>
                <w:sz w:val="24"/>
              </w:rPr>
              <w:t>日四川华皓检测技术有限公司对</w:t>
            </w:r>
            <w:r>
              <w:rPr>
                <w:rFonts w:hint="eastAsia" w:eastAsia="附件" w:cs="Times New Roman"/>
                <w:color w:val="auto"/>
                <w:sz w:val="24"/>
                <w:lang w:eastAsia="zh-CN"/>
              </w:rPr>
              <w:t>普陆12HF井</w:t>
            </w:r>
            <w:r>
              <w:rPr>
                <w:rFonts w:hint="default" w:ascii="Times New Roman" w:hAnsi="Times New Roman" w:eastAsia="附件" w:cs="Times New Roman"/>
                <w:color w:val="auto"/>
                <w:sz w:val="24"/>
              </w:rPr>
              <w:t>所在地土壤质量现状进行采样监测。</w:t>
            </w:r>
          </w:p>
          <w:p>
            <w:pPr>
              <w:keepNext w:val="0"/>
              <w:keepLines w:val="0"/>
              <w:suppressLineNumbers w:val="0"/>
              <w:tabs>
                <w:tab w:val="left" w:pos="10395"/>
              </w:tabs>
              <w:spacing w:before="0" w:beforeAutospacing="0" w:after="0" w:afterAutospacing="0" w:line="360" w:lineRule="auto"/>
              <w:ind w:left="0" w:right="0" w:firstLine="480" w:firstLineChars="200"/>
              <w:rPr>
                <w:rFonts w:hint="default" w:ascii="Times New Roman" w:hAnsi="Times New Roman" w:eastAsia="附件" w:cs="Times New Roman"/>
                <w:bCs/>
                <w:color w:val="auto"/>
                <w:sz w:val="24"/>
              </w:rPr>
            </w:pPr>
            <w:r>
              <w:rPr>
                <w:rFonts w:hint="default" w:ascii="Times New Roman" w:hAnsi="Times New Roman" w:eastAsia="附件" w:cs="Times New Roman"/>
                <w:bCs/>
                <w:color w:val="auto"/>
                <w:sz w:val="24"/>
              </w:rPr>
              <w:t>（1）建设项目用地土壤45项基本因子：镉、铅、汞、六价铬、砷、镍、铜、锌、四氯化碳、氯仿、氯甲烷、1,1-二氯乙烷、1,2-二氯乙烷、1,1-二氯乙烯、顺-1,2-二氯乙烯、反-1,2-二氯乙烯、二氯甲烷、1,2-二氯丙烷、1,1,1,2-四氯乙烷、1,1,2,2-四氯乙烷、四氯乙烯、1,1,1-三氯乙烷、1,1,2-三氯乙烷、三氯乙烯、1,2,3-三氯丙烷、氯乙烯、苯、氯苯、1,2-二氯笨、1,4-二氯笨、乙苯、苯乙烯、甲苯、间二甲苯+对二甲苯、邻二甲苯、硝基苯、苯胺、2-氯酚、苯并[a]蒽、苯并[a]芘、苯并[b]荧蒽、苯并[k]荧蒽、䓛、二苯并[a,h]蒽、茚并[1,2,3-cd]芘、萘；</w:t>
            </w:r>
          </w:p>
          <w:p>
            <w:pPr>
              <w:keepNext w:val="0"/>
              <w:keepLines w:val="0"/>
              <w:suppressLineNumbers w:val="0"/>
              <w:tabs>
                <w:tab w:val="left" w:pos="10395"/>
              </w:tabs>
              <w:spacing w:before="0" w:beforeAutospacing="0" w:after="0" w:afterAutospacing="0" w:line="360" w:lineRule="auto"/>
              <w:ind w:left="0" w:right="0" w:firstLine="480" w:firstLineChars="200"/>
              <w:rPr>
                <w:rFonts w:hint="default" w:ascii="Times New Roman" w:hAnsi="Times New Roman" w:eastAsia="附件" w:cs="Times New Roman"/>
                <w:bCs/>
                <w:color w:val="auto"/>
                <w:sz w:val="24"/>
              </w:rPr>
            </w:pPr>
            <w:r>
              <w:rPr>
                <w:rFonts w:hint="default" w:ascii="Times New Roman" w:hAnsi="Times New Roman" w:eastAsia="附件" w:cs="Times New Roman"/>
                <w:bCs/>
                <w:color w:val="auto"/>
                <w:sz w:val="24"/>
              </w:rPr>
              <w:t>农用地土壤8项基本因子：镉、汞、砷、铅、铬、铜、镍、锌。</w:t>
            </w:r>
          </w:p>
          <w:p>
            <w:pPr>
              <w:keepNext w:val="0"/>
              <w:keepLines w:val="0"/>
              <w:suppressLineNumbers w:val="0"/>
              <w:tabs>
                <w:tab w:val="left" w:pos="10395"/>
              </w:tabs>
              <w:spacing w:before="0" w:beforeAutospacing="0" w:after="0" w:afterAutospacing="0" w:line="360" w:lineRule="auto"/>
              <w:ind w:left="0" w:right="0" w:firstLine="480" w:firstLineChars="200"/>
              <w:rPr>
                <w:rFonts w:hint="default" w:ascii="Times New Roman" w:hAnsi="Times New Roman" w:eastAsia="附件" w:cs="Times New Roman"/>
                <w:bCs/>
                <w:color w:val="auto"/>
                <w:sz w:val="24"/>
              </w:rPr>
            </w:pPr>
            <w:r>
              <w:rPr>
                <w:rFonts w:hint="default" w:ascii="Times New Roman" w:hAnsi="Times New Roman" w:eastAsia="附件" w:cs="Times New Roman"/>
                <w:bCs/>
                <w:color w:val="auto"/>
                <w:sz w:val="24"/>
              </w:rPr>
              <w:t>特征因子：pH、石油烃、硫化物、钡</w:t>
            </w:r>
            <w:r>
              <w:rPr>
                <w:rFonts w:hint="eastAsia" w:eastAsia="附件" w:cs="Times New Roman"/>
                <w:bCs/>
                <w:color w:val="auto"/>
                <w:sz w:val="24"/>
                <w:lang w:eastAsia="zh-CN"/>
              </w:rPr>
              <w:t>、</w:t>
            </w:r>
            <w:r>
              <w:rPr>
                <w:rFonts w:hint="eastAsia" w:eastAsia="附件" w:cs="Times New Roman"/>
                <w:bCs/>
                <w:color w:val="auto"/>
                <w:sz w:val="24"/>
                <w:lang w:val="en-US" w:eastAsia="zh-CN"/>
              </w:rPr>
              <w:t>水溶性盐总量、汞、砷</w:t>
            </w:r>
            <w:r>
              <w:rPr>
                <w:rFonts w:hint="default" w:ascii="Times New Roman" w:hAnsi="Times New Roman" w:eastAsia="附件" w:cs="Times New Roman"/>
                <w:bCs/>
                <w:color w:val="auto"/>
                <w:sz w:val="24"/>
              </w:rPr>
              <w:t>。</w:t>
            </w:r>
          </w:p>
          <w:p>
            <w:pPr>
              <w:keepNext w:val="0"/>
              <w:keepLines w:val="0"/>
              <w:suppressLineNumbers w:val="0"/>
              <w:tabs>
                <w:tab w:val="left" w:pos="2730"/>
              </w:tabs>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eastAsia="附件" w:cs="Times New Roman"/>
                <w:bCs/>
                <w:color w:val="auto"/>
                <w:sz w:val="24"/>
              </w:rPr>
              <w:t>（2）监测布点：设6个监测点，其中</w:t>
            </w:r>
            <w:r>
              <w:rPr>
                <w:rFonts w:hint="default" w:ascii="Times New Roman" w:hAnsi="Times New Roman" w:cs="Times New Roman"/>
                <w:bCs/>
                <w:color w:val="auto"/>
                <w:sz w:val="24"/>
              </w:rPr>
              <w:t>设3个柱状样，S1、S2、S3，取样深度分别为0-0.5m、0.5-1.5m、1.5-3m，测建设项目用地特征因子；设1个表层样S4，测建设项目用地土壤45项因子；2个表层样S5、S6仅测农用地基本因子及特征因子；各监测点布设符合《环境影响评价技术导则 土壤环境》中布点原则及布点数量。</w:t>
            </w:r>
          </w:p>
          <w:p>
            <w:pPr>
              <w:keepNext w:val="0"/>
              <w:keepLines w:val="0"/>
              <w:suppressLineNumbers w:val="0"/>
              <w:autoSpaceDE w:val="0"/>
              <w:autoSpaceDN w:val="0"/>
              <w:spacing w:before="0" w:beforeAutospacing="0" w:after="0" w:afterAutospacing="0" w:line="360" w:lineRule="auto"/>
              <w:ind w:left="0" w:right="0" w:firstLine="480" w:firstLineChars="200"/>
              <w:rPr>
                <w:rFonts w:hint="default" w:ascii="Times New Roman" w:hAnsi="Times New Roman" w:eastAsia="附件" w:cs="Times New Roman"/>
                <w:color w:val="auto"/>
                <w:sz w:val="24"/>
              </w:rPr>
            </w:pPr>
            <w:r>
              <w:rPr>
                <w:rFonts w:hint="default" w:ascii="Times New Roman" w:hAnsi="Times New Roman" w:eastAsia="附件" w:cs="Times New Roman"/>
                <w:color w:val="auto"/>
                <w:sz w:val="24"/>
              </w:rPr>
              <w:t>（3）监测频次：取1次样。</w:t>
            </w:r>
          </w:p>
          <w:p>
            <w:pPr>
              <w:keepNext w:val="0"/>
              <w:keepLines w:val="0"/>
              <w:suppressLineNumbers w:val="0"/>
              <w:autoSpaceDE w:val="0"/>
              <w:autoSpaceDN w:val="0"/>
              <w:spacing w:before="0" w:beforeAutospacing="0" w:after="0" w:afterAutospacing="0" w:line="360" w:lineRule="auto"/>
              <w:ind w:left="0" w:right="0" w:firstLine="480" w:firstLineChars="200"/>
              <w:rPr>
                <w:rFonts w:hint="default" w:ascii="Times New Roman" w:hAnsi="Times New Roman" w:eastAsia="附件" w:cs="Times New Roman"/>
                <w:color w:val="auto"/>
                <w:kern w:val="0"/>
                <w:sz w:val="24"/>
              </w:rPr>
            </w:pPr>
            <w:r>
              <w:rPr>
                <w:rFonts w:hint="default" w:ascii="Times New Roman" w:hAnsi="Times New Roman" w:eastAsia="附件" w:cs="Times New Roman"/>
                <w:color w:val="auto"/>
                <w:sz w:val="24"/>
              </w:rPr>
              <w:t>（4）评价标准：S1、S2、S3、S4执行《土壤环境质量 建设用地土壤污染风险管控标准（试行）》（GB36600-2018）；S5、S6执行《土壤环境质量 农用地土壤污染风险管控标准（试行）》（GB15618-2018）。特征因子石油烃参照执行《土壤环境质量建设用地土壤污染风险管控标准（试行）》（GB36600-2018）第二类用地筛选值。硫化物列出监测值。</w:t>
            </w:r>
          </w:p>
          <w:p>
            <w:pPr>
              <w:keepNext w:val="0"/>
              <w:keepLines w:val="0"/>
              <w:suppressLineNumbers w:val="0"/>
              <w:autoSpaceDE w:val="0"/>
              <w:autoSpaceDN w:val="0"/>
              <w:spacing w:before="0" w:beforeAutospacing="0" w:after="0" w:afterAutospacing="0" w:line="360" w:lineRule="auto"/>
              <w:ind w:left="0" w:right="0" w:firstLine="480" w:firstLineChars="200"/>
              <w:rPr>
                <w:rFonts w:hint="default" w:ascii="Times New Roman" w:hAnsi="Times New Roman" w:eastAsia="附件" w:cs="Times New Roman"/>
                <w:color w:val="auto"/>
                <w:kern w:val="0"/>
                <w:sz w:val="24"/>
              </w:rPr>
            </w:pPr>
            <w:r>
              <w:rPr>
                <w:rFonts w:hint="default" w:ascii="Times New Roman" w:hAnsi="Times New Roman" w:eastAsia="附件" w:cs="Times New Roman"/>
                <w:color w:val="auto"/>
                <w:kern w:val="0"/>
                <w:sz w:val="24"/>
              </w:rPr>
              <w:t>（5）评价方法：土壤环境质量现状评价应采用标准指数法，并进行统计分析，给出样本数量、最大值、最小值、均值等。</w:t>
            </w:r>
          </w:p>
          <w:p>
            <w:pPr>
              <w:keepNext w:val="0"/>
              <w:keepLines w:val="0"/>
              <w:suppressLineNumbers w:val="0"/>
              <w:autoSpaceDE w:val="0"/>
              <w:autoSpaceDN w:val="0"/>
              <w:spacing w:before="0" w:beforeAutospacing="0" w:after="0" w:afterAutospacing="0" w:line="360" w:lineRule="auto"/>
              <w:ind w:left="0" w:right="0" w:firstLine="480" w:firstLineChars="200"/>
              <w:rPr>
                <w:rFonts w:hint="default" w:ascii="Times New Roman" w:hAnsi="Times New Roman" w:eastAsia="附件" w:cs="Times New Roman"/>
                <w:color w:val="auto"/>
                <w:kern w:val="0"/>
                <w:sz w:val="24"/>
              </w:rPr>
            </w:pPr>
            <w:r>
              <w:rPr>
                <w:rFonts w:hint="default" w:ascii="Times New Roman" w:hAnsi="Times New Roman" w:eastAsia="附件" w:cs="Times New Roman"/>
                <w:color w:val="auto"/>
                <w:kern w:val="0"/>
                <w:sz w:val="24"/>
              </w:rPr>
              <w:t>（6）土壤环境质量监测结果及评价结果</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S1~S3土壤环境现状监测及评价结果（单位：mg/kg，pH无量纲）</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23"/>
              <w:gridCol w:w="1000"/>
              <w:gridCol w:w="850"/>
              <w:gridCol w:w="850"/>
              <w:gridCol w:w="850"/>
              <w:gridCol w:w="993"/>
              <w:gridCol w:w="851"/>
              <w:gridCol w:w="850"/>
              <w:gridCol w:w="709"/>
              <w:gridCol w:w="52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7996" w:type="dxa"/>
                  <w:gridSpan w:val="10"/>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S1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vMerge w:val="restart"/>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编号</w:t>
                  </w:r>
                </w:p>
              </w:tc>
              <w:tc>
                <w:tcPr>
                  <w:tcW w:w="1000" w:type="dxa"/>
                  <w:vMerge w:val="restart"/>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因子</w:t>
                  </w:r>
                </w:p>
              </w:tc>
              <w:tc>
                <w:tcPr>
                  <w:tcW w:w="850" w:type="dxa"/>
                  <w:vMerge w:val="restar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eastAsia" w:eastAsia="附件" w:cs="Times New Roman"/>
                      <w:color w:val="auto"/>
                      <w:kern w:val="0"/>
                      <w:szCs w:val="21"/>
                      <w:lang w:eastAsia="zh-CN"/>
                    </w:rPr>
                    <w:t>(</w:t>
                  </w:r>
                  <w:r>
                    <w:rPr>
                      <w:rFonts w:hint="default" w:ascii="Times New Roman" w:hAnsi="Times New Roman" w:eastAsia="附件" w:cs="Times New Roman"/>
                      <w:color w:val="auto"/>
                      <w:kern w:val="0"/>
                      <w:szCs w:val="21"/>
                    </w:rPr>
                    <w:t>0~0.5</w:t>
                  </w:r>
                  <w:r>
                    <w:rPr>
                      <w:rFonts w:hint="eastAsia" w:eastAsia="附件" w:cs="Times New Roman"/>
                      <w:color w:val="auto"/>
                      <w:kern w:val="0"/>
                      <w:szCs w:val="21"/>
                      <w:lang w:eastAsia="zh-CN"/>
                    </w:rPr>
                    <w:t>)</w:t>
                  </w:r>
                </w:p>
              </w:tc>
              <w:tc>
                <w:tcPr>
                  <w:tcW w:w="850" w:type="dxa"/>
                  <w:vMerge w:val="restar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eastAsia" w:eastAsia="附件" w:cs="Times New Roman"/>
                      <w:color w:val="auto"/>
                      <w:kern w:val="0"/>
                      <w:szCs w:val="21"/>
                      <w:lang w:eastAsia="zh-CN"/>
                    </w:rPr>
                    <w:t>(</w:t>
                  </w:r>
                  <w:r>
                    <w:rPr>
                      <w:rFonts w:hint="default" w:ascii="Times New Roman" w:hAnsi="Times New Roman" w:eastAsia="附件" w:cs="Times New Roman"/>
                      <w:color w:val="auto"/>
                      <w:kern w:val="0"/>
                      <w:szCs w:val="21"/>
                    </w:rPr>
                    <w:t>0.5~1.5</w:t>
                  </w:r>
                  <w:r>
                    <w:rPr>
                      <w:rFonts w:hint="eastAsia" w:eastAsia="附件" w:cs="Times New Roman"/>
                      <w:color w:val="auto"/>
                      <w:kern w:val="0"/>
                      <w:szCs w:val="21"/>
                      <w:lang w:eastAsia="zh-CN"/>
                    </w:rPr>
                    <w:t>)</w:t>
                  </w:r>
                </w:p>
              </w:tc>
              <w:tc>
                <w:tcPr>
                  <w:tcW w:w="850" w:type="dxa"/>
                  <w:vMerge w:val="restart"/>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eastAsia" w:eastAsia="附件" w:cs="Times New Roman"/>
                      <w:color w:val="auto"/>
                      <w:kern w:val="0"/>
                      <w:szCs w:val="21"/>
                      <w:lang w:eastAsia="zh-CN"/>
                    </w:rPr>
                    <w:t>(</w:t>
                  </w:r>
                  <w:r>
                    <w:rPr>
                      <w:rFonts w:hint="default" w:ascii="Times New Roman" w:hAnsi="Times New Roman" w:eastAsia="附件" w:cs="Times New Roman"/>
                      <w:color w:val="auto"/>
                      <w:kern w:val="0"/>
                      <w:szCs w:val="21"/>
                    </w:rPr>
                    <w:t>1.5~3.0</w:t>
                  </w:r>
                  <w:r>
                    <w:rPr>
                      <w:rFonts w:hint="eastAsia" w:eastAsia="附件" w:cs="Times New Roman"/>
                      <w:color w:val="auto"/>
                      <w:kern w:val="0"/>
                      <w:szCs w:val="21"/>
                      <w:lang w:eastAsia="zh-CN"/>
                    </w:rPr>
                    <w:t>)</w:t>
                  </w:r>
                </w:p>
              </w:tc>
              <w:tc>
                <w:tcPr>
                  <w:tcW w:w="993" w:type="dxa"/>
                  <w:vMerge w:val="restart"/>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cs="Times New Roman"/>
                      <w:color w:val="auto"/>
                      <w:kern w:val="0"/>
                      <w:szCs w:val="21"/>
                    </w:rPr>
                    <w:t>标准限值</w:t>
                  </w:r>
                </w:p>
              </w:tc>
              <w:tc>
                <w:tcPr>
                  <w:tcW w:w="2410" w:type="dxa"/>
                  <w:gridSpan w:val="3"/>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最大标准指数值</w:t>
                  </w:r>
                </w:p>
              </w:tc>
              <w:tc>
                <w:tcPr>
                  <w:tcW w:w="520" w:type="dxa"/>
                  <w:vMerge w:val="restart"/>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超标率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vMerge w:val="continue"/>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p>
              </w:tc>
              <w:tc>
                <w:tcPr>
                  <w:tcW w:w="1000" w:type="dxa"/>
                  <w:vMerge w:val="continue"/>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c>
                <w:tcPr>
                  <w:tcW w:w="850" w:type="dxa"/>
                  <w:vMerge w:val="continue"/>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c>
                <w:tcPr>
                  <w:tcW w:w="850" w:type="dxa"/>
                  <w:vMerge w:val="continue"/>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c>
                <w:tcPr>
                  <w:tcW w:w="850" w:type="dxa"/>
                  <w:vMerge w:val="continue"/>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c>
                <w:tcPr>
                  <w:tcW w:w="993" w:type="dxa"/>
                  <w:vMerge w:val="continue"/>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c>
                <w:tcPr>
                  <w:tcW w:w="851"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eastAsia" w:eastAsia="附件" w:cs="Times New Roman"/>
                      <w:color w:val="auto"/>
                      <w:kern w:val="0"/>
                      <w:szCs w:val="21"/>
                      <w:lang w:eastAsia="zh-CN"/>
                    </w:rPr>
                    <w:t>(</w:t>
                  </w:r>
                  <w:r>
                    <w:rPr>
                      <w:rFonts w:hint="default" w:ascii="Times New Roman" w:hAnsi="Times New Roman" w:eastAsia="附件" w:cs="Times New Roman"/>
                      <w:color w:val="auto"/>
                      <w:kern w:val="0"/>
                      <w:szCs w:val="21"/>
                    </w:rPr>
                    <w:t>0~0.5</w:t>
                  </w:r>
                  <w:r>
                    <w:rPr>
                      <w:rFonts w:hint="eastAsia" w:eastAsia="附件" w:cs="Times New Roman"/>
                      <w:color w:val="auto"/>
                      <w:kern w:val="0"/>
                      <w:szCs w:val="21"/>
                      <w:lang w:eastAsia="zh-CN"/>
                    </w:rPr>
                    <w:t>)</w:t>
                  </w:r>
                </w:p>
              </w:tc>
              <w:tc>
                <w:tcPr>
                  <w:tcW w:w="85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eastAsia" w:eastAsia="附件" w:cs="Times New Roman"/>
                      <w:color w:val="auto"/>
                      <w:kern w:val="0"/>
                      <w:szCs w:val="21"/>
                      <w:lang w:eastAsia="zh-CN"/>
                    </w:rPr>
                    <w:t>(</w:t>
                  </w:r>
                  <w:r>
                    <w:rPr>
                      <w:rFonts w:hint="default" w:ascii="Times New Roman" w:hAnsi="Times New Roman" w:eastAsia="附件" w:cs="Times New Roman"/>
                      <w:color w:val="auto"/>
                      <w:kern w:val="0"/>
                      <w:szCs w:val="21"/>
                    </w:rPr>
                    <w:t>0.5~1.5</w:t>
                  </w:r>
                  <w:r>
                    <w:rPr>
                      <w:rFonts w:hint="eastAsia" w:eastAsia="附件" w:cs="Times New Roman"/>
                      <w:color w:val="auto"/>
                      <w:kern w:val="0"/>
                      <w:szCs w:val="21"/>
                      <w:lang w:eastAsia="zh-CN"/>
                    </w:rPr>
                    <w:t>)</w:t>
                  </w:r>
                </w:p>
              </w:tc>
              <w:tc>
                <w:tcPr>
                  <w:tcW w:w="709"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eastAsia" w:eastAsia="附件" w:cs="Times New Roman"/>
                      <w:color w:val="auto"/>
                      <w:kern w:val="0"/>
                      <w:szCs w:val="21"/>
                      <w:lang w:eastAsia="zh-CN"/>
                    </w:rPr>
                    <w:t>(</w:t>
                  </w:r>
                  <w:r>
                    <w:rPr>
                      <w:rFonts w:hint="default" w:ascii="Times New Roman" w:hAnsi="Times New Roman" w:eastAsia="附件" w:cs="Times New Roman"/>
                      <w:color w:val="auto"/>
                      <w:kern w:val="0"/>
                      <w:szCs w:val="21"/>
                    </w:rPr>
                    <w:t>1.5~3.0</w:t>
                  </w:r>
                  <w:r>
                    <w:rPr>
                      <w:rFonts w:hint="eastAsia" w:eastAsia="附件" w:cs="Times New Roman"/>
                      <w:color w:val="auto"/>
                      <w:kern w:val="0"/>
                      <w:szCs w:val="21"/>
                      <w:lang w:eastAsia="zh-CN"/>
                    </w:rPr>
                    <w:t>)</w:t>
                  </w:r>
                </w:p>
              </w:tc>
              <w:tc>
                <w:tcPr>
                  <w:tcW w:w="520" w:type="dxa"/>
                  <w:vMerge w:val="continue"/>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w:t>
                  </w:r>
                </w:p>
              </w:tc>
              <w:tc>
                <w:tcPr>
                  <w:tcW w:w="1000"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pH</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6.5~8.5</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shd w:val="clear" w:color="auto" w:fill="auto"/>
                  <w:vAlign w:val="center"/>
                </w:tcPr>
                <w:p>
                  <w:pPr>
                    <w:keepNext w:val="0"/>
                    <w:keepLines w:val="0"/>
                    <w:suppressLineNumbers w:val="0"/>
                    <w:adjustRightInd w:val="0"/>
                    <w:snapToGrid w:val="0"/>
                    <w:spacing w:before="0" w:beforeAutospacing="0" w:after="0" w:afterAutospacing="0"/>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2</w:t>
                  </w:r>
                </w:p>
              </w:tc>
              <w:tc>
                <w:tcPr>
                  <w:tcW w:w="1000"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eastAsia" w:ascii="Times New Roman" w:hAnsi="Times New Roman" w:eastAsia="附件" w:cs="Times New Roman"/>
                      <w:color w:val="auto"/>
                      <w:szCs w:val="21"/>
                      <w:lang w:val="en-US" w:eastAsia="zh-CN"/>
                    </w:rPr>
                  </w:pPr>
                  <w:r>
                    <w:rPr>
                      <w:rFonts w:hint="eastAsia" w:eastAsia="附件" w:cs="Times New Roman"/>
                      <w:color w:val="auto"/>
                      <w:szCs w:val="21"/>
                      <w:lang w:val="en-US" w:eastAsia="zh-CN"/>
                    </w:rPr>
                    <w:t>石油烃</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4500</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0.002</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0.002</w:t>
                  </w: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0.002</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shd w:val="clear" w:color="auto" w:fill="auto"/>
                  <w:vAlign w:val="center"/>
                </w:tcPr>
                <w:p>
                  <w:pPr>
                    <w:keepNext w:val="0"/>
                    <w:keepLines w:val="0"/>
                    <w:suppressLineNumbers w:val="0"/>
                    <w:adjustRightInd w:val="0"/>
                    <w:snapToGrid w:val="0"/>
                    <w:spacing w:before="0" w:beforeAutospacing="0" w:after="0" w:afterAutospacing="0"/>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3</w:t>
                  </w:r>
                </w:p>
              </w:tc>
              <w:tc>
                <w:tcPr>
                  <w:tcW w:w="1000" w:type="dxa"/>
                  <w:tcBorders>
                    <w:tl2br w:val="nil"/>
                    <w:tr2bl w:val="nil"/>
                  </w:tcBorders>
                  <w:shd w:val="clear" w:color="auto" w:fill="auto"/>
                  <w:vAlign w:val="center"/>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宋体" w:cs="Times New Roman"/>
                      <w:color w:val="auto"/>
                      <w:spacing w:val="0"/>
                      <w:kern w:val="2"/>
                      <w:sz w:val="21"/>
                      <w:szCs w:val="21"/>
                      <w:highlight w:val="none"/>
                      <w:lang w:val="en-US" w:eastAsia="zh-CN" w:bidi="ar-SA"/>
                    </w:rPr>
                  </w:pPr>
                  <w:r>
                    <w:rPr>
                      <w:rFonts w:hint="eastAsia" w:ascii="Times New Roman" w:hAnsi="Times New Roman" w:eastAsia="宋体" w:cs="Times New Roman"/>
                      <w:color w:val="auto"/>
                      <w:spacing w:val="0"/>
                      <w:sz w:val="21"/>
                      <w:szCs w:val="21"/>
                      <w:highlight w:val="none"/>
                      <w:lang w:val="en-US" w:eastAsia="zh-CN"/>
                    </w:rPr>
                    <w:t>硫化物</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shd w:val="clear" w:color="auto" w:fill="auto"/>
                  <w:vAlign w:val="center"/>
                </w:tcPr>
                <w:p>
                  <w:pPr>
                    <w:keepNext w:val="0"/>
                    <w:keepLines w:val="0"/>
                    <w:suppressLineNumbers w:val="0"/>
                    <w:adjustRightInd w:val="0"/>
                    <w:snapToGrid w:val="0"/>
                    <w:spacing w:before="0" w:beforeAutospacing="0" w:after="0" w:afterAutospacing="0"/>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4</w:t>
                  </w:r>
                </w:p>
              </w:tc>
              <w:tc>
                <w:tcPr>
                  <w:tcW w:w="1000" w:type="dxa"/>
                  <w:tcBorders>
                    <w:tl2br w:val="nil"/>
                    <w:tr2bl w:val="nil"/>
                  </w:tcBorders>
                  <w:shd w:val="clear" w:color="auto" w:fill="auto"/>
                  <w:vAlign w:val="center"/>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宋体" w:cs="Times New Roman"/>
                      <w:color w:val="auto"/>
                      <w:spacing w:val="0"/>
                      <w:kern w:val="2"/>
                      <w:sz w:val="21"/>
                      <w:szCs w:val="21"/>
                      <w:highlight w:val="none"/>
                      <w:lang w:val="en-US" w:eastAsia="zh-CN" w:bidi="ar-SA"/>
                    </w:rPr>
                  </w:pPr>
                  <w:r>
                    <w:rPr>
                      <w:rFonts w:hint="eastAsia" w:ascii="Times New Roman" w:hAnsi="Times New Roman" w:eastAsia="宋体" w:cs="Times New Roman"/>
                      <w:color w:val="auto"/>
                      <w:spacing w:val="0"/>
                      <w:sz w:val="21"/>
                      <w:szCs w:val="21"/>
                      <w:highlight w:val="none"/>
                      <w:lang w:val="en-US" w:eastAsia="zh-CN"/>
                    </w:rPr>
                    <w:t>钡</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shd w:val="clear" w:color="auto" w:fill="auto"/>
                  <w:vAlign w:val="center"/>
                </w:tcPr>
                <w:p>
                  <w:pPr>
                    <w:keepNext w:val="0"/>
                    <w:keepLines w:val="0"/>
                    <w:suppressLineNumbers w:val="0"/>
                    <w:adjustRightInd w:val="0"/>
                    <w:snapToGrid w:val="0"/>
                    <w:spacing w:before="0" w:beforeAutospacing="0" w:after="0" w:afterAutospacing="0"/>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5</w:t>
                  </w:r>
                </w:p>
              </w:tc>
              <w:tc>
                <w:tcPr>
                  <w:tcW w:w="1000" w:type="dxa"/>
                  <w:tcBorders>
                    <w:tl2br w:val="nil"/>
                    <w:tr2bl w:val="nil"/>
                  </w:tcBorders>
                  <w:shd w:val="clear" w:color="auto" w:fill="auto"/>
                  <w:vAlign w:val="center"/>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宋体" w:cs="Times New Roman"/>
                      <w:color w:val="auto"/>
                      <w:spacing w:val="0"/>
                      <w:kern w:val="2"/>
                      <w:sz w:val="21"/>
                      <w:szCs w:val="21"/>
                      <w:highlight w:val="none"/>
                      <w:lang w:val="en-US" w:eastAsia="zh-CN" w:bidi="ar-SA"/>
                    </w:rPr>
                  </w:pPr>
                  <w:r>
                    <w:rPr>
                      <w:rFonts w:hint="eastAsia" w:ascii="Times New Roman" w:hAnsi="Times New Roman" w:cs="Times New Roman"/>
                      <w:color w:val="auto"/>
                      <w:sz w:val="21"/>
                      <w:szCs w:val="21"/>
                      <w:highlight w:val="none"/>
                      <w:lang w:val="en-US" w:eastAsia="zh-CN"/>
                    </w:rPr>
                    <w:t>水溶性盐总量</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6</w:t>
                  </w:r>
                </w:p>
              </w:tc>
              <w:tc>
                <w:tcPr>
                  <w:tcW w:w="1000" w:type="dxa"/>
                  <w:tcBorders>
                    <w:tl2br w:val="nil"/>
                    <w:tr2bl w:val="nil"/>
                  </w:tcBorders>
                  <w:shd w:val="clear" w:color="auto" w:fill="auto"/>
                  <w:vAlign w:val="center"/>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宋体" w:cs="Times New Roman"/>
                      <w:color w:val="auto"/>
                      <w:spacing w:val="0"/>
                      <w:kern w:val="2"/>
                      <w:sz w:val="21"/>
                      <w:szCs w:val="21"/>
                      <w:highlight w:val="none"/>
                      <w:lang w:val="en-US" w:eastAsia="zh-CN" w:bidi="ar-SA"/>
                    </w:rPr>
                  </w:pPr>
                  <w:r>
                    <w:rPr>
                      <w:rFonts w:hint="eastAsia" w:ascii="Times New Roman" w:hAnsi="Times New Roman" w:eastAsia="宋体" w:cs="Times New Roman"/>
                      <w:color w:val="auto"/>
                      <w:spacing w:val="0"/>
                      <w:sz w:val="21"/>
                      <w:szCs w:val="21"/>
                      <w:highlight w:val="none"/>
                      <w:lang w:val="en-US" w:eastAsia="zh-CN"/>
                    </w:rPr>
                    <w:t>汞</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8</w:t>
                  </w:r>
                </w:p>
              </w:tc>
              <w:tc>
                <w:tcPr>
                  <w:tcW w:w="8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宋体" w:cs="Times New Roman"/>
                      <w:i w:val="0"/>
                      <w:iCs w:val="0"/>
                      <w:color w:val="auto"/>
                      <w:kern w:val="0"/>
                      <w:sz w:val="22"/>
                      <w:szCs w:val="22"/>
                      <w:u w:val="none"/>
                      <w:lang w:val="en-US" w:eastAsia="zh-CN" w:bidi="ar"/>
                    </w:rPr>
                    <w:t xml:space="preserve">0.03 </w:t>
                  </w:r>
                </w:p>
              </w:tc>
              <w:tc>
                <w:tcPr>
                  <w:tcW w:w="8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宋体" w:cs="Times New Roman"/>
                      <w:i w:val="0"/>
                      <w:iCs w:val="0"/>
                      <w:color w:val="auto"/>
                      <w:kern w:val="0"/>
                      <w:sz w:val="22"/>
                      <w:szCs w:val="22"/>
                      <w:u w:val="none"/>
                      <w:lang w:val="en-US" w:eastAsia="zh-CN" w:bidi="ar"/>
                    </w:rPr>
                    <w:t xml:space="preserve">0.04 </w:t>
                  </w:r>
                </w:p>
              </w:tc>
              <w:tc>
                <w:tcPr>
                  <w:tcW w:w="70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宋体" w:cs="Times New Roman"/>
                      <w:i w:val="0"/>
                      <w:iCs w:val="0"/>
                      <w:color w:val="auto"/>
                      <w:kern w:val="0"/>
                      <w:sz w:val="22"/>
                      <w:szCs w:val="22"/>
                      <w:u w:val="none"/>
                      <w:lang w:val="en-US" w:eastAsia="zh-CN" w:bidi="ar"/>
                    </w:rPr>
                    <w:t xml:space="preserve">0.04 </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7</w:t>
                  </w:r>
                </w:p>
              </w:tc>
              <w:tc>
                <w:tcPr>
                  <w:tcW w:w="1000" w:type="dxa"/>
                  <w:tcBorders>
                    <w:tl2br w:val="nil"/>
                    <w:tr2bl w:val="nil"/>
                  </w:tcBorders>
                  <w:shd w:val="clear" w:color="auto" w:fill="auto"/>
                  <w:vAlign w:val="center"/>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宋体" w:cs="Times New Roman"/>
                      <w:color w:val="auto"/>
                      <w:spacing w:val="0"/>
                      <w:kern w:val="2"/>
                      <w:sz w:val="21"/>
                      <w:szCs w:val="21"/>
                      <w:highlight w:val="none"/>
                      <w:lang w:val="en-US" w:eastAsia="zh-CN" w:bidi="ar-SA"/>
                    </w:rPr>
                  </w:pPr>
                  <w:r>
                    <w:rPr>
                      <w:rFonts w:hint="eastAsia" w:ascii="Times New Roman" w:hAnsi="Times New Roman" w:eastAsia="宋体" w:cs="Times New Roman"/>
                      <w:color w:val="auto"/>
                      <w:spacing w:val="0"/>
                      <w:sz w:val="21"/>
                      <w:szCs w:val="21"/>
                      <w:highlight w:val="none"/>
                      <w:lang w:val="en-US" w:eastAsia="zh-CN"/>
                    </w:rPr>
                    <w:t>砷</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20</w:t>
                  </w:r>
                </w:p>
              </w:tc>
              <w:tc>
                <w:tcPr>
                  <w:tcW w:w="8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宋体" w:cs="Times New Roman"/>
                      <w:i w:val="0"/>
                      <w:iCs w:val="0"/>
                      <w:color w:val="auto"/>
                      <w:kern w:val="0"/>
                      <w:sz w:val="22"/>
                      <w:szCs w:val="22"/>
                      <w:u w:val="none"/>
                      <w:lang w:val="en-US" w:eastAsia="zh-CN" w:bidi="ar"/>
                    </w:rPr>
                    <w:t xml:space="preserve">0.26 </w:t>
                  </w:r>
                </w:p>
              </w:tc>
              <w:tc>
                <w:tcPr>
                  <w:tcW w:w="8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宋体" w:cs="Times New Roman"/>
                      <w:i w:val="0"/>
                      <w:iCs w:val="0"/>
                      <w:color w:val="auto"/>
                      <w:kern w:val="0"/>
                      <w:sz w:val="22"/>
                      <w:szCs w:val="22"/>
                      <w:u w:val="none"/>
                      <w:lang w:val="en-US" w:eastAsia="zh-CN" w:bidi="ar"/>
                    </w:rPr>
                    <w:t xml:space="preserve">0.26 </w:t>
                  </w:r>
                </w:p>
              </w:tc>
              <w:tc>
                <w:tcPr>
                  <w:tcW w:w="70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宋体" w:cs="Times New Roman"/>
                      <w:i w:val="0"/>
                      <w:iCs w:val="0"/>
                      <w:color w:val="auto"/>
                      <w:kern w:val="0"/>
                      <w:sz w:val="22"/>
                      <w:szCs w:val="22"/>
                      <w:u w:val="none"/>
                      <w:lang w:val="en-US" w:eastAsia="zh-CN" w:bidi="ar"/>
                    </w:rPr>
                    <w:t xml:space="preserve">0.22 </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8</w:t>
                  </w:r>
                </w:p>
              </w:tc>
              <w:tc>
                <w:tcPr>
                  <w:tcW w:w="1000" w:type="dxa"/>
                  <w:tcBorders>
                    <w:tl2br w:val="nil"/>
                    <w:tr2bl w:val="nil"/>
                  </w:tcBorders>
                  <w:shd w:val="clear" w:color="auto" w:fill="auto"/>
                  <w:vAlign w:val="center"/>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宋体" w:cs="Times New Roman"/>
                      <w:color w:val="auto"/>
                      <w:spacing w:val="0"/>
                      <w:kern w:val="2"/>
                      <w:sz w:val="21"/>
                      <w:szCs w:val="21"/>
                      <w:highlight w:val="none"/>
                      <w:lang w:val="en-US" w:eastAsia="zh-CN" w:bidi="ar-SA"/>
                    </w:rPr>
                  </w:pPr>
                  <w:r>
                    <w:rPr>
                      <w:rFonts w:hint="eastAsia" w:ascii="Times New Roman" w:hAnsi="Times New Roman" w:eastAsia="宋体" w:cs="Times New Roman"/>
                      <w:color w:val="auto"/>
                      <w:spacing w:val="0"/>
                      <w:sz w:val="21"/>
                      <w:szCs w:val="21"/>
                      <w:highlight w:val="none"/>
                      <w:lang w:val="en-US" w:eastAsia="zh-CN"/>
                    </w:rPr>
                    <w:t>六价铬</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3.0</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7996" w:type="dxa"/>
                  <w:gridSpan w:val="10"/>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S2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w:t>
                  </w:r>
                </w:p>
              </w:tc>
              <w:tc>
                <w:tcPr>
                  <w:tcW w:w="1000" w:type="dxa"/>
                  <w:tcBorders>
                    <w:tl2br w:val="nil"/>
                    <w:tr2bl w:val="nil"/>
                  </w:tcBorders>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pH</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6.5~8.5</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w:t>
                  </w:r>
                </w:p>
              </w:tc>
              <w:tc>
                <w:tcPr>
                  <w:tcW w:w="1000" w:type="dxa"/>
                  <w:tcBorders>
                    <w:tl2br w:val="nil"/>
                    <w:tr2bl w:val="nil"/>
                  </w:tcBorders>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附件" w:cs="Times New Roman"/>
                      <w:color w:val="auto"/>
                      <w:szCs w:val="21"/>
                    </w:rPr>
                  </w:pPr>
                  <w:r>
                    <w:rPr>
                      <w:rFonts w:hint="eastAsia" w:eastAsia="附件" w:cs="Times New Roman"/>
                      <w:color w:val="auto"/>
                      <w:szCs w:val="21"/>
                      <w:lang w:val="en-US" w:eastAsia="zh-CN"/>
                    </w:rPr>
                    <w:t>石油烃</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4500</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0.002</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0.002</w:t>
                  </w: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0.002</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3</w:t>
                  </w:r>
                </w:p>
              </w:tc>
              <w:tc>
                <w:tcPr>
                  <w:tcW w:w="1000" w:type="dxa"/>
                  <w:tcBorders>
                    <w:tl2br w:val="nil"/>
                    <w:tr2bl w:val="nil"/>
                  </w:tcBorders>
                  <w:vAlign w:val="center"/>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附件" w:cs="Times New Roman"/>
                      <w:color w:val="auto"/>
                      <w:szCs w:val="21"/>
                    </w:rPr>
                  </w:pPr>
                  <w:r>
                    <w:rPr>
                      <w:rFonts w:hint="eastAsia" w:ascii="Times New Roman" w:hAnsi="Times New Roman" w:eastAsia="宋体" w:cs="Times New Roman"/>
                      <w:color w:val="auto"/>
                      <w:spacing w:val="0"/>
                      <w:sz w:val="21"/>
                      <w:szCs w:val="21"/>
                      <w:highlight w:val="none"/>
                      <w:lang w:val="en-US" w:eastAsia="zh-CN"/>
                    </w:rPr>
                    <w:t>硫化物</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bCs/>
                      <w:color w:val="auto"/>
                      <w:szCs w:val="21"/>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bCs/>
                      <w:color w:val="auto"/>
                      <w:szCs w:val="21"/>
                      <w:lang w:bidi="ar"/>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0"/>
                      <w:szCs w:val="21"/>
                      <w:lang w:bidi="ar"/>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w:t>
                  </w:r>
                </w:p>
              </w:tc>
              <w:tc>
                <w:tcPr>
                  <w:tcW w:w="1000" w:type="dxa"/>
                  <w:tcBorders>
                    <w:tl2br w:val="nil"/>
                    <w:tr2bl w:val="nil"/>
                  </w:tcBorders>
                  <w:vAlign w:val="center"/>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附件" w:cs="Times New Roman"/>
                      <w:color w:val="auto"/>
                      <w:szCs w:val="21"/>
                    </w:rPr>
                  </w:pPr>
                  <w:r>
                    <w:rPr>
                      <w:rFonts w:hint="eastAsia" w:ascii="Times New Roman" w:hAnsi="Times New Roman" w:eastAsia="宋体" w:cs="Times New Roman"/>
                      <w:color w:val="auto"/>
                      <w:spacing w:val="0"/>
                      <w:sz w:val="21"/>
                      <w:szCs w:val="21"/>
                      <w:highlight w:val="none"/>
                      <w:lang w:val="en-US" w:eastAsia="zh-CN"/>
                    </w:rPr>
                    <w:t>钡</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5</w:t>
                  </w:r>
                </w:p>
              </w:tc>
              <w:tc>
                <w:tcPr>
                  <w:tcW w:w="1000" w:type="dxa"/>
                  <w:tcBorders>
                    <w:tl2br w:val="nil"/>
                    <w:tr2bl w:val="nil"/>
                  </w:tcBorders>
                  <w:vAlign w:val="center"/>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附件" w:cs="Times New Roman"/>
                      <w:color w:val="auto"/>
                      <w:szCs w:val="21"/>
                    </w:rPr>
                  </w:pPr>
                  <w:r>
                    <w:rPr>
                      <w:rFonts w:hint="eastAsia" w:ascii="Times New Roman" w:hAnsi="Times New Roman" w:cs="Times New Roman"/>
                      <w:color w:val="auto"/>
                      <w:sz w:val="21"/>
                      <w:szCs w:val="21"/>
                      <w:highlight w:val="none"/>
                      <w:lang w:val="en-US" w:eastAsia="zh-CN"/>
                    </w:rPr>
                    <w:t>水溶性盐总量</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6</w:t>
                  </w:r>
                </w:p>
              </w:tc>
              <w:tc>
                <w:tcPr>
                  <w:tcW w:w="1000" w:type="dxa"/>
                  <w:tcBorders>
                    <w:tl2br w:val="nil"/>
                    <w:tr2bl w:val="nil"/>
                  </w:tcBorders>
                  <w:vAlign w:val="center"/>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附件" w:cs="Times New Roman"/>
                      <w:color w:val="auto"/>
                      <w:szCs w:val="21"/>
                    </w:rPr>
                  </w:pPr>
                  <w:r>
                    <w:rPr>
                      <w:rFonts w:hint="eastAsia" w:ascii="Times New Roman" w:hAnsi="Times New Roman" w:eastAsia="宋体" w:cs="Times New Roman"/>
                      <w:color w:val="auto"/>
                      <w:spacing w:val="0"/>
                      <w:sz w:val="21"/>
                      <w:szCs w:val="21"/>
                      <w:highlight w:val="none"/>
                      <w:lang w:val="en-US" w:eastAsia="zh-CN"/>
                    </w:rPr>
                    <w:t>汞</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8</w:t>
                  </w:r>
                </w:p>
              </w:tc>
              <w:tc>
                <w:tcPr>
                  <w:tcW w:w="8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宋体" w:cs="Times New Roman"/>
                      <w:i w:val="0"/>
                      <w:iCs w:val="0"/>
                      <w:color w:val="auto"/>
                      <w:kern w:val="0"/>
                      <w:sz w:val="22"/>
                      <w:szCs w:val="22"/>
                      <w:u w:val="none"/>
                      <w:lang w:val="en-US" w:eastAsia="zh-CN" w:bidi="ar"/>
                    </w:rPr>
                    <w:t xml:space="preserve">0.03 </w:t>
                  </w:r>
                </w:p>
              </w:tc>
              <w:tc>
                <w:tcPr>
                  <w:tcW w:w="8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宋体" w:cs="Times New Roman"/>
                      <w:i w:val="0"/>
                      <w:iCs w:val="0"/>
                      <w:color w:val="auto"/>
                      <w:kern w:val="0"/>
                      <w:sz w:val="22"/>
                      <w:szCs w:val="22"/>
                      <w:u w:val="none"/>
                      <w:lang w:val="en-US" w:eastAsia="zh-CN" w:bidi="ar"/>
                    </w:rPr>
                    <w:t xml:space="preserve">0.10 </w:t>
                  </w:r>
                </w:p>
              </w:tc>
              <w:tc>
                <w:tcPr>
                  <w:tcW w:w="70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宋体" w:cs="Times New Roman"/>
                      <w:i w:val="0"/>
                      <w:iCs w:val="0"/>
                      <w:color w:val="auto"/>
                      <w:kern w:val="0"/>
                      <w:sz w:val="22"/>
                      <w:szCs w:val="22"/>
                      <w:u w:val="none"/>
                      <w:lang w:val="en-US" w:eastAsia="zh-CN" w:bidi="ar"/>
                    </w:rPr>
                    <w:t xml:space="preserve">0.07 </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7</w:t>
                  </w:r>
                </w:p>
              </w:tc>
              <w:tc>
                <w:tcPr>
                  <w:tcW w:w="1000" w:type="dxa"/>
                  <w:tcBorders>
                    <w:tl2br w:val="nil"/>
                    <w:tr2bl w:val="nil"/>
                  </w:tcBorders>
                  <w:vAlign w:val="center"/>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附件" w:cs="Times New Roman"/>
                      <w:color w:val="auto"/>
                      <w:szCs w:val="21"/>
                    </w:rPr>
                  </w:pPr>
                  <w:r>
                    <w:rPr>
                      <w:rFonts w:hint="eastAsia" w:ascii="Times New Roman" w:hAnsi="Times New Roman" w:eastAsia="宋体" w:cs="Times New Roman"/>
                      <w:color w:val="auto"/>
                      <w:spacing w:val="0"/>
                      <w:sz w:val="21"/>
                      <w:szCs w:val="21"/>
                      <w:highlight w:val="none"/>
                      <w:lang w:val="en-US" w:eastAsia="zh-CN"/>
                    </w:rPr>
                    <w:t>砷</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20</w:t>
                  </w:r>
                </w:p>
              </w:tc>
              <w:tc>
                <w:tcPr>
                  <w:tcW w:w="8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宋体" w:cs="Times New Roman"/>
                      <w:i w:val="0"/>
                      <w:iCs w:val="0"/>
                      <w:color w:val="auto"/>
                      <w:kern w:val="0"/>
                      <w:sz w:val="22"/>
                      <w:szCs w:val="22"/>
                      <w:u w:val="none"/>
                      <w:lang w:val="en-US" w:eastAsia="zh-CN" w:bidi="ar"/>
                    </w:rPr>
                    <w:t xml:space="preserve">0.26 </w:t>
                  </w:r>
                </w:p>
              </w:tc>
              <w:tc>
                <w:tcPr>
                  <w:tcW w:w="8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宋体" w:cs="Times New Roman"/>
                      <w:i w:val="0"/>
                      <w:iCs w:val="0"/>
                      <w:color w:val="auto"/>
                      <w:kern w:val="0"/>
                      <w:sz w:val="22"/>
                      <w:szCs w:val="22"/>
                      <w:u w:val="none"/>
                      <w:lang w:val="en-US" w:eastAsia="zh-CN" w:bidi="ar"/>
                    </w:rPr>
                    <w:t xml:space="preserve">0.22 </w:t>
                  </w:r>
                </w:p>
              </w:tc>
              <w:tc>
                <w:tcPr>
                  <w:tcW w:w="70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宋体" w:cs="Times New Roman"/>
                      <w:i w:val="0"/>
                      <w:iCs w:val="0"/>
                      <w:color w:val="auto"/>
                      <w:kern w:val="0"/>
                      <w:sz w:val="22"/>
                      <w:szCs w:val="22"/>
                      <w:u w:val="none"/>
                      <w:lang w:val="en-US" w:eastAsia="zh-CN" w:bidi="ar"/>
                    </w:rPr>
                    <w:t xml:space="preserve">0.23 </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8</w:t>
                  </w:r>
                </w:p>
              </w:tc>
              <w:tc>
                <w:tcPr>
                  <w:tcW w:w="1000" w:type="dxa"/>
                  <w:tcBorders>
                    <w:tl2br w:val="nil"/>
                    <w:tr2bl w:val="nil"/>
                  </w:tcBorders>
                  <w:vAlign w:val="center"/>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附件" w:cs="Times New Roman"/>
                      <w:color w:val="auto"/>
                      <w:szCs w:val="21"/>
                    </w:rPr>
                  </w:pPr>
                  <w:r>
                    <w:rPr>
                      <w:rFonts w:hint="eastAsia" w:ascii="Times New Roman" w:hAnsi="Times New Roman" w:eastAsia="宋体" w:cs="Times New Roman"/>
                      <w:color w:val="auto"/>
                      <w:spacing w:val="0"/>
                      <w:sz w:val="21"/>
                      <w:szCs w:val="21"/>
                      <w:highlight w:val="none"/>
                      <w:lang w:val="en-US" w:eastAsia="zh-CN"/>
                    </w:rPr>
                    <w:t>六价铬</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3.0</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7996" w:type="dxa"/>
                  <w:gridSpan w:val="10"/>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S3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w:t>
                  </w:r>
                </w:p>
              </w:tc>
              <w:tc>
                <w:tcPr>
                  <w:tcW w:w="1000" w:type="dxa"/>
                  <w:tcBorders>
                    <w:tl2br w:val="nil"/>
                    <w:tr2bl w:val="nil"/>
                  </w:tcBorders>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pH</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6.5~8.5</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w:t>
                  </w:r>
                </w:p>
              </w:tc>
              <w:tc>
                <w:tcPr>
                  <w:tcW w:w="1000" w:type="dxa"/>
                  <w:tcBorders>
                    <w:tl2br w:val="nil"/>
                    <w:tr2bl w:val="nil"/>
                  </w:tcBorders>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附件" w:cs="Times New Roman"/>
                      <w:color w:val="auto"/>
                      <w:szCs w:val="21"/>
                    </w:rPr>
                  </w:pPr>
                  <w:r>
                    <w:rPr>
                      <w:rFonts w:hint="eastAsia" w:eastAsia="附件" w:cs="Times New Roman"/>
                      <w:color w:val="auto"/>
                      <w:szCs w:val="21"/>
                      <w:lang w:val="en-US" w:eastAsia="zh-CN"/>
                    </w:rPr>
                    <w:t>石油烃</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4500</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0.002</w:t>
                  </w:r>
                </w:p>
              </w:tc>
              <w:tc>
                <w:tcPr>
                  <w:tcW w:w="850" w:type="dxa"/>
                  <w:tcBorders>
                    <w:tl2br w:val="nil"/>
                    <w:tr2bl w:val="nil"/>
                  </w:tcBorders>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0.002</w:t>
                  </w:r>
                </w:p>
              </w:tc>
              <w:tc>
                <w:tcPr>
                  <w:tcW w:w="709" w:type="dxa"/>
                  <w:tcBorders>
                    <w:tl2br w:val="nil"/>
                    <w:tr2bl w:val="nil"/>
                  </w:tcBorders>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0.004</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3</w:t>
                  </w:r>
                </w:p>
              </w:tc>
              <w:tc>
                <w:tcPr>
                  <w:tcW w:w="1000" w:type="dxa"/>
                  <w:tcBorders>
                    <w:tl2br w:val="nil"/>
                    <w:tr2bl w:val="nil"/>
                  </w:tcBorders>
                  <w:vAlign w:val="center"/>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附件" w:cs="Times New Roman"/>
                      <w:color w:val="auto"/>
                      <w:szCs w:val="21"/>
                    </w:rPr>
                  </w:pPr>
                  <w:r>
                    <w:rPr>
                      <w:rFonts w:hint="eastAsia" w:ascii="Times New Roman" w:hAnsi="Times New Roman" w:eastAsia="宋体" w:cs="Times New Roman"/>
                      <w:color w:val="auto"/>
                      <w:spacing w:val="0"/>
                      <w:sz w:val="21"/>
                      <w:szCs w:val="21"/>
                      <w:highlight w:val="none"/>
                      <w:lang w:val="en-US" w:eastAsia="zh-CN"/>
                    </w:rPr>
                    <w:t>硫化物</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bCs/>
                      <w:color w:val="auto"/>
                      <w:szCs w:val="21"/>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bCs/>
                      <w:color w:val="auto"/>
                      <w:szCs w:val="21"/>
                      <w:lang w:bidi="ar"/>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kern w:val="0"/>
                      <w:szCs w:val="21"/>
                      <w:lang w:bidi="ar"/>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850" w:type="dxa"/>
                  <w:tcBorders>
                    <w:tl2br w:val="nil"/>
                    <w:tr2bl w:val="nil"/>
                  </w:tcBorders>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709" w:type="dxa"/>
                  <w:tcBorders>
                    <w:tl2br w:val="nil"/>
                    <w:tr2bl w:val="nil"/>
                  </w:tcBorders>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w:t>
                  </w:r>
                </w:p>
              </w:tc>
              <w:tc>
                <w:tcPr>
                  <w:tcW w:w="1000" w:type="dxa"/>
                  <w:tcBorders>
                    <w:tl2br w:val="nil"/>
                    <w:tr2bl w:val="nil"/>
                  </w:tcBorders>
                  <w:vAlign w:val="center"/>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附件" w:cs="Times New Roman"/>
                      <w:color w:val="auto"/>
                      <w:szCs w:val="21"/>
                    </w:rPr>
                  </w:pPr>
                  <w:r>
                    <w:rPr>
                      <w:rFonts w:hint="eastAsia" w:ascii="Times New Roman" w:hAnsi="Times New Roman" w:eastAsia="宋体" w:cs="Times New Roman"/>
                      <w:color w:val="auto"/>
                      <w:spacing w:val="0"/>
                      <w:sz w:val="21"/>
                      <w:szCs w:val="21"/>
                      <w:highlight w:val="none"/>
                      <w:lang w:val="en-US" w:eastAsia="zh-CN"/>
                    </w:rPr>
                    <w:t>钡</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5</w:t>
                  </w:r>
                </w:p>
              </w:tc>
              <w:tc>
                <w:tcPr>
                  <w:tcW w:w="1000" w:type="dxa"/>
                  <w:tcBorders>
                    <w:tl2br w:val="nil"/>
                    <w:tr2bl w:val="nil"/>
                  </w:tcBorders>
                  <w:vAlign w:val="center"/>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附件" w:cs="Times New Roman"/>
                      <w:color w:val="auto"/>
                      <w:szCs w:val="21"/>
                    </w:rPr>
                  </w:pPr>
                  <w:r>
                    <w:rPr>
                      <w:rFonts w:hint="eastAsia" w:ascii="Times New Roman" w:hAnsi="Times New Roman" w:cs="Times New Roman"/>
                      <w:color w:val="auto"/>
                      <w:sz w:val="21"/>
                      <w:szCs w:val="21"/>
                      <w:highlight w:val="none"/>
                      <w:lang w:val="en-US" w:eastAsia="zh-CN"/>
                    </w:rPr>
                    <w:t>水溶性盐总量</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6</w:t>
                  </w:r>
                </w:p>
              </w:tc>
              <w:tc>
                <w:tcPr>
                  <w:tcW w:w="1000" w:type="dxa"/>
                  <w:tcBorders>
                    <w:tl2br w:val="nil"/>
                    <w:tr2bl w:val="nil"/>
                  </w:tcBorders>
                  <w:vAlign w:val="center"/>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附件" w:cs="Times New Roman"/>
                      <w:color w:val="auto"/>
                      <w:szCs w:val="21"/>
                    </w:rPr>
                  </w:pPr>
                  <w:r>
                    <w:rPr>
                      <w:rFonts w:hint="eastAsia" w:ascii="Times New Roman" w:hAnsi="Times New Roman" w:eastAsia="宋体" w:cs="Times New Roman"/>
                      <w:color w:val="auto"/>
                      <w:spacing w:val="0"/>
                      <w:sz w:val="21"/>
                      <w:szCs w:val="21"/>
                      <w:highlight w:val="none"/>
                      <w:lang w:val="en-US" w:eastAsia="zh-CN"/>
                    </w:rPr>
                    <w:t>汞</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Cs w:val="21"/>
                    </w:rPr>
                  </w:pPr>
                  <w:r>
                    <w:rPr>
                      <w:rFonts w:hint="eastAsia" w:eastAsia="附件" w:cs="Times New Roman"/>
                      <w:color w:val="auto"/>
                      <w:kern w:val="0"/>
                      <w:szCs w:val="21"/>
                      <w:lang w:val="en-US" w:eastAsia="zh-CN"/>
                    </w:rPr>
                    <w:t>8</w:t>
                  </w:r>
                </w:p>
              </w:tc>
              <w:tc>
                <w:tcPr>
                  <w:tcW w:w="851"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2"/>
                      <w:sz w:val="22"/>
                      <w:szCs w:val="22"/>
                      <w:u w:val="none"/>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0.05 </w:t>
                  </w:r>
                </w:p>
              </w:tc>
              <w:tc>
                <w:tcPr>
                  <w:tcW w:w="850"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2"/>
                      <w:sz w:val="22"/>
                      <w:szCs w:val="22"/>
                      <w:u w:val="none"/>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0.09 </w:t>
                  </w:r>
                </w:p>
              </w:tc>
              <w:tc>
                <w:tcPr>
                  <w:tcW w:w="709"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2"/>
                      <w:sz w:val="22"/>
                      <w:szCs w:val="22"/>
                      <w:u w:val="none"/>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0.04 </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7</w:t>
                  </w:r>
                </w:p>
              </w:tc>
              <w:tc>
                <w:tcPr>
                  <w:tcW w:w="1000" w:type="dxa"/>
                  <w:tcBorders>
                    <w:tl2br w:val="nil"/>
                    <w:tr2bl w:val="nil"/>
                  </w:tcBorders>
                  <w:vAlign w:val="center"/>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附件" w:cs="Times New Roman"/>
                      <w:color w:val="auto"/>
                      <w:szCs w:val="21"/>
                    </w:rPr>
                  </w:pPr>
                  <w:r>
                    <w:rPr>
                      <w:rFonts w:hint="eastAsia" w:ascii="Times New Roman" w:hAnsi="Times New Roman" w:eastAsia="宋体" w:cs="Times New Roman"/>
                      <w:color w:val="auto"/>
                      <w:spacing w:val="0"/>
                      <w:sz w:val="21"/>
                      <w:szCs w:val="21"/>
                      <w:highlight w:val="none"/>
                      <w:lang w:val="en-US" w:eastAsia="zh-CN"/>
                    </w:rPr>
                    <w:t>砷</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Cs w:val="21"/>
                    </w:rPr>
                  </w:pPr>
                  <w:r>
                    <w:rPr>
                      <w:rFonts w:hint="eastAsia" w:eastAsia="附件" w:cs="Times New Roman"/>
                      <w:color w:val="auto"/>
                      <w:kern w:val="0"/>
                      <w:szCs w:val="21"/>
                      <w:lang w:val="en-US" w:eastAsia="zh-CN"/>
                    </w:rPr>
                    <w:t>20</w:t>
                  </w:r>
                </w:p>
              </w:tc>
              <w:tc>
                <w:tcPr>
                  <w:tcW w:w="851"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2"/>
                      <w:sz w:val="22"/>
                      <w:szCs w:val="22"/>
                      <w:u w:val="none"/>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0.18 </w:t>
                  </w:r>
                </w:p>
              </w:tc>
              <w:tc>
                <w:tcPr>
                  <w:tcW w:w="850"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2"/>
                      <w:sz w:val="22"/>
                      <w:szCs w:val="22"/>
                      <w:u w:val="none"/>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0.28 </w:t>
                  </w:r>
                </w:p>
              </w:tc>
              <w:tc>
                <w:tcPr>
                  <w:tcW w:w="709"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2"/>
                      <w:sz w:val="22"/>
                      <w:szCs w:val="22"/>
                      <w:u w:val="none"/>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0.25 </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523"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8</w:t>
                  </w:r>
                </w:p>
              </w:tc>
              <w:tc>
                <w:tcPr>
                  <w:tcW w:w="1000" w:type="dxa"/>
                  <w:tcBorders>
                    <w:tl2br w:val="nil"/>
                    <w:tr2bl w:val="nil"/>
                  </w:tcBorders>
                  <w:vAlign w:val="center"/>
                </w:tcPr>
                <w:p>
                  <w:pPr>
                    <w:keepNext w:val="0"/>
                    <w:keepLines w:val="0"/>
                    <w:numPr>
                      <w:ilvl w:val="0"/>
                      <w:numId w:val="0"/>
                    </w:numPr>
                    <w:suppressLineNumbers w:val="0"/>
                    <w:spacing w:before="0" w:beforeAutospacing="0" w:after="0" w:afterAutospacing="0"/>
                    <w:ind w:left="0" w:leftChars="0" w:right="0" w:firstLine="0" w:firstLineChars="0"/>
                    <w:jc w:val="center"/>
                    <w:rPr>
                      <w:rFonts w:hint="default" w:ascii="Times New Roman" w:hAnsi="Times New Roman" w:eastAsia="附件" w:cs="Times New Roman"/>
                      <w:color w:val="auto"/>
                      <w:szCs w:val="21"/>
                    </w:rPr>
                  </w:pPr>
                  <w:r>
                    <w:rPr>
                      <w:rFonts w:hint="eastAsia" w:ascii="Times New Roman" w:hAnsi="Times New Roman" w:eastAsia="宋体" w:cs="Times New Roman"/>
                      <w:color w:val="auto"/>
                      <w:spacing w:val="0"/>
                      <w:sz w:val="21"/>
                      <w:szCs w:val="21"/>
                      <w:highlight w:val="none"/>
                      <w:lang w:val="en-US" w:eastAsia="zh-CN"/>
                    </w:rPr>
                    <w:t>六价铬</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pacing w:val="0"/>
                      <w:szCs w:val="21"/>
                      <w:highlight w:val="none"/>
                      <w:lang w:val="en-US" w:eastAsia="zh-CN"/>
                    </w:rPr>
                  </w:pPr>
                  <w:r>
                    <w:rPr>
                      <w:rFonts w:hint="eastAsia" w:cs="Times New Roman"/>
                      <w:bCs/>
                      <w:color w:val="auto"/>
                      <w:sz w:val="21"/>
                      <w:szCs w:val="21"/>
                      <w:lang w:val="en-US" w:eastAsia="zh-CN"/>
                    </w:rPr>
                    <w:t>*</w:t>
                  </w:r>
                </w:p>
              </w:tc>
              <w:tc>
                <w:tcPr>
                  <w:tcW w:w="993"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Cs w:val="21"/>
                    </w:rPr>
                  </w:pPr>
                  <w:r>
                    <w:rPr>
                      <w:rFonts w:hint="eastAsia" w:eastAsia="附件" w:cs="Times New Roman"/>
                      <w:color w:val="auto"/>
                      <w:kern w:val="0"/>
                      <w:szCs w:val="21"/>
                      <w:lang w:val="en-US" w:eastAsia="zh-CN"/>
                    </w:rPr>
                    <w:t>3.0</w:t>
                  </w:r>
                </w:p>
              </w:tc>
              <w:tc>
                <w:tcPr>
                  <w:tcW w:w="851"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709" w:type="dxa"/>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c>
                <w:tcPr>
                  <w:tcW w:w="52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eastAsia"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7996" w:type="dxa"/>
                  <w:gridSpan w:val="10"/>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both"/>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lang w:val="en-US" w:eastAsia="zh-CN"/>
                    </w:rPr>
                    <w:t>S1、S2、S3执行《土壤环境质量 建设用地土壤污染风险管控标准（试行）》（GB36600-2018）第二类用地筛选值。</w:t>
                  </w:r>
                </w:p>
              </w:tc>
            </w:tr>
          </w:tbl>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Cs w:val="21"/>
              </w:rPr>
            </w:pPr>
            <w:r>
              <w:rPr>
                <w:rFonts w:hint="default" w:ascii="Times New Roman" w:hAnsi="Times New Roman" w:cs="Times New Roman"/>
                <w:b/>
                <w:bCs/>
                <w:color w:val="auto"/>
                <w:kern w:val="0"/>
                <w:szCs w:val="21"/>
              </w:rPr>
              <w:t>S5、S6土壤环境现状监测及评价结果     单位：mg/kg</w:t>
            </w:r>
          </w:p>
          <w:tbl>
            <w:tblPr>
              <w:tblStyle w:val="44"/>
              <w:tblW w:w="803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27"/>
              <w:gridCol w:w="1376"/>
              <w:gridCol w:w="1030"/>
              <w:gridCol w:w="860"/>
              <w:gridCol w:w="1490"/>
              <w:gridCol w:w="841"/>
              <w:gridCol w:w="850"/>
              <w:gridCol w:w="105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069" w:hRule="atLeast"/>
                <w:tblHeader/>
                <w:jc w:val="center"/>
              </w:trPr>
              <w:tc>
                <w:tcPr>
                  <w:tcW w:w="527" w:type="dxa"/>
                  <w:tcBorders>
                    <w:tl2br w:val="nil"/>
                    <w:tr2bl w:val="nil"/>
                  </w:tcBorders>
                  <w:vAlign w:val="center"/>
                </w:tcPr>
                <w:p>
                  <w:pPr>
                    <w:keepNext w:val="0"/>
                    <w:keepLines w:val="0"/>
                    <w:suppressLineNumbers w:val="0"/>
                    <w:autoSpaceDE w:val="0"/>
                    <w:autoSpaceDN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编号</w:t>
                  </w:r>
                </w:p>
              </w:tc>
              <w:tc>
                <w:tcPr>
                  <w:tcW w:w="1376"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因子</w:t>
                  </w:r>
                </w:p>
              </w:tc>
              <w:tc>
                <w:tcPr>
                  <w:tcW w:w="103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S5</w:t>
                  </w:r>
                </w:p>
              </w:tc>
              <w:tc>
                <w:tcPr>
                  <w:tcW w:w="86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S6</w:t>
                  </w:r>
                </w:p>
              </w:tc>
              <w:tc>
                <w:tcPr>
                  <w:tcW w:w="149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标准值</w:t>
                  </w:r>
                </w:p>
              </w:tc>
              <w:tc>
                <w:tcPr>
                  <w:tcW w:w="841"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S5</w:t>
                  </w:r>
                </w:p>
              </w:tc>
              <w:tc>
                <w:tcPr>
                  <w:tcW w:w="85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S6</w:t>
                  </w:r>
                </w:p>
              </w:tc>
              <w:tc>
                <w:tcPr>
                  <w:tcW w:w="1056"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超标率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w:t>
                  </w:r>
                </w:p>
              </w:tc>
              <w:tc>
                <w:tcPr>
                  <w:tcW w:w="1376"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pH</w:t>
                  </w:r>
                </w:p>
              </w:tc>
              <w:tc>
                <w:tcPr>
                  <w:tcW w:w="1030" w:type="dxa"/>
                  <w:tcBorders>
                    <w:tl2br w:val="nil"/>
                    <w:tr2bl w:val="nil"/>
                  </w:tcBorders>
                  <w:shd w:val="clear" w:color="auto" w:fill="auto"/>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pacing w:val="-6"/>
                      <w:kern w:val="2"/>
                      <w:sz w:val="21"/>
                      <w:szCs w:val="21"/>
                      <w:highlight w:val="none"/>
                      <w:lang w:val="en-US" w:eastAsia="zh-CN" w:bidi="ar-SA"/>
                    </w:rPr>
                  </w:pPr>
                  <w:r>
                    <w:rPr>
                      <w:rFonts w:hint="eastAsia" w:cs="Times New Roman"/>
                      <w:bCs/>
                      <w:color w:val="auto"/>
                      <w:sz w:val="21"/>
                      <w:szCs w:val="21"/>
                      <w:lang w:val="en-US" w:eastAsia="zh-CN"/>
                    </w:rPr>
                    <w:t>*</w:t>
                  </w:r>
                </w:p>
              </w:tc>
              <w:tc>
                <w:tcPr>
                  <w:tcW w:w="86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lang w:val="en-US" w:eastAsia="zh-CN"/>
                    </w:rPr>
                  </w:pPr>
                  <w:r>
                    <w:rPr>
                      <w:rFonts w:hint="eastAsia" w:cs="Times New Roman"/>
                      <w:bCs/>
                      <w:color w:val="auto"/>
                      <w:sz w:val="21"/>
                      <w:szCs w:val="21"/>
                      <w:lang w:val="en-US" w:eastAsia="zh-CN"/>
                    </w:rPr>
                    <w:t>*</w:t>
                  </w:r>
                </w:p>
              </w:tc>
              <w:tc>
                <w:tcPr>
                  <w:tcW w:w="149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4500</w:t>
                  </w:r>
                </w:p>
              </w:tc>
              <w:tc>
                <w:tcPr>
                  <w:tcW w:w="84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1056"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w:t>
                  </w:r>
                </w:p>
              </w:tc>
              <w:tc>
                <w:tcPr>
                  <w:tcW w:w="1376"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石油烃（C10-C40）</w:t>
                  </w:r>
                </w:p>
              </w:tc>
              <w:tc>
                <w:tcPr>
                  <w:tcW w:w="1030" w:type="dxa"/>
                  <w:tcBorders>
                    <w:tl2br w:val="nil"/>
                    <w:tr2bl w:val="nil"/>
                  </w:tcBorders>
                  <w:shd w:val="clear" w:color="auto" w:fill="auto"/>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pacing w:val="-6"/>
                      <w:kern w:val="2"/>
                      <w:sz w:val="21"/>
                      <w:szCs w:val="21"/>
                      <w:highlight w:val="none"/>
                      <w:lang w:val="en-US" w:eastAsia="zh-CN" w:bidi="ar-SA"/>
                    </w:rPr>
                  </w:pPr>
                  <w:r>
                    <w:rPr>
                      <w:rFonts w:hint="eastAsia" w:cs="Times New Roman"/>
                      <w:bCs/>
                      <w:color w:val="auto"/>
                      <w:sz w:val="21"/>
                      <w:szCs w:val="21"/>
                      <w:lang w:val="en-US" w:eastAsia="zh-CN"/>
                    </w:rPr>
                    <w:t>*</w:t>
                  </w:r>
                </w:p>
              </w:tc>
              <w:tc>
                <w:tcPr>
                  <w:tcW w:w="86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149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4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1056"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3</w:t>
                  </w:r>
                </w:p>
              </w:tc>
              <w:tc>
                <w:tcPr>
                  <w:tcW w:w="1376" w:type="dxa"/>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硫化物</w:t>
                  </w:r>
                </w:p>
              </w:tc>
              <w:tc>
                <w:tcPr>
                  <w:tcW w:w="1030" w:type="dxa"/>
                  <w:tcBorders>
                    <w:tl2br w:val="nil"/>
                    <w:tr2bl w:val="nil"/>
                  </w:tcBorders>
                  <w:shd w:val="clear" w:color="auto" w:fill="auto"/>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pacing w:val="-6"/>
                      <w:kern w:val="2"/>
                      <w:sz w:val="21"/>
                      <w:szCs w:val="21"/>
                      <w:highlight w:val="none"/>
                      <w:lang w:val="en-US" w:eastAsia="zh-CN" w:bidi="ar-SA"/>
                    </w:rPr>
                  </w:pPr>
                  <w:r>
                    <w:rPr>
                      <w:rFonts w:hint="eastAsia" w:cs="Times New Roman"/>
                      <w:bCs/>
                      <w:color w:val="auto"/>
                      <w:sz w:val="21"/>
                      <w:szCs w:val="21"/>
                      <w:lang w:val="en-US" w:eastAsia="zh-CN"/>
                    </w:rPr>
                    <w:t>*</w:t>
                  </w:r>
                </w:p>
              </w:tc>
              <w:tc>
                <w:tcPr>
                  <w:tcW w:w="860" w:type="dxa"/>
                  <w:tcBorders>
                    <w:tl2br w:val="nil"/>
                    <w:tr2bl w:val="nil"/>
                  </w:tcBorders>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Cs w:val="21"/>
                      <w:lang w:val="en-US" w:eastAsia="zh-CN"/>
                    </w:rPr>
                  </w:pPr>
                  <w:r>
                    <w:rPr>
                      <w:rFonts w:hint="eastAsia" w:cs="Times New Roman"/>
                      <w:bCs/>
                      <w:color w:val="auto"/>
                      <w:sz w:val="21"/>
                      <w:szCs w:val="21"/>
                      <w:lang w:val="en-US" w:eastAsia="zh-CN"/>
                    </w:rPr>
                    <w:t>*</w:t>
                  </w:r>
                </w:p>
              </w:tc>
              <w:tc>
                <w:tcPr>
                  <w:tcW w:w="1490"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4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8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1056" w:type="dxa"/>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p>
              </w:tc>
              <w:tc>
                <w:tcPr>
                  <w:tcW w:w="1376"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20"/>
                      <w:szCs w:val="21"/>
                      <w:u w:val="none"/>
                      <w:lang w:val="en-US" w:eastAsia="zh-CN" w:bidi="ar"/>
                    </w:rPr>
                  </w:pPr>
                  <w:r>
                    <w:rPr>
                      <w:rStyle w:val="384"/>
                      <w:rFonts w:hint="default" w:ascii="Times New Roman" w:hAnsi="Times New Roman" w:cs="Times New Roman"/>
                      <w:color w:val="auto"/>
                      <w:szCs w:val="21"/>
                      <w:lang w:bidi="ar"/>
                    </w:rPr>
                    <w:t>钡</w:t>
                  </w:r>
                </w:p>
              </w:tc>
              <w:tc>
                <w:tcPr>
                  <w:tcW w:w="1030" w:type="dxa"/>
                  <w:tcBorders>
                    <w:tl2br w:val="nil"/>
                    <w:tr2bl w:val="nil"/>
                  </w:tcBorders>
                  <w:shd w:val="clear" w:color="auto" w:fill="auto"/>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pacing w:val="-6"/>
                      <w:kern w:val="2"/>
                      <w:sz w:val="21"/>
                      <w:szCs w:val="21"/>
                      <w:highlight w:val="none"/>
                      <w:lang w:val="en-US" w:eastAsia="zh-CN" w:bidi="ar-SA"/>
                    </w:rPr>
                  </w:pPr>
                  <w:r>
                    <w:rPr>
                      <w:rFonts w:hint="eastAsia" w:cs="Times New Roman"/>
                      <w:bCs/>
                      <w:color w:val="auto"/>
                      <w:sz w:val="21"/>
                      <w:szCs w:val="21"/>
                      <w:lang w:val="en-US" w:eastAsia="zh-CN"/>
                    </w:rPr>
                    <w:t>*</w:t>
                  </w:r>
                </w:p>
              </w:tc>
              <w:tc>
                <w:tcPr>
                  <w:tcW w:w="860" w:type="dxa"/>
                  <w:tcBorders>
                    <w:tl2br w:val="nil"/>
                    <w:tr2bl w:val="nil"/>
                  </w:tcBorders>
                  <w:shd w:val="clear" w:color="auto" w:fill="auto"/>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1490"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bCs/>
                      <w:color w:val="auto"/>
                      <w:kern w:val="2"/>
                      <w:sz w:val="21"/>
                      <w:szCs w:val="21"/>
                      <w:lang w:val="en-US" w:eastAsia="zh-CN" w:bidi="ar"/>
                    </w:rPr>
                  </w:pPr>
                  <w:r>
                    <w:rPr>
                      <w:rFonts w:hint="default" w:ascii="Times New Roman" w:hAnsi="Times New Roman" w:cs="Times New Roman"/>
                      <w:bCs/>
                      <w:color w:val="auto"/>
                      <w:szCs w:val="21"/>
                      <w:lang w:bidi="ar"/>
                    </w:rPr>
                    <w:t>2766</w:t>
                  </w:r>
                </w:p>
              </w:tc>
              <w:tc>
                <w:tcPr>
                  <w:tcW w:w="841"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0.000 </w:t>
                  </w:r>
                </w:p>
              </w:tc>
              <w:tc>
                <w:tcPr>
                  <w:tcW w:w="850"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0.000 </w:t>
                  </w:r>
                </w:p>
              </w:tc>
              <w:tc>
                <w:tcPr>
                  <w:tcW w:w="1056"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w:t>
                  </w:r>
                </w:p>
              </w:tc>
              <w:tc>
                <w:tcPr>
                  <w:tcW w:w="1376"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20"/>
                      <w:szCs w:val="21"/>
                      <w:u w:val="none"/>
                      <w:lang w:val="en-US" w:eastAsia="zh-CN" w:bidi="ar"/>
                    </w:rPr>
                  </w:pPr>
                  <w:r>
                    <w:rPr>
                      <w:rFonts w:hint="eastAsia" w:ascii="Times New Roman" w:hAnsi="Times New Roman" w:cs="Times New Roman"/>
                      <w:color w:val="auto"/>
                      <w:kern w:val="2"/>
                      <w:sz w:val="20"/>
                      <w:szCs w:val="21"/>
                      <w:u w:val="none"/>
                      <w:lang w:val="en-US" w:eastAsia="zh-CN" w:bidi="ar"/>
                    </w:rPr>
                    <w:t>水溶性盐总量</w:t>
                  </w:r>
                </w:p>
              </w:tc>
              <w:tc>
                <w:tcPr>
                  <w:tcW w:w="1030" w:type="dxa"/>
                  <w:tcBorders>
                    <w:tl2br w:val="nil"/>
                    <w:tr2bl w:val="nil"/>
                  </w:tcBorders>
                  <w:shd w:val="clear" w:color="auto" w:fill="auto"/>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pacing w:val="-6"/>
                      <w:kern w:val="2"/>
                      <w:sz w:val="21"/>
                      <w:szCs w:val="21"/>
                      <w:highlight w:val="none"/>
                      <w:lang w:val="en-US" w:eastAsia="zh-CN" w:bidi="ar-SA"/>
                    </w:rPr>
                  </w:pPr>
                  <w:r>
                    <w:rPr>
                      <w:rFonts w:hint="eastAsia" w:cs="Times New Roman"/>
                      <w:bCs/>
                      <w:color w:val="auto"/>
                      <w:sz w:val="21"/>
                      <w:szCs w:val="21"/>
                      <w:lang w:val="en-US" w:eastAsia="zh-CN"/>
                    </w:rPr>
                    <w:t>*</w:t>
                  </w:r>
                </w:p>
              </w:tc>
              <w:tc>
                <w:tcPr>
                  <w:tcW w:w="860" w:type="dxa"/>
                  <w:tcBorders>
                    <w:tl2br w:val="nil"/>
                    <w:tr2bl w:val="nil"/>
                  </w:tcBorders>
                  <w:shd w:val="clear" w:color="auto" w:fill="auto"/>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1490"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宋体" w:cs="Times New Roman"/>
                      <w:bCs/>
                      <w:color w:val="auto"/>
                      <w:kern w:val="2"/>
                      <w:sz w:val="21"/>
                      <w:szCs w:val="21"/>
                      <w:lang w:val="en-US" w:eastAsia="zh-CN" w:bidi="ar"/>
                    </w:rPr>
                  </w:pPr>
                </w:p>
              </w:tc>
              <w:tc>
                <w:tcPr>
                  <w:tcW w:w="841"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0.002 </w:t>
                  </w:r>
                </w:p>
              </w:tc>
              <w:tc>
                <w:tcPr>
                  <w:tcW w:w="850"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0.001 </w:t>
                  </w:r>
                </w:p>
              </w:tc>
              <w:tc>
                <w:tcPr>
                  <w:tcW w:w="1056"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5</w:t>
                  </w:r>
                </w:p>
              </w:tc>
              <w:tc>
                <w:tcPr>
                  <w:tcW w:w="1376"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附件" w:cs="Times New Roman"/>
                      <w:color w:val="auto"/>
                      <w:kern w:val="2"/>
                      <w:sz w:val="21"/>
                      <w:szCs w:val="21"/>
                      <w:lang w:val="en-US" w:eastAsia="zh-CN" w:bidi="ar-SA"/>
                    </w:rPr>
                  </w:pPr>
                  <w:r>
                    <w:rPr>
                      <w:rStyle w:val="384"/>
                      <w:rFonts w:hint="default" w:ascii="Times New Roman" w:hAnsi="Times New Roman" w:cs="Times New Roman"/>
                      <w:color w:val="auto"/>
                      <w:szCs w:val="21"/>
                      <w:lang w:bidi="ar"/>
                    </w:rPr>
                    <w:t>汞</w:t>
                  </w:r>
                </w:p>
              </w:tc>
              <w:tc>
                <w:tcPr>
                  <w:tcW w:w="1030" w:type="dxa"/>
                  <w:tcBorders>
                    <w:tl2br w:val="nil"/>
                    <w:tr2bl w:val="nil"/>
                  </w:tcBorders>
                  <w:shd w:val="clear" w:color="auto" w:fill="auto"/>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pacing w:val="-6"/>
                      <w:kern w:val="2"/>
                      <w:sz w:val="21"/>
                      <w:szCs w:val="21"/>
                      <w:highlight w:val="none"/>
                      <w:lang w:val="en-US" w:eastAsia="zh-CN" w:bidi="ar-SA"/>
                    </w:rPr>
                  </w:pPr>
                  <w:r>
                    <w:rPr>
                      <w:rFonts w:hint="eastAsia" w:cs="Times New Roman"/>
                      <w:bCs/>
                      <w:color w:val="auto"/>
                      <w:sz w:val="21"/>
                      <w:szCs w:val="21"/>
                      <w:lang w:val="en-US" w:eastAsia="zh-CN"/>
                    </w:rPr>
                    <w:t>*</w:t>
                  </w:r>
                </w:p>
              </w:tc>
              <w:tc>
                <w:tcPr>
                  <w:tcW w:w="860" w:type="dxa"/>
                  <w:tcBorders>
                    <w:tl2br w:val="nil"/>
                    <w:tr2bl w:val="nil"/>
                  </w:tcBorders>
                  <w:shd w:val="clear" w:color="auto" w:fill="auto"/>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1490"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cs="Times New Roman"/>
                      <w:bCs/>
                      <w:color w:val="auto"/>
                      <w:szCs w:val="21"/>
                      <w:lang w:bidi="ar"/>
                    </w:rPr>
                    <w:t>3.4</w:t>
                  </w:r>
                </w:p>
              </w:tc>
              <w:tc>
                <w:tcPr>
                  <w:tcW w:w="841"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0.000 </w:t>
                  </w:r>
                </w:p>
              </w:tc>
              <w:tc>
                <w:tcPr>
                  <w:tcW w:w="850"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0.000 </w:t>
                  </w:r>
                </w:p>
              </w:tc>
              <w:tc>
                <w:tcPr>
                  <w:tcW w:w="1056"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6</w:t>
                  </w:r>
                </w:p>
              </w:tc>
              <w:tc>
                <w:tcPr>
                  <w:tcW w:w="1376"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附件" w:cs="Times New Roman"/>
                      <w:color w:val="auto"/>
                      <w:kern w:val="2"/>
                      <w:sz w:val="21"/>
                      <w:szCs w:val="21"/>
                      <w:lang w:val="en-US" w:eastAsia="zh-CN" w:bidi="ar-SA"/>
                    </w:rPr>
                  </w:pPr>
                  <w:r>
                    <w:rPr>
                      <w:rStyle w:val="384"/>
                      <w:rFonts w:hint="default" w:ascii="Times New Roman" w:hAnsi="Times New Roman" w:cs="Times New Roman"/>
                      <w:color w:val="auto"/>
                      <w:szCs w:val="21"/>
                      <w:lang w:bidi="ar"/>
                    </w:rPr>
                    <w:t>砷</w:t>
                  </w:r>
                </w:p>
              </w:tc>
              <w:tc>
                <w:tcPr>
                  <w:tcW w:w="1030" w:type="dxa"/>
                  <w:tcBorders>
                    <w:tl2br w:val="nil"/>
                    <w:tr2bl w:val="nil"/>
                  </w:tcBorders>
                  <w:shd w:val="clear" w:color="auto" w:fill="auto"/>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pacing w:val="-6"/>
                      <w:kern w:val="2"/>
                      <w:sz w:val="21"/>
                      <w:szCs w:val="21"/>
                      <w:highlight w:val="none"/>
                      <w:lang w:val="en-US" w:eastAsia="zh-CN" w:bidi="ar-SA"/>
                    </w:rPr>
                  </w:pPr>
                  <w:r>
                    <w:rPr>
                      <w:rFonts w:hint="eastAsia" w:cs="Times New Roman"/>
                      <w:bCs/>
                      <w:color w:val="auto"/>
                      <w:sz w:val="21"/>
                      <w:szCs w:val="21"/>
                      <w:lang w:val="en-US" w:eastAsia="zh-CN"/>
                    </w:rPr>
                    <w:t>*</w:t>
                  </w:r>
                </w:p>
              </w:tc>
              <w:tc>
                <w:tcPr>
                  <w:tcW w:w="860" w:type="dxa"/>
                  <w:tcBorders>
                    <w:tl2br w:val="nil"/>
                    <w:tr2bl w:val="nil"/>
                  </w:tcBorders>
                  <w:shd w:val="clear" w:color="auto" w:fill="auto"/>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1490"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cs="Times New Roman"/>
                      <w:bCs/>
                      <w:color w:val="auto"/>
                      <w:szCs w:val="21"/>
                      <w:lang w:bidi="ar"/>
                    </w:rPr>
                    <w:t>25</w:t>
                  </w:r>
                </w:p>
              </w:tc>
              <w:tc>
                <w:tcPr>
                  <w:tcW w:w="841"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0.002 </w:t>
                  </w:r>
                </w:p>
              </w:tc>
              <w:tc>
                <w:tcPr>
                  <w:tcW w:w="850"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0.002 </w:t>
                  </w:r>
                </w:p>
              </w:tc>
              <w:tc>
                <w:tcPr>
                  <w:tcW w:w="1056"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7</w:t>
                  </w:r>
                </w:p>
              </w:tc>
              <w:tc>
                <w:tcPr>
                  <w:tcW w:w="1376"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附件" w:cs="Times New Roman"/>
                      <w:color w:val="auto"/>
                      <w:kern w:val="2"/>
                      <w:sz w:val="21"/>
                      <w:szCs w:val="21"/>
                      <w:lang w:val="en-US" w:eastAsia="zh-CN" w:bidi="ar-SA"/>
                    </w:rPr>
                  </w:pPr>
                  <w:r>
                    <w:rPr>
                      <w:rStyle w:val="384"/>
                      <w:rFonts w:hint="default" w:ascii="Times New Roman" w:hAnsi="Times New Roman" w:cs="Times New Roman"/>
                      <w:color w:val="auto"/>
                      <w:szCs w:val="21"/>
                      <w:lang w:bidi="ar"/>
                    </w:rPr>
                    <w:t>镉</w:t>
                  </w:r>
                </w:p>
              </w:tc>
              <w:tc>
                <w:tcPr>
                  <w:tcW w:w="1030"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860" w:type="dxa"/>
                  <w:tcBorders>
                    <w:tl2br w:val="nil"/>
                    <w:tr2bl w:val="nil"/>
                  </w:tcBorders>
                  <w:shd w:val="clear" w:color="auto" w:fill="auto"/>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1490"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cs="Times New Roman"/>
                      <w:bCs/>
                      <w:color w:val="auto"/>
                      <w:szCs w:val="21"/>
                      <w:lang w:bidi="ar"/>
                    </w:rPr>
                    <w:t>0.6</w:t>
                  </w:r>
                </w:p>
              </w:tc>
              <w:tc>
                <w:tcPr>
                  <w:tcW w:w="841"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w:t>
                  </w:r>
                </w:p>
              </w:tc>
              <w:tc>
                <w:tcPr>
                  <w:tcW w:w="850"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0.000 </w:t>
                  </w:r>
                </w:p>
              </w:tc>
              <w:tc>
                <w:tcPr>
                  <w:tcW w:w="1056"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8</w:t>
                  </w:r>
                </w:p>
              </w:tc>
              <w:tc>
                <w:tcPr>
                  <w:tcW w:w="1376"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附件" w:cs="Times New Roman"/>
                      <w:color w:val="auto"/>
                      <w:kern w:val="2"/>
                      <w:sz w:val="21"/>
                      <w:szCs w:val="21"/>
                      <w:lang w:val="en-US" w:eastAsia="zh-CN" w:bidi="ar"/>
                    </w:rPr>
                  </w:pPr>
                  <w:r>
                    <w:rPr>
                      <w:rStyle w:val="384"/>
                      <w:rFonts w:hint="default" w:ascii="Times New Roman" w:hAnsi="Times New Roman" w:cs="Times New Roman"/>
                      <w:color w:val="auto"/>
                      <w:szCs w:val="21"/>
                      <w:lang w:bidi="ar"/>
                    </w:rPr>
                    <w:t>铅</w:t>
                  </w:r>
                </w:p>
              </w:tc>
              <w:tc>
                <w:tcPr>
                  <w:tcW w:w="1030"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860" w:type="dxa"/>
                  <w:tcBorders>
                    <w:tl2br w:val="nil"/>
                    <w:tr2bl w:val="nil"/>
                  </w:tcBorders>
                  <w:shd w:val="clear" w:color="auto" w:fill="auto"/>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1490"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cs="Times New Roman"/>
                      <w:bCs/>
                      <w:color w:val="auto"/>
                      <w:szCs w:val="21"/>
                      <w:lang w:bidi="ar"/>
                    </w:rPr>
                    <w:t>170</w:t>
                  </w:r>
                </w:p>
              </w:tc>
              <w:tc>
                <w:tcPr>
                  <w:tcW w:w="841"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w:t>
                  </w:r>
                </w:p>
              </w:tc>
              <w:tc>
                <w:tcPr>
                  <w:tcW w:w="850"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0.014 </w:t>
                  </w:r>
                </w:p>
              </w:tc>
              <w:tc>
                <w:tcPr>
                  <w:tcW w:w="1056"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9</w:t>
                  </w:r>
                </w:p>
              </w:tc>
              <w:tc>
                <w:tcPr>
                  <w:tcW w:w="1376"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附件" w:cs="Times New Roman"/>
                      <w:color w:val="auto"/>
                      <w:kern w:val="2"/>
                      <w:sz w:val="21"/>
                      <w:szCs w:val="21"/>
                      <w:lang w:val="en-US" w:eastAsia="zh-CN" w:bidi="ar-SA"/>
                    </w:rPr>
                  </w:pPr>
                  <w:r>
                    <w:rPr>
                      <w:rFonts w:hint="default" w:ascii="Times New Roman" w:hAnsi="Times New Roman" w:cs="Times New Roman"/>
                      <w:color w:val="auto"/>
                      <w:kern w:val="0"/>
                      <w:szCs w:val="21"/>
                      <w:lang w:bidi="ar"/>
                    </w:rPr>
                    <w:t>铬</w:t>
                  </w:r>
                </w:p>
              </w:tc>
              <w:tc>
                <w:tcPr>
                  <w:tcW w:w="1030"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860" w:type="dxa"/>
                  <w:tcBorders>
                    <w:tl2br w:val="nil"/>
                    <w:tr2bl w:val="nil"/>
                  </w:tcBorders>
                  <w:shd w:val="clear" w:color="auto" w:fill="auto"/>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1490"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cs="Times New Roman"/>
                      <w:bCs/>
                      <w:color w:val="auto"/>
                      <w:szCs w:val="21"/>
                      <w:lang w:bidi="ar"/>
                    </w:rPr>
                    <w:t>250</w:t>
                  </w:r>
                </w:p>
              </w:tc>
              <w:tc>
                <w:tcPr>
                  <w:tcW w:w="841"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w:t>
                  </w:r>
                </w:p>
              </w:tc>
              <w:tc>
                <w:tcPr>
                  <w:tcW w:w="850"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0.023 </w:t>
                  </w:r>
                </w:p>
              </w:tc>
              <w:tc>
                <w:tcPr>
                  <w:tcW w:w="1056"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10</w:t>
                  </w:r>
                </w:p>
              </w:tc>
              <w:tc>
                <w:tcPr>
                  <w:tcW w:w="1376"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附件" w:cs="Times New Roman"/>
                      <w:color w:val="auto"/>
                      <w:kern w:val="2"/>
                      <w:sz w:val="21"/>
                      <w:szCs w:val="21"/>
                      <w:lang w:val="en-US" w:eastAsia="zh-CN" w:bidi="ar-SA"/>
                    </w:rPr>
                  </w:pPr>
                  <w:r>
                    <w:rPr>
                      <w:rStyle w:val="384"/>
                      <w:rFonts w:hint="default" w:ascii="Times New Roman" w:hAnsi="Times New Roman" w:cs="Times New Roman"/>
                      <w:color w:val="auto"/>
                      <w:szCs w:val="21"/>
                      <w:lang w:bidi="ar"/>
                    </w:rPr>
                    <w:t>铜</w:t>
                  </w:r>
                </w:p>
              </w:tc>
              <w:tc>
                <w:tcPr>
                  <w:tcW w:w="1030"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860" w:type="dxa"/>
                  <w:tcBorders>
                    <w:tl2br w:val="nil"/>
                    <w:tr2bl w:val="nil"/>
                  </w:tcBorders>
                  <w:shd w:val="clear" w:color="auto" w:fill="auto"/>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1490"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cs="Times New Roman"/>
                      <w:bCs/>
                      <w:color w:val="auto"/>
                      <w:szCs w:val="21"/>
                      <w:lang w:bidi="ar"/>
                    </w:rPr>
                    <w:t>100</w:t>
                  </w:r>
                </w:p>
              </w:tc>
              <w:tc>
                <w:tcPr>
                  <w:tcW w:w="841"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w:t>
                  </w:r>
                </w:p>
              </w:tc>
              <w:tc>
                <w:tcPr>
                  <w:tcW w:w="850"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0.011 </w:t>
                  </w:r>
                </w:p>
              </w:tc>
              <w:tc>
                <w:tcPr>
                  <w:tcW w:w="1056"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11</w:t>
                  </w:r>
                </w:p>
              </w:tc>
              <w:tc>
                <w:tcPr>
                  <w:tcW w:w="1376"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附件" w:cs="Times New Roman"/>
                      <w:color w:val="auto"/>
                      <w:kern w:val="2"/>
                      <w:sz w:val="21"/>
                      <w:szCs w:val="21"/>
                      <w:lang w:val="en-US" w:eastAsia="zh-CN" w:bidi="ar-SA"/>
                    </w:rPr>
                  </w:pPr>
                  <w:r>
                    <w:rPr>
                      <w:rFonts w:hint="default" w:ascii="Times New Roman" w:hAnsi="Times New Roman" w:cs="Times New Roman"/>
                      <w:color w:val="auto"/>
                      <w:szCs w:val="21"/>
                    </w:rPr>
                    <w:t>镍</w:t>
                  </w:r>
                </w:p>
              </w:tc>
              <w:tc>
                <w:tcPr>
                  <w:tcW w:w="1030"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860" w:type="dxa"/>
                  <w:tcBorders>
                    <w:tl2br w:val="nil"/>
                    <w:tr2bl w:val="nil"/>
                  </w:tcBorders>
                  <w:shd w:val="clear" w:color="auto" w:fill="auto"/>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1490"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cs="Times New Roman"/>
                      <w:bCs/>
                      <w:color w:val="auto"/>
                      <w:szCs w:val="21"/>
                      <w:lang w:bidi="ar"/>
                    </w:rPr>
                    <w:t>190</w:t>
                  </w:r>
                </w:p>
              </w:tc>
              <w:tc>
                <w:tcPr>
                  <w:tcW w:w="841"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w:t>
                  </w:r>
                </w:p>
              </w:tc>
              <w:tc>
                <w:tcPr>
                  <w:tcW w:w="850"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0.012 </w:t>
                  </w:r>
                </w:p>
              </w:tc>
              <w:tc>
                <w:tcPr>
                  <w:tcW w:w="1056"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527"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12</w:t>
                  </w:r>
                </w:p>
              </w:tc>
              <w:tc>
                <w:tcPr>
                  <w:tcW w:w="1376"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leftChars="0" w:right="0" w:rightChars="0"/>
                    <w:jc w:val="center"/>
                    <w:rPr>
                      <w:rFonts w:hint="default" w:ascii="Times New Roman" w:hAnsi="Times New Roman" w:eastAsia="附件" w:cs="Times New Roman"/>
                      <w:color w:val="auto"/>
                      <w:kern w:val="2"/>
                      <w:sz w:val="21"/>
                      <w:szCs w:val="21"/>
                      <w:lang w:val="en-US" w:eastAsia="zh-CN" w:bidi="ar-SA"/>
                    </w:rPr>
                  </w:pPr>
                  <w:r>
                    <w:rPr>
                      <w:rFonts w:hint="default" w:ascii="Times New Roman" w:hAnsi="Times New Roman" w:cs="Times New Roman"/>
                      <w:color w:val="auto"/>
                      <w:kern w:val="0"/>
                      <w:szCs w:val="21"/>
                      <w:lang w:bidi="ar"/>
                    </w:rPr>
                    <w:t>锌</w:t>
                  </w:r>
                </w:p>
              </w:tc>
              <w:tc>
                <w:tcPr>
                  <w:tcW w:w="1030"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860" w:type="dxa"/>
                  <w:tcBorders>
                    <w:tl2br w:val="nil"/>
                    <w:tr2bl w:val="nil"/>
                  </w:tcBorders>
                  <w:shd w:val="clear" w:color="auto" w:fill="auto"/>
                  <w:vAlign w:val="center"/>
                </w:tcPr>
                <w:p>
                  <w:pPr>
                    <w:keepNext w:val="0"/>
                    <w:keepLines w:val="0"/>
                    <w:suppressLineNumbers w:val="0"/>
                    <w:spacing w:before="0" w:beforeAutospacing="0" w:after="0" w:afterAutospacing="0" w:line="240" w:lineRule="auto"/>
                    <w:ind w:left="0" w:right="0"/>
                    <w:jc w:val="center"/>
                    <w:rPr>
                      <w:rFonts w:hint="default" w:ascii="Times New Roman" w:hAnsi="Times New Roman" w:eastAsia="附件"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1490"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cs="Times New Roman"/>
                      <w:bCs/>
                      <w:color w:val="auto"/>
                      <w:szCs w:val="21"/>
                      <w:lang w:bidi="ar"/>
                    </w:rPr>
                    <w:t>300</w:t>
                  </w:r>
                </w:p>
              </w:tc>
              <w:tc>
                <w:tcPr>
                  <w:tcW w:w="841"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w:t>
                  </w:r>
                </w:p>
              </w:tc>
              <w:tc>
                <w:tcPr>
                  <w:tcW w:w="850" w:type="dxa"/>
                  <w:tcBorders>
                    <w:tl2br w:val="nil"/>
                    <w:tr2bl w:val="nil"/>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0.025 </w:t>
                  </w:r>
                </w:p>
              </w:tc>
              <w:tc>
                <w:tcPr>
                  <w:tcW w:w="1056" w:type="dxa"/>
                  <w:tcBorders>
                    <w:tl2br w:val="nil"/>
                    <w:tr2bl w:val="nil"/>
                  </w:tcBorders>
                  <w:shd w:val="clear" w:color="auto" w:fill="auto"/>
                  <w:vAlign w:val="center"/>
                </w:tcPr>
                <w:p>
                  <w:pPr>
                    <w:keepNext w:val="0"/>
                    <w:keepLines w:val="0"/>
                    <w:widowControl/>
                    <w:suppressLineNumbers w:val="0"/>
                    <w:adjustRightInd w:val="0"/>
                    <w:snapToGrid w:val="0"/>
                    <w:spacing w:before="0" w:beforeAutospacing="0" w:after="0" w:afterAutospacing="0"/>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3" w:hRule="atLeast"/>
                <w:tblHeader/>
                <w:jc w:val="center"/>
              </w:trPr>
              <w:tc>
                <w:tcPr>
                  <w:tcW w:w="8030" w:type="dxa"/>
                  <w:gridSpan w:val="8"/>
                  <w:tcBorders>
                    <w:tl2br w:val="nil"/>
                    <w:tr2bl w:val="nil"/>
                  </w:tcBorders>
                  <w:vAlign w:val="center"/>
                </w:tcPr>
                <w:p>
                  <w:pPr>
                    <w:keepNext w:val="0"/>
                    <w:keepLines w:val="0"/>
                    <w:widowControl/>
                    <w:suppressLineNumbers w:val="0"/>
                    <w:adjustRightInd w:val="0"/>
                    <w:snapToGrid w:val="0"/>
                    <w:spacing w:before="0" w:beforeAutospacing="0" w:after="0" w:afterAutospacing="0"/>
                    <w:ind w:left="0" w:right="0"/>
                    <w:jc w:val="both"/>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lang w:val="en-US" w:eastAsia="zh-CN"/>
                    </w:rPr>
                    <w:t>S5、S6执行《土壤环境质量 农用地土壤污染风险管控标准（试行）》（GB15618-2018）。</w:t>
                  </w:r>
                </w:p>
              </w:tc>
            </w:tr>
          </w:tbl>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Cs w:val="21"/>
              </w:rPr>
            </w:pPr>
            <w:r>
              <w:rPr>
                <w:rFonts w:hint="default" w:ascii="Times New Roman" w:hAnsi="Times New Roman" w:cs="Times New Roman"/>
                <w:b/>
                <w:bCs/>
                <w:color w:val="auto"/>
                <w:kern w:val="0"/>
                <w:szCs w:val="21"/>
              </w:rPr>
              <w:t>土壤环境现状监测及评价结果（单位：mg/kg，pH无量纲）</w:t>
            </w:r>
          </w:p>
          <w:tbl>
            <w:tblPr>
              <w:tblStyle w:val="44"/>
              <w:tblW w:w="5000"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332"/>
              <w:gridCol w:w="1335"/>
              <w:gridCol w:w="1333"/>
              <w:gridCol w:w="1335"/>
              <w:gridCol w:w="1333"/>
              <w:gridCol w:w="133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369" w:hRule="atLeast"/>
              </w:trPr>
              <w:tc>
                <w:tcPr>
                  <w:tcW w:w="1332" w:type="dxa"/>
                  <w:tcBorders>
                    <w:tl2br w:val="nil"/>
                    <w:tr2bl w:val="nil"/>
                  </w:tcBorders>
                  <w:vAlign w:val="center"/>
                </w:tcPr>
                <w:p>
                  <w:pPr>
                    <w:keepNext w:val="0"/>
                    <w:keepLines w:val="0"/>
                    <w:pageBreakBefore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编号</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因子</w:t>
                  </w:r>
                </w:p>
              </w:tc>
              <w:tc>
                <w:tcPr>
                  <w:tcW w:w="1333"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S4</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标准值</w:t>
                  </w:r>
                </w:p>
              </w:tc>
              <w:tc>
                <w:tcPr>
                  <w:tcW w:w="1333"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最大标准指数值</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超标率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eastAsia="附件" w:cs="Times New Roman"/>
                      <w:color w:val="auto"/>
                      <w:szCs w:val="21"/>
                    </w:rPr>
                    <w:t>pH</w:t>
                  </w:r>
                </w:p>
              </w:tc>
              <w:tc>
                <w:tcPr>
                  <w:tcW w:w="1333"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lang w:val="en-US" w:eastAsia="zh-CN"/>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2</w:t>
                  </w:r>
                </w:p>
              </w:tc>
              <w:tc>
                <w:tcPr>
                  <w:tcW w:w="1335"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2"/>
                      <w:sz w:val="21"/>
                      <w:szCs w:val="21"/>
                      <w:lang w:val="en-US" w:eastAsia="zh-CN" w:bidi="ar-SA"/>
                    </w:rPr>
                  </w:pPr>
                  <w:r>
                    <w:rPr>
                      <w:rFonts w:hint="default" w:ascii="Times New Roman" w:hAnsi="Times New Roman" w:eastAsia="附件" w:cs="Times New Roman"/>
                      <w:color w:val="auto"/>
                      <w:szCs w:val="21"/>
                    </w:rPr>
                    <w:t>镉</w:t>
                  </w:r>
                </w:p>
              </w:tc>
              <w:tc>
                <w:tcPr>
                  <w:tcW w:w="1333"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eastAsia" w:ascii="Times New Roman" w:hAnsi="Times New Roman" w:eastAsia="附件"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1335"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150</w:t>
                  </w:r>
                </w:p>
              </w:tc>
              <w:tc>
                <w:tcPr>
                  <w:tcW w:w="1333"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0.001</w:t>
                  </w:r>
                </w:p>
              </w:tc>
              <w:tc>
                <w:tcPr>
                  <w:tcW w:w="133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3</w:t>
                  </w:r>
                </w:p>
              </w:tc>
              <w:tc>
                <w:tcPr>
                  <w:tcW w:w="1335"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2"/>
                      <w:sz w:val="21"/>
                      <w:szCs w:val="21"/>
                      <w:lang w:val="en-US" w:eastAsia="zh-CN" w:bidi="ar"/>
                    </w:rPr>
                  </w:pPr>
                  <w:r>
                    <w:rPr>
                      <w:rFonts w:hint="default" w:ascii="Times New Roman" w:hAnsi="Times New Roman" w:eastAsia="附件" w:cs="Times New Roman"/>
                      <w:color w:val="auto"/>
                      <w:szCs w:val="21"/>
                    </w:rPr>
                    <w:t>砷</w:t>
                  </w:r>
                </w:p>
              </w:tc>
              <w:tc>
                <w:tcPr>
                  <w:tcW w:w="1333"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eastAsia" w:ascii="Times New Roman" w:hAnsi="Times New Roman" w:eastAsia="附件"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1335"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20</w:t>
                  </w:r>
                </w:p>
              </w:tc>
              <w:tc>
                <w:tcPr>
                  <w:tcW w:w="1333"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0.</w:t>
                  </w:r>
                  <w:r>
                    <w:rPr>
                      <w:rFonts w:hint="eastAsia" w:ascii="Times New Roman" w:hAnsi="Times New Roman" w:eastAsia="附件" w:cs="Times New Roman"/>
                      <w:color w:val="auto"/>
                      <w:kern w:val="0"/>
                      <w:szCs w:val="21"/>
                      <w:lang w:val="en-US" w:eastAsia="zh-CN"/>
                    </w:rPr>
                    <w:t>197</w:t>
                  </w:r>
                </w:p>
              </w:tc>
              <w:tc>
                <w:tcPr>
                  <w:tcW w:w="133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4</w:t>
                  </w:r>
                </w:p>
              </w:tc>
              <w:tc>
                <w:tcPr>
                  <w:tcW w:w="1335"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2"/>
                      <w:sz w:val="21"/>
                      <w:szCs w:val="21"/>
                      <w:lang w:val="en-US" w:eastAsia="zh-CN" w:bidi="ar-SA"/>
                    </w:rPr>
                  </w:pPr>
                  <w:r>
                    <w:rPr>
                      <w:rFonts w:hint="default" w:ascii="Times New Roman" w:hAnsi="Times New Roman" w:eastAsia="附件" w:cs="Times New Roman"/>
                      <w:color w:val="auto"/>
                      <w:szCs w:val="21"/>
                    </w:rPr>
                    <w:t>汞</w:t>
                  </w:r>
                </w:p>
              </w:tc>
              <w:tc>
                <w:tcPr>
                  <w:tcW w:w="1333"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eastAsia" w:ascii="Times New Roman" w:hAnsi="Times New Roman" w:eastAsia="附件"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1335"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8</w:t>
                  </w:r>
                </w:p>
              </w:tc>
              <w:tc>
                <w:tcPr>
                  <w:tcW w:w="1333"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textAlignment w:val="center"/>
                    <w:rPr>
                      <w:rFonts w:hint="eastAsia"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0.0</w:t>
                  </w:r>
                  <w:r>
                    <w:rPr>
                      <w:rFonts w:hint="eastAsia" w:ascii="Times New Roman" w:hAnsi="Times New Roman" w:eastAsia="附件" w:cs="Times New Roman"/>
                      <w:color w:val="auto"/>
                      <w:kern w:val="0"/>
                      <w:szCs w:val="21"/>
                      <w:lang w:val="en-US" w:eastAsia="zh-CN"/>
                    </w:rPr>
                    <w:t>3</w:t>
                  </w:r>
                </w:p>
              </w:tc>
              <w:tc>
                <w:tcPr>
                  <w:tcW w:w="133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5</w:t>
                  </w:r>
                </w:p>
              </w:tc>
              <w:tc>
                <w:tcPr>
                  <w:tcW w:w="1335"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2"/>
                      <w:sz w:val="21"/>
                      <w:szCs w:val="21"/>
                      <w:lang w:val="en-US" w:eastAsia="zh-CN" w:bidi="ar-SA"/>
                    </w:rPr>
                  </w:pPr>
                  <w:r>
                    <w:rPr>
                      <w:rFonts w:hint="default" w:ascii="Times New Roman" w:hAnsi="Times New Roman" w:eastAsia="附件" w:cs="Times New Roman"/>
                      <w:color w:val="auto"/>
                      <w:szCs w:val="21"/>
                    </w:rPr>
                    <w:t>六价铬</w:t>
                  </w:r>
                </w:p>
              </w:tc>
              <w:tc>
                <w:tcPr>
                  <w:tcW w:w="1333"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eastAsia" w:ascii="Times New Roman" w:hAnsi="Times New Roman" w:eastAsia="附件"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1335"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3.0</w:t>
                  </w:r>
                </w:p>
              </w:tc>
              <w:tc>
                <w:tcPr>
                  <w:tcW w:w="1333"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w:t>
                  </w:r>
                </w:p>
              </w:tc>
              <w:tc>
                <w:tcPr>
                  <w:tcW w:w="133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6</w:t>
                  </w:r>
                </w:p>
              </w:tc>
              <w:tc>
                <w:tcPr>
                  <w:tcW w:w="1335"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2"/>
                      <w:sz w:val="21"/>
                      <w:szCs w:val="21"/>
                      <w:lang w:val="en-US" w:eastAsia="zh-CN" w:bidi="ar-SA"/>
                    </w:rPr>
                  </w:pPr>
                  <w:r>
                    <w:rPr>
                      <w:rFonts w:hint="default" w:ascii="Times New Roman" w:hAnsi="Times New Roman" w:eastAsia="附件" w:cs="Times New Roman"/>
                      <w:color w:val="auto"/>
                      <w:szCs w:val="21"/>
                    </w:rPr>
                    <w:t>铅</w:t>
                  </w:r>
                </w:p>
              </w:tc>
              <w:tc>
                <w:tcPr>
                  <w:tcW w:w="1333"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eastAsia" w:ascii="Times New Roman" w:hAnsi="Times New Roman" w:eastAsia="附件"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1335"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2000</w:t>
                  </w:r>
                </w:p>
              </w:tc>
              <w:tc>
                <w:tcPr>
                  <w:tcW w:w="1333"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textAlignment w:val="center"/>
                    <w:rPr>
                      <w:rFonts w:hint="eastAsia"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0.0</w:t>
                  </w:r>
                  <w:r>
                    <w:rPr>
                      <w:rFonts w:hint="eastAsia" w:ascii="Times New Roman" w:hAnsi="Times New Roman" w:eastAsia="附件" w:cs="Times New Roman"/>
                      <w:color w:val="auto"/>
                      <w:kern w:val="0"/>
                      <w:szCs w:val="21"/>
                      <w:lang w:val="en-US" w:eastAsia="zh-CN"/>
                    </w:rPr>
                    <w:t>1</w:t>
                  </w:r>
                </w:p>
              </w:tc>
              <w:tc>
                <w:tcPr>
                  <w:tcW w:w="133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7</w:t>
                  </w:r>
                </w:p>
              </w:tc>
              <w:tc>
                <w:tcPr>
                  <w:tcW w:w="1335"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2"/>
                      <w:sz w:val="21"/>
                      <w:szCs w:val="21"/>
                      <w:lang w:val="en-US" w:eastAsia="zh-CN" w:bidi="ar-SA"/>
                    </w:rPr>
                  </w:pPr>
                  <w:r>
                    <w:rPr>
                      <w:rFonts w:hint="default" w:ascii="Times New Roman" w:hAnsi="Times New Roman" w:eastAsia="附件" w:cs="Times New Roman"/>
                      <w:color w:val="auto"/>
                      <w:szCs w:val="21"/>
                    </w:rPr>
                    <w:t>铜</w:t>
                  </w:r>
                </w:p>
              </w:tc>
              <w:tc>
                <w:tcPr>
                  <w:tcW w:w="1333"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eastAsia" w:ascii="Times New Roman" w:hAnsi="Times New Roman" w:eastAsia="附件"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1335"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120</w:t>
                  </w:r>
                </w:p>
              </w:tc>
              <w:tc>
                <w:tcPr>
                  <w:tcW w:w="1333"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0.22</w:t>
                  </w:r>
                </w:p>
              </w:tc>
              <w:tc>
                <w:tcPr>
                  <w:tcW w:w="133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8</w:t>
                  </w:r>
                </w:p>
              </w:tc>
              <w:tc>
                <w:tcPr>
                  <w:tcW w:w="1335"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2"/>
                      <w:sz w:val="21"/>
                      <w:szCs w:val="21"/>
                      <w:lang w:val="en-US" w:eastAsia="zh-CN" w:bidi="ar-SA"/>
                    </w:rPr>
                  </w:pPr>
                  <w:r>
                    <w:rPr>
                      <w:rFonts w:hint="default" w:ascii="Times New Roman" w:hAnsi="Times New Roman" w:eastAsia="附件" w:cs="Times New Roman"/>
                      <w:color w:val="auto"/>
                      <w:szCs w:val="21"/>
                    </w:rPr>
                    <w:t>镍</w:t>
                  </w:r>
                </w:p>
              </w:tc>
              <w:tc>
                <w:tcPr>
                  <w:tcW w:w="1333"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eastAsia" w:ascii="Times New Roman" w:hAnsi="Times New Roman" w:eastAsia="附件"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1335"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400</w:t>
                  </w:r>
                </w:p>
              </w:tc>
              <w:tc>
                <w:tcPr>
                  <w:tcW w:w="1333"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0.</w:t>
                  </w:r>
                  <w:r>
                    <w:rPr>
                      <w:rFonts w:hint="eastAsia" w:ascii="Times New Roman" w:hAnsi="Times New Roman" w:eastAsia="附件" w:cs="Times New Roman"/>
                      <w:color w:val="auto"/>
                      <w:kern w:val="0"/>
                      <w:szCs w:val="21"/>
                      <w:lang w:val="en-US" w:eastAsia="zh-CN"/>
                    </w:rPr>
                    <w:t>06</w:t>
                  </w:r>
                </w:p>
              </w:tc>
              <w:tc>
                <w:tcPr>
                  <w:tcW w:w="133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9</w:t>
                  </w:r>
                </w:p>
              </w:tc>
              <w:tc>
                <w:tcPr>
                  <w:tcW w:w="1335"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2"/>
                      <w:sz w:val="21"/>
                      <w:szCs w:val="21"/>
                      <w:lang w:val="en-US" w:eastAsia="zh-CN" w:bidi="ar-SA"/>
                    </w:rPr>
                  </w:pPr>
                  <w:r>
                    <w:rPr>
                      <w:rFonts w:hint="default" w:ascii="Times New Roman" w:hAnsi="Times New Roman" w:eastAsia="附件" w:cs="Times New Roman"/>
                      <w:color w:val="auto"/>
                      <w:szCs w:val="21"/>
                    </w:rPr>
                    <w:t>石油烃（C</w:t>
                  </w:r>
                  <w:r>
                    <w:rPr>
                      <w:rFonts w:hint="default" w:ascii="Times New Roman" w:hAnsi="Times New Roman" w:eastAsia="附件" w:cs="Times New Roman"/>
                      <w:color w:val="auto"/>
                      <w:szCs w:val="21"/>
                      <w:vertAlign w:val="subscript"/>
                    </w:rPr>
                    <w:t>10</w:t>
                  </w:r>
                  <w:r>
                    <w:rPr>
                      <w:rFonts w:hint="default" w:ascii="Times New Roman" w:hAnsi="Times New Roman" w:eastAsia="附件" w:cs="Times New Roman"/>
                      <w:color w:val="auto"/>
                      <w:szCs w:val="21"/>
                    </w:rPr>
                    <w:t>-C</w:t>
                  </w:r>
                  <w:r>
                    <w:rPr>
                      <w:rFonts w:hint="default" w:ascii="Times New Roman" w:hAnsi="Times New Roman" w:eastAsia="附件" w:cs="Times New Roman"/>
                      <w:color w:val="auto"/>
                      <w:szCs w:val="21"/>
                      <w:vertAlign w:val="subscript"/>
                    </w:rPr>
                    <w:t>40</w:t>
                  </w:r>
                  <w:r>
                    <w:rPr>
                      <w:rFonts w:hint="default" w:ascii="Times New Roman" w:hAnsi="Times New Roman" w:eastAsia="附件" w:cs="Times New Roman"/>
                      <w:color w:val="auto"/>
                      <w:szCs w:val="21"/>
                    </w:rPr>
                    <w:t>）</w:t>
                  </w:r>
                </w:p>
              </w:tc>
              <w:tc>
                <w:tcPr>
                  <w:tcW w:w="1333"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eastAsia" w:ascii="Times New Roman" w:hAnsi="Times New Roman" w:eastAsia="附件"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1335"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4500</w:t>
                  </w:r>
                </w:p>
              </w:tc>
              <w:tc>
                <w:tcPr>
                  <w:tcW w:w="1333"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eastAsia" w:ascii="Times New Roman" w:hAnsi="Times New Roman" w:eastAsia="附件" w:cs="Times New Roman"/>
                      <w:color w:val="auto"/>
                      <w:kern w:val="0"/>
                      <w:sz w:val="21"/>
                      <w:szCs w:val="21"/>
                      <w:lang w:val="en-US" w:eastAsia="zh-CN" w:bidi="ar-SA"/>
                    </w:rPr>
                    <w:t>0.002</w:t>
                  </w:r>
                </w:p>
              </w:tc>
              <w:tc>
                <w:tcPr>
                  <w:tcW w:w="133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10</w:t>
                  </w:r>
                </w:p>
              </w:tc>
              <w:tc>
                <w:tcPr>
                  <w:tcW w:w="1335"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rPr>
                      <w:rFonts w:hint="eastAsia" w:ascii="Times New Roman" w:hAnsi="Times New Roman" w:eastAsia="附件" w:cs="Times New Roman"/>
                      <w:color w:val="auto"/>
                      <w:szCs w:val="21"/>
                      <w:lang w:val="en-US" w:eastAsia="zh-CN"/>
                    </w:rPr>
                  </w:pPr>
                  <w:r>
                    <w:rPr>
                      <w:rFonts w:hint="eastAsia" w:ascii="Times New Roman" w:hAnsi="Times New Roman" w:eastAsia="附件" w:cs="Times New Roman"/>
                      <w:color w:val="auto"/>
                      <w:szCs w:val="21"/>
                      <w:lang w:val="en-US" w:eastAsia="zh-CN"/>
                    </w:rPr>
                    <w:t>硫化物</w:t>
                  </w:r>
                </w:p>
              </w:tc>
              <w:tc>
                <w:tcPr>
                  <w:tcW w:w="1333"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eastAsia" w:eastAsia="附件" w:cs="Times New Roman"/>
                      <w:color w:val="auto"/>
                      <w:kern w:val="0"/>
                      <w:szCs w:val="21"/>
                      <w:lang w:val="en-US" w:eastAsia="zh-CN"/>
                    </w:rPr>
                  </w:pPr>
                  <w:r>
                    <w:rPr>
                      <w:rFonts w:hint="eastAsia" w:cs="Times New Roman"/>
                      <w:bCs/>
                      <w:color w:val="auto"/>
                      <w:sz w:val="21"/>
                      <w:szCs w:val="21"/>
                      <w:lang w:val="en-US" w:eastAsia="zh-CN"/>
                    </w:rPr>
                    <w:t>*</w:t>
                  </w:r>
                </w:p>
              </w:tc>
              <w:tc>
                <w:tcPr>
                  <w:tcW w:w="1335"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eastAsia" w:ascii="Times New Roman" w:hAnsi="Times New Roman" w:eastAsia="附件" w:cs="Times New Roman"/>
                      <w:color w:val="auto"/>
                      <w:kern w:val="0"/>
                      <w:szCs w:val="21"/>
                      <w:lang w:val="en-US" w:eastAsia="zh-CN"/>
                    </w:rPr>
                  </w:pPr>
                  <w:r>
                    <w:rPr>
                      <w:rFonts w:hint="eastAsia" w:ascii="Times New Roman" w:hAnsi="Times New Roman" w:eastAsia="附件" w:cs="Times New Roman"/>
                      <w:color w:val="auto"/>
                      <w:kern w:val="0"/>
                      <w:szCs w:val="21"/>
                      <w:lang w:val="en-US" w:eastAsia="zh-CN"/>
                    </w:rPr>
                    <w:t>/</w:t>
                  </w:r>
                </w:p>
              </w:tc>
              <w:tc>
                <w:tcPr>
                  <w:tcW w:w="1333"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leftChars="0" w:right="0" w:rightChars="0"/>
                    <w:jc w:val="center"/>
                    <w:rPr>
                      <w:rFonts w:hint="eastAsia" w:ascii="Times New Roman" w:hAnsi="Times New Roman" w:eastAsia="附件" w:cs="Times New Roman"/>
                      <w:color w:val="auto"/>
                      <w:kern w:val="0"/>
                      <w:szCs w:val="21"/>
                      <w:lang w:val="en-US" w:eastAsia="zh-CN"/>
                    </w:rPr>
                  </w:pPr>
                  <w:r>
                    <w:rPr>
                      <w:rFonts w:hint="eastAsia" w:ascii="Times New Roman" w:hAnsi="Times New Roman" w:eastAsia="附件" w:cs="Times New Roman"/>
                      <w:color w:val="auto"/>
                      <w:kern w:val="0"/>
                      <w:szCs w:val="21"/>
                      <w:lang w:val="en-US" w:eastAsia="zh-CN"/>
                    </w:rPr>
                    <w:t>/</w:t>
                  </w:r>
                </w:p>
              </w:tc>
              <w:tc>
                <w:tcPr>
                  <w:tcW w:w="133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11</w:t>
                  </w:r>
                </w:p>
              </w:tc>
              <w:tc>
                <w:tcPr>
                  <w:tcW w:w="1335"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2"/>
                      <w:sz w:val="21"/>
                      <w:szCs w:val="21"/>
                      <w:lang w:val="en-US" w:eastAsia="zh-CN" w:bidi="ar-SA"/>
                    </w:rPr>
                  </w:pPr>
                  <w:r>
                    <w:rPr>
                      <w:rFonts w:hint="default" w:ascii="Times New Roman" w:hAnsi="Times New Roman" w:eastAsia="附件" w:cs="Times New Roman"/>
                      <w:color w:val="auto"/>
                      <w:szCs w:val="21"/>
                    </w:rPr>
                    <w:t>钡</w:t>
                  </w:r>
                </w:p>
              </w:tc>
              <w:tc>
                <w:tcPr>
                  <w:tcW w:w="1333"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1335"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w:t>
                  </w:r>
                </w:p>
              </w:tc>
              <w:tc>
                <w:tcPr>
                  <w:tcW w:w="1333"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w:t>
                  </w:r>
                </w:p>
              </w:tc>
              <w:tc>
                <w:tcPr>
                  <w:tcW w:w="133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12</w:t>
                  </w:r>
                </w:p>
              </w:tc>
              <w:tc>
                <w:tcPr>
                  <w:tcW w:w="1335"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2"/>
                      <w:sz w:val="21"/>
                      <w:szCs w:val="21"/>
                      <w:lang w:val="en-US" w:eastAsia="zh-CN" w:bidi="ar-SA"/>
                    </w:rPr>
                  </w:pPr>
                  <w:r>
                    <w:rPr>
                      <w:rFonts w:hint="eastAsia" w:ascii="Times New Roman" w:hAnsi="Times New Roman" w:eastAsia="附件" w:cs="Times New Roman"/>
                      <w:color w:val="auto"/>
                      <w:kern w:val="2"/>
                      <w:sz w:val="21"/>
                      <w:szCs w:val="21"/>
                      <w:lang w:val="en-US" w:eastAsia="zh-CN" w:bidi="ar-SA"/>
                    </w:rPr>
                    <w:t>水溶性盐总量</w:t>
                  </w:r>
                </w:p>
              </w:tc>
              <w:tc>
                <w:tcPr>
                  <w:tcW w:w="1333"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kern w:val="0"/>
                      <w:sz w:val="21"/>
                      <w:szCs w:val="21"/>
                      <w:lang w:val="en-US" w:eastAsia="zh-CN" w:bidi="ar-SA"/>
                    </w:rPr>
                  </w:pPr>
                  <w:r>
                    <w:rPr>
                      <w:rFonts w:hint="eastAsia" w:cs="Times New Roman"/>
                      <w:bCs/>
                      <w:color w:val="auto"/>
                      <w:sz w:val="21"/>
                      <w:szCs w:val="21"/>
                      <w:lang w:val="en-US" w:eastAsia="zh-CN"/>
                    </w:rPr>
                    <w:t>*</w:t>
                  </w:r>
                </w:p>
              </w:tc>
              <w:tc>
                <w:tcPr>
                  <w:tcW w:w="1335"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w:t>
                  </w:r>
                </w:p>
              </w:tc>
              <w:tc>
                <w:tcPr>
                  <w:tcW w:w="1333"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w:t>
                  </w:r>
                </w:p>
              </w:tc>
              <w:tc>
                <w:tcPr>
                  <w:tcW w:w="1339" w:type="dxa"/>
                  <w:tcBorders>
                    <w:tl2br w:val="nil"/>
                    <w:tr2bl w:val="nil"/>
                  </w:tcBorders>
                  <w:shd w:val="clear" w:color="auto" w:fill="auto"/>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textAlignment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13</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氯甲烷</w:t>
                  </w:r>
                </w:p>
              </w:tc>
              <w:tc>
                <w:tcPr>
                  <w:tcW w:w="1333"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12</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14</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氯乙烯</w:t>
                  </w:r>
                </w:p>
              </w:tc>
              <w:tc>
                <w:tcPr>
                  <w:tcW w:w="1333"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0.12</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15</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1,1-二氯乙烯</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12</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16</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二氯甲烷</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94</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17</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反式-1,2-二氯乙烯</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10</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18</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1,1-二氯乙烷</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3</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19</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顺式-1,2-二氯乙烯</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66</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20</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氯仿</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0.3</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21</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1,1,1-三氯乙烷</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701</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22</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四氯化碳</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0.9</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23</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苯</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24</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1,2-二氯乙烷</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0.52</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25</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三氯乙烯</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0.7</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26</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1,2-二氯丙烷</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27</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甲苯</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1200</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28</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1,1,2-三氯乙烷</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0.6</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29</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四氯乙烯</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11</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30</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氯苯</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68</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31</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乙苯</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7.2</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32</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1,1,1,2-四氯乙烷</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2.6</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33</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间，对-二甲苯</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163</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34</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邻-二甲苯</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222</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35</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苯乙烯</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1290</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36</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1,1,2,2-四氯乙烷</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1.6</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37</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1,2,3-三氯丙烷</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0.05</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38</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1,4-二氯苯</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5.6</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39</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szCs w:val="21"/>
                    </w:rPr>
                    <w:t>1,2-二氯苯</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560</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40</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苯胺</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92</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41</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2-氯酚</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250</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42</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硝基苯</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34</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43</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萘</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25</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44</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苯并[a]蒽</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5.5</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45</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䓛</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490</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46</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苯并[b]荧蒽</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5.5</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47</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苯并[k]荧蒽</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55</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48</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苯并[a]芘</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0.55</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shd w:val="clear" w:color="auto" w:fill="auto"/>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leftChars="0" w:right="0" w:rightChars="0"/>
                    <w:jc w:val="center"/>
                    <w:rPr>
                      <w:rFonts w:hint="default" w:ascii="Times New Roman" w:hAnsi="Times New Roman" w:eastAsia="附件" w:cs="Times New Roman"/>
                      <w:color w:val="auto"/>
                      <w:kern w:val="0"/>
                      <w:sz w:val="21"/>
                      <w:szCs w:val="21"/>
                      <w:lang w:val="en-US" w:eastAsia="zh-CN" w:bidi="ar-SA"/>
                    </w:rPr>
                  </w:pPr>
                  <w:r>
                    <w:rPr>
                      <w:rFonts w:hint="default" w:ascii="Times New Roman" w:hAnsi="Times New Roman" w:eastAsia="附件" w:cs="Times New Roman"/>
                      <w:color w:val="auto"/>
                      <w:kern w:val="0"/>
                      <w:szCs w:val="21"/>
                    </w:rPr>
                    <w:t>49</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茚并[1,2,3-cd]芘</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5.5</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1332" w:type="dxa"/>
                  <w:tcBorders>
                    <w:tl2br w:val="nil"/>
                    <w:tr2bl w:val="nil"/>
                  </w:tcBorders>
                  <w:vAlign w:val="center"/>
                </w:tcPr>
                <w:p>
                  <w:pPr>
                    <w:keepNext w:val="0"/>
                    <w:keepLines w:val="0"/>
                    <w:pageBreakBefore w:val="0"/>
                    <w:suppressLineNumbers w:val="0"/>
                    <w:kinsoku/>
                    <w:wordWrap/>
                    <w:overflowPunct/>
                    <w:topLinePunct w:val="0"/>
                    <w:bidi w:val="0"/>
                    <w:adjustRightInd w:val="0"/>
                    <w:snapToGrid w:val="0"/>
                    <w:spacing w:before="0" w:beforeAutospacing="0" w:after="0" w:afterAutospacing="0" w:line="240" w:lineRule="auto"/>
                    <w:ind w:left="0" w:right="0"/>
                    <w:jc w:val="center"/>
                    <w:rPr>
                      <w:rFonts w:hint="default" w:ascii="Times New Roman" w:hAnsi="Times New Roman" w:eastAsia="附件" w:cs="Times New Roman"/>
                      <w:color w:val="auto"/>
                      <w:kern w:val="0"/>
                      <w:szCs w:val="21"/>
                      <w:lang w:val="en-US" w:eastAsia="zh-CN"/>
                    </w:rPr>
                  </w:pPr>
                  <w:r>
                    <w:rPr>
                      <w:rFonts w:hint="eastAsia" w:eastAsia="附件" w:cs="Times New Roman"/>
                      <w:color w:val="auto"/>
                      <w:kern w:val="0"/>
                      <w:szCs w:val="21"/>
                      <w:lang w:val="en-US" w:eastAsia="zh-CN"/>
                    </w:rPr>
                    <w:t>50</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eastAsia="附件" w:cs="Times New Roman"/>
                      <w:color w:val="auto"/>
                      <w:szCs w:val="21"/>
                    </w:rPr>
                  </w:pPr>
                  <w:r>
                    <w:rPr>
                      <w:rFonts w:hint="default" w:ascii="Times New Roman" w:hAnsi="Times New Roman" w:cs="Times New Roman"/>
                      <w:color w:val="auto"/>
                      <w:kern w:val="0"/>
                      <w:szCs w:val="21"/>
                      <w:lang w:bidi="ar"/>
                    </w:rPr>
                    <w:t>二苯并[a,h]蒽</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eastAsia" w:cs="Times New Roman"/>
                      <w:bCs/>
                      <w:color w:val="auto"/>
                      <w:sz w:val="21"/>
                      <w:szCs w:val="21"/>
                      <w:lang w:val="en-US" w:eastAsia="zh-CN"/>
                    </w:rPr>
                    <w:t>*</w:t>
                  </w:r>
                </w:p>
              </w:tc>
              <w:tc>
                <w:tcPr>
                  <w:tcW w:w="1335"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0.55</w:t>
                  </w:r>
                </w:p>
              </w:tc>
              <w:tc>
                <w:tcPr>
                  <w:tcW w:w="1333" w:type="dxa"/>
                  <w:tcBorders>
                    <w:tl2br w:val="nil"/>
                    <w:tr2bl w:val="nil"/>
                  </w:tcBorders>
                  <w:vAlign w:val="center"/>
                </w:tcPr>
                <w:p>
                  <w:pPr>
                    <w:keepNext w:val="0"/>
                    <w:keepLines w:val="0"/>
                    <w:pageBreakBefore w:val="0"/>
                    <w:suppressLineNumbers w:val="0"/>
                    <w:kinsoku/>
                    <w:wordWrap/>
                    <w:overflowPunct/>
                    <w:topLinePunct w:val="0"/>
                    <w:bidi w:val="0"/>
                    <w:spacing w:before="0" w:beforeAutospacing="0" w:after="0" w:afterAutospacing="0" w:line="240" w:lineRule="auto"/>
                    <w:ind w:left="0" w:right="0"/>
                    <w:jc w:val="center"/>
                    <w:rPr>
                      <w:rFonts w:hint="default" w:ascii="Times New Roman" w:hAnsi="Times New Roman" w:cs="Times New Roman"/>
                      <w:color w:val="auto"/>
                      <w:szCs w:val="21"/>
                    </w:rPr>
                  </w:pPr>
                  <w:r>
                    <w:rPr>
                      <w:rFonts w:hint="default" w:ascii="Times New Roman" w:hAnsi="Times New Roman" w:eastAsia="附件" w:cs="Times New Roman"/>
                      <w:color w:val="auto"/>
                      <w:kern w:val="0"/>
                      <w:szCs w:val="21"/>
                    </w:rPr>
                    <w:t>/</w:t>
                  </w:r>
                </w:p>
              </w:tc>
              <w:tc>
                <w:tcPr>
                  <w:tcW w:w="1339" w:type="dxa"/>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center"/>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rPr>
                    <w:t>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8007" w:type="dxa"/>
                  <w:gridSpan w:val="6"/>
                  <w:tcBorders>
                    <w:tl2br w:val="nil"/>
                    <w:tr2bl w:val="nil"/>
                  </w:tcBorders>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jc w:val="both"/>
                    <w:textAlignment w:val="center"/>
                    <w:rPr>
                      <w:rFonts w:hint="default" w:ascii="Times New Roman" w:hAnsi="Times New Roman" w:eastAsia="附件" w:cs="Times New Roman"/>
                      <w:color w:val="auto"/>
                      <w:kern w:val="0"/>
                      <w:szCs w:val="21"/>
                    </w:rPr>
                  </w:pPr>
                  <w:r>
                    <w:rPr>
                      <w:rFonts w:hint="default" w:ascii="Times New Roman" w:hAnsi="Times New Roman" w:eastAsia="附件" w:cs="Times New Roman"/>
                      <w:color w:val="auto"/>
                      <w:kern w:val="0"/>
                      <w:szCs w:val="21"/>
                      <w:lang w:val="en-US" w:eastAsia="zh-CN"/>
                    </w:rPr>
                    <w:t>S4执行《土壤环境质量 建设用地土壤污染风险管控标准（试行）》（GB36600-2018）第二类用地筛选值。</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kern w:val="0"/>
                <w:szCs w:val="21"/>
              </w:rPr>
            </w:pPr>
            <w:r>
              <w:rPr>
                <w:rFonts w:hint="default" w:ascii="Times New Roman" w:hAnsi="Times New Roman" w:eastAsia="附件" w:cs="Times New Roman"/>
                <w:color w:val="auto"/>
                <w:sz w:val="24"/>
              </w:rPr>
              <w:t>从监测结果分析，各样点土壤环境质量良好，</w:t>
            </w:r>
            <w:r>
              <w:rPr>
                <w:rFonts w:hint="eastAsia" w:eastAsia="附件" w:cs="Times New Roman"/>
                <w:color w:val="auto"/>
                <w:sz w:val="24"/>
                <w:lang w:val="en-US" w:eastAsia="zh-CN"/>
              </w:rPr>
              <w:t>S5、S6</w:t>
            </w:r>
            <w:r>
              <w:rPr>
                <w:rFonts w:hint="default" w:ascii="Times New Roman" w:hAnsi="Times New Roman" w:eastAsia="附件" w:cs="Times New Roman"/>
                <w:color w:val="auto"/>
                <w:sz w:val="24"/>
              </w:rPr>
              <w:t>各项监测指标均可达到《土壤环境质量</w:t>
            </w:r>
            <w:r>
              <w:rPr>
                <w:rFonts w:hint="eastAsia" w:eastAsia="附件" w:cs="Times New Roman"/>
                <w:color w:val="auto"/>
                <w:sz w:val="24"/>
                <w:lang w:val="en-US" w:eastAsia="zh-CN"/>
              </w:rPr>
              <w:t xml:space="preserve"> </w:t>
            </w:r>
            <w:r>
              <w:rPr>
                <w:rFonts w:hint="default" w:ascii="Times New Roman" w:hAnsi="Times New Roman" w:eastAsia="附件" w:cs="Times New Roman"/>
                <w:color w:val="auto"/>
                <w:sz w:val="24"/>
              </w:rPr>
              <w:t>农用地土壤污染风险管控标准（试行）》（GB15618-2018）筛选值，</w:t>
            </w:r>
            <w:r>
              <w:rPr>
                <w:rFonts w:hint="eastAsia" w:eastAsia="附件" w:cs="Times New Roman"/>
                <w:color w:val="auto"/>
                <w:sz w:val="24"/>
                <w:lang w:val="en-US" w:eastAsia="zh-CN"/>
              </w:rPr>
              <w:t>S1、S2、S3、S4各项监测指标均可满足</w:t>
            </w:r>
            <w:r>
              <w:rPr>
                <w:rFonts w:hint="default" w:ascii="Times New Roman" w:hAnsi="Times New Roman" w:eastAsia="附件" w:cs="Times New Roman"/>
                <w:color w:val="auto"/>
                <w:sz w:val="24"/>
              </w:rPr>
              <w:t>《土壤环境质量建设用地土壤污染风险管控标准（试行）》（GB36600-2018）第二类用地筛选值。</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904"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bCs/>
                <w:color w:val="auto"/>
                <w:szCs w:val="21"/>
              </w:rPr>
              <w:t>与项目有关的原有环境污染和生态破坏问题</w:t>
            </w:r>
          </w:p>
        </w:tc>
        <w:tc>
          <w:tcPr>
            <w:tcW w:w="8253" w:type="dxa"/>
            <w:vAlign w:val="center"/>
          </w:tcPr>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51" w:hRule="atLeast"/>
          <w:jc w:val="center"/>
        </w:trPr>
        <w:tc>
          <w:tcPr>
            <w:tcW w:w="904"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生态环境保护目标</w:t>
            </w:r>
          </w:p>
        </w:tc>
        <w:tc>
          <w:tcPr>
            <w:tcW w:w="8253" w:type="dxa"/>
            <w:vAlign w:val="center"/>
          </w:tcPr>
          <w:p>
            <w:pPr>
              <w:keepNext w:val="0"/>
              <w:keepLines w:val="0"/>
              <w:suppressLineNumbers w:val="0"/>
              <w:adjustRightInd w:val="0"/>
              <w:snapToGrid w:val="0"/>
              <w:spacing w:before="0" w:beforeAutospacing="0" w:after="0" w:afterAutospacing="0" w:line="360" w:lineRule="auto"/>
              <w:ind w:left="0" w:right="0"/>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3.4项目外环境关系</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bookmarkStart w:id="20" w:name="_Hlk69131030"/>
            <w:r>
              <w:rPr>
                <w:rFonts w:hint="default" w:ascii="Times New Roman" w:hAnsi="Times New Roman" w:cs="Times New Roman"/>
                <w:b/>
                <w:color w:val="auto"/>
                <w:sz w:val="24"/>
              </w:rPr>
              <w:t>3.4.1外环境关系</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bookmarkStart w:id="21" w:name="_Hlk80691296"/>
            <w:r>
              <w:rPr>
                <w:rFonts w:hint="default" w:ascii="Times New Roman" w:hAnsi="Times New Roman" w:cs="Times New Roman"/>
                <w:bCs/>
                <w:color w:val="auto"/>
                <w:sz w:val="24"/>
              </w:rPr>
              <w:t>1、项目井场周边外环境简况</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bookmarkStart w:id="22" w:name="_Hlk86168389"/>
            <w:r>
              <w:rPr>
                <w:rFonts w:hint="eastAsia" w:cs="Times New Roman"/>
                <w:bCs/>
                <w:color w:val="auto"/>
                <w:sz w:val="24"/>
                <w:lang w:eastAsia="zh-CN"/>
              </w:rPr>
              <w:t>普陆12HF井</w:t>
            </w:r>
            <w:r>
              <w:rPr>
                <w:rFonts w:hint="default" w:ascii="Times New Roman" w:hAnsi="Times New Roman" w:cs="Times New Roman"/>
                <w:bCs/>
                <w:color w:val="auto"/>
                <w:sz w:val="24"/>
              </w:rPr>
              <w:t>位于</w:t>
            </w:r>
            <w:r>
              <w:rPr>
                <w:rFonts w:hint="eastAsia" w:cs="Times New Roman"/>
                <w:bCs/>
                <w:color w:val="auto"/>
                <w:sz w:val="24"/>
                <w:lang w:eastAsia="zh-CN"/>
              </w:rPr>
              <w:t>达州市宣汉县普光镇双河社区石垭村</w:t>
            </w:r>
            <w:r>
              <w:rPr>
                <w:rFonts w:hint="default" w:ascii="Times New Roman" w:hAnsi="Times New Roman" w:cs="Times New Roman"/>
                <w:bCs/>
                <w:color w:val="auto"/>
                <w:sz w:val="24"/>
              </w:rPr>
              <w:t>，井场区域地貌为丘陵，井场沿东－西向摆放。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bCs/>
                <w:color w:val="auto"/>
                <w:sz w:val="24"/>
              </w:rPr>
              <w:t>根据现场调查可知：</w:t>
            </w:r>
            <w:r>
              <w:rPr>
                <w:rFonts w:hint="default" w:ascii="Times New Roman" w:hAnsi="Times New Roman" w:cs="Times New Roman"/>
                <w:color w:val="auto"/>
                <w:sz w:val="24"/>
              </w:rPr>
              <w:t>井口500m范围内无铁路、无建制学校、高速公路、场镇、医院，煤矿；无大型厂矿、油库以及风景名胜区等。</w:t>
            </w:r>
            <w:bookmarkEnd w:id="22"/>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2、井场周边人居现状</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bookmarkStart w:id="23" w:name="_Hlk86168401"/>
            <w:r>
              <w:rPr>
                <w:rFonts w:hint="default" w:ascii="Times New Roman" w:hAnsi="Times New Roman" w:cs="Times New Roman"/>
                <w:color w:val="auto"/>
                <w:szCs w:val="24"/>
              </w:rPr>
              <w:t>井口方圆500m范围内共计人口</w:t>
            </w:r>
            <w:r>
              <w:rPr>
                <w:rFonts w:hint="eastAsia" w:ascii="Times New Roman" w:hAnsi="Times New Roman" w:cs="Times New Roman"/>
                <w:color w:val="auto"/>
                <w:szCs w:val="24"/>
                <w:lang w:val="en-US" w:eastAsia="zh-CN"/>
              </w:rPr>
              <w:t>40</w:t>
            </w:r>
            <w:r>
              <w:rPr>
                <w:rFonts w:hint="default" w:ascii="Times New Roman" w:hAnsi="Times New Roman" w:cs="Times New Roman"/>
                <w:color w:val="auto"/>
                <w:szCs w:val="24"/>
              </w:rPr>
              <w:t>人。井口200m范围内共</w:t>
            </w:r>
            <w:r>
              <w:rPr>
                <w:rFonts w:hint="eastAsia" w:ascii="Times New Roman" w:hAnsi="Times New Roman" w:cs="Times New Roman"/>
                <w:color w:val="auto"/>
                <w:szCs w:val="24"/>
                <w:lang w:val="en-US" w:eastAsia="zh-CN"/>
              </w:rPr>
              <w:t>3</w:t>
            </w:r>
            <w:r>
              <w:rPr>
                <w:rFonts w:hint="default" w:ascii="Times New Roman" w:hAnsi="Times New Roman" w:cs="Times New Roman"/>
                <w:color w:val="auto"/>
                <w:szCs w:val="24"/>
              </w:rPr>
              <w:t>处居民</w:t>
            </w:r>
            <w:bookmarkEnd w:id="23"/>
            <w:r>
              <w:rPr>
                <w:rFonts w:hint="default" w:ascii="Times New Roman" w:hAnsi="Times New Roman" w:cs="Times New Roman"/>
                <w:color w:val="auto"/>
                <w:szCs w:val="24"/>
              </w:rPr>
              <w:t>，共计</w:t>
            </w:r>
            <w:r>
              <w:rPr>
                <w:rFonts w:hint="eastAsia" w:ascii="Times New Roman" w:hAnsi="Times New Roman" w:cs="Times New Roman"/>
                <w:color w:val="auto"/>
                <w:szCs w:val="24"/>
                <w:lang w:val="en-US" w:eastAsia="zh-CN"/>
              </w:rPr>
              <w:t>10</w:t>
            </w:r>
            <w:r>
              <w:rPr>
                <w:rFonts w:hint="default" w:ascii="Times New Roman" w:hAnsi="Times New Roman" w:cs="Times New Roman"/>
                <w:color w:val="auto"/>
                <w:szCs w:val="24"/>
              </w:rPr>
              <w:t>人，300～500m范围内居民人数约</w:t>
            </w:r>
            <w:r>
              <w:rPr>
                <w:rFonts w:hint="eastAsia" w:ascii="Times New Roman" w:hAnsi="Times New Roman" w:cs="Times New Roman"/>
                <w:color w:val="auto"/>
                <w:szCs w:val="24"/>
                <w:lang w:val="en-US" w:eastAsia="zh-CN"/>
              </w:rPr>
              <w:t>30</w:t>
            </w:r>
            <w:r>
              <w:rPr>
                <w:rFonts w:hint="default" w:ascii="Times New Roman" w:hAnsi="Times New Roman" w:cs="Times New Roman"/>
                <w:color w:val="auto"/>
                <w:szCs w:val="24"/>
              </w:rPr>
              <w:t>人。</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3、井场周边地表水现状</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eastAsia="宋体" w:cs="Times New Roman"/>
                <w:color w:val="auto"/>
                <w:sz w:val="24"/>
                <w:lang w:val="en-US" w:eastAsia="zh-CN"/>
              </w:rPr>
            </w:pPr>
            <w:r>
              <w:rPr>
                <w:rFonts w:hint="default" w:ascii="Times New Roman" w:hAnsi="Times New Roman" w:cs="Times New Roman"/>
                <w:color w:val="auto"/>
                <w:sz w:val="24"/>
              </w:rPr>
              <w:t>井场所在地及周边地貌主要为旱地、水田，通过现场调查</w:t>
            </w:r>
            <w:bookmarkStart w:id="24" w:name="_Hlk103759370"/>
            <w:r>
              <w:rPr>
                <w:rFonts w:hint="eastAsia" w:cs="Times New Roman"/>
                <w:color w:val="auto"/>
                <w:sz w:val="24"/>
                <w:lang w:eastAsia="zh-CN"/>
              </w:rPr>
              <w:t>，</w:t>
            </w:r>
            <w:r>
              <w:rPr>
                <w:rFonts w:hint="eastAsia" w:cs="Times New Roman"/>
                <w:color w:val="auto"/>
                <w:sz w:val="24"/>
                <w:lang w:val="en-US" w:eastAsia="zh-CN"/>
              </w:rPr>
              <w:t>井场南侧约1.8km为山河滩河，最终汇入河流为后河，</w:t>
            </w:r>
            <w:r>
              <w:rPr>
                <w:rFonts w:hint="default" w:ascii="Times New Roman" w:hAnsi="Times New Roman" w:cs="Times New Roman"/>
                <w:color w:val="auto"/>
                <w:sz w:val="24"/>
              </w:rPr>
              <w:t>井场</w:t>
            </w:r>
            <w:r>
              <w:rPr>
                <w:rFonts w:hint="eastAsia" w:cs="Times New Roman"/>
                <w:color w:val="auto"/>
                <w:sz w:val="24"/>
                <w:lang w:val="en-US" w:eastAsia="zh-CN"/>
              </w:rPr>
              <w:t>东侧</w:t>
            </w:r>
            <w:r>
              <w:rPr>
                <w:rFonts w:hint="default" w:ascii="Times New Roman" w:hAnsi="Times New Roman" w:cs="Times New Roman"/>
                <w:color w:val="auto"/>
                <w:sz w:val="24"/>
              </w:rPr>
              <w:t>约</w:t>
            </w:r>
            <w:r>
              <w:rPr>
                <w:rFonts w:hint="eastAsia" w:cs="Times New Roman"/>
                <w:color w:val="auto"/>
                <w:sz w:val="24"/>
                <w:lang w:val="en-US" w:eastAsia="zh-CN"/>
              </w:rPr>
              <w:t>13</w:t>
            </w:r>
            <w:r>
              <w:rPr>
                <w:rFonts w:hint="default" w:ascii="Times New Roman" w:hAnsi="Times New Roman" w:cs="Times New Roman"/>
                <w:color w:val="auto"/>
                <w:sz w:val="24"/>
              </w:rPr>
              <w:t>km为后河，本项目与</w:t>
            </w:r>
            <w:r>
              <w:rPr>
                <w:rFonts w:hint="default" w:ascii="Times New Roman" w:hAnsi="Times New Roman" w:cs="Times New Roman"/>
                <w:color w:val="auto"/>
                <w:sz w:val="24"/>
                <w:lang w:val="en-US" w:eastAsia="zh-CN"/>
              </w:rPr>
              <w:t>山河滩河</w:t>
            </w:r>
            <w:r>
              <w:rPr>
                <w:rFonts w:hint="eastAsia" w:cs="Times New Roman"/>
                <w:color w:val="auto"/>
                <w:sz w:val="24"/>
                <w:lang w:val="en-US" w:eastAsia="zh-CN"/>
              </w:rPr>
              <w:t>、</w:t>
            </w:r>
            <w:r>
              <w:rPr>
                <w:rFonts w:hint="default" w:ascii="Times New Roman" w:hAnsi="Times New Roman" w:cs="Times New Roman"/>
                <w:color w:val="auto"/>
                <w:sz w:val="24"/>
              </w:rPr>
              <w:t>后河</w:t>
            </w:r>
            <w:r>
              <w:rPr>
                <w:rFonts w:hint="eastAsia" w:cs="Times New Roman"/>
                <w:color w:val="auto"/>
                <w:sz w:val="24"/>
                <w:lang w:val="en-US" w:eastAsia="zh-CN"/>
              </w:rPr>
              <w:t>均</w:t>
            </w:r>
            <w:r>
              <w:rPr>
                <w:rFonts w:hint="default" w:ascii="Times New Roman" w:hAnsi="Times New Roman" w:cs="Times New Roman"/>
                <w:color w:val="auto"/>
                <w:sz w:val="24"/>
              </w:rPr>
              <w:t>无水力联系，井口500m范围内无大型河流、水库等。经调查核实，项目</w:t>
            </w:r>
            <w:r>
              <w:rPr>
                <w:rFonts w:hint="eastAsia" w:cs="Times New Roman"/>
                <w:color w:val="auto"/>
                <w:sz w:val="24"/>
                <w:lang w:val="en-US" w:eastAsia="zh-CN"/>
              </w:rPr>
              <w:t>占地范围</w:t>
            </w:r>
            <w:r>
              <w:rPr>
                <w:rFonts w:hint="default" w:ascii="Times New Roman" w:hAnsi="Times New Roman" w:cs="Times New Roman"/>
                <w:color w:val="auto"/>
                <w:sz w:val="24"/>
              </w:rPr>
              <w:t>内不涉及集中式饮用水源保护区</w:t>
            </w:r>
            <w:bookmarkEnd w:id="24"/>
            <w:r>
              <w:rPr>
                <w:rFonts w:hint="default" w:ascii="Times New Roman" w:hAnsi="Times New Roman" w:cs="Times New Roman"/>
                <w:color w:val="auto"/>
                <w:sz w:val="24"/>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4、项目周边农户饮用水源现状</w:t>
            </w:r>
          </w:p>
          <w:p>
            <w:pPr>
              <w:keepNext w:val="0"/>
              <w:keepLines w:val="0"/>
              <w:suppressLineNumbers w:val="0"/>
              <w:spacing w:before="0" w:beforeAutospacing="0" w:after="0" w:afterAutospacing="0" w:line="360" w:lineRule="auto"/>
              <w:ind w:left="0" w:right="0" w:firstLine="480" w:firstLineChars="200"/>
              <w:textAlignment w:val="baseline"/>
              <w:rPr>
                <w:rFonts w:hint="default" w:ascii="Times New Roman" w:hAnsi="Times New Roman" w:cs="Times New Roman"/>
                <w:color w:val="auto"/>
                <w:sz w:val="24"/>
              </w:rPr>
            </w:pPr>
            <w:bookmarkStart w:id="25" w:name="_Hlk103759510"/>
            <w:r>
              <w:rPr>
                <w:rFonts w:hint="default" w:ascii="Times New Roman" w:hAnsi="Times New Roman" w:cs="Times New Roman"/>
                <w:color w:val="auto"/>
                <w:sz w:val="24"/>
              </w:rPr>
              <w:t>本项目地处农村环境，经</w:t>
            </w:r>
            <w:r>
              <w:rPr>
                <w:rFonts w:hint="default" w:ascii="Times New Roman" w:hAnsi="Times New Roman" w:cs="Times New Roman"/>
                <w:color w:val="auto"/>
                <w:kern w:val="0"/>
                <w:sz w:val="24"/>
              </w:rPr>
              <w:t>调查，</w:t>
            </w:r>
            <w:r>
              <w:rPr>
                <w:rFonts w:hint="default" w:ascii="Times New Roman" w:hAnsi="Times New Roman" w:cs="Times New Roman"/>
                <w:color w:val="auto"/>
                <w:sz w:val="24"/>
              </w:rPr>
              <w:t>当地农户主要以自来水作为生活饮用水和生产用水，周边遗留部分自打水井，作为生活辅助用水，取水层位为潜水含水层，地下水类型为基岩裂隙水</w:t>
            </w:r>
            <w:bookmarkEnd w:id="25"/>
            <w:r>
              <w:rPr>
                <w:rFonts w:hint="default" w:ascii="Times New Roman" w:hAnsi="Times New Roman" w:cs="Times New Roman"/>
                <w:color w:val="auto"/>
                <w:sz w:val="24"/>
              </w:rPr>
              <w:t>，含水层厚度一般为15～30m，因此本项目地下水环境保护目标为井场周边存在的分散式饮用水水源。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5、项目放喷池周边环境现状</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bookmarkStart w:id="26" w:name="_Hlk86168415"/>
            <w:r>
              <w:rPr>
                <w:rFonts w:hint="default" w:ascii="Times New Roman" w:hAnsi="Times New Roman" w:cs="Times New Roman"/>
                <w:color w:val="auto"/>
                <w:sz w:val="24"/>
              </w:rPr>
              <w:t>主放喷池位于井场北侧，副放喷池位于井场南侧；根据现场踏勘结果。目前放喷池周边有少量杂草分布，放喷池作业前应进行低矮杂草清除</w:t>
            </w:r>
            <w:bookmarkEnd w:id="20"/>
            <w:bookmarkEnd w:id="21"/>
            <w:bookmarkEnd w:id="26"/>
            <w:r>
              <w:rPr>
                <w:rFonts w:hint="default" w:ascii="Times New Roman" w:hAnsi="Times New Roman" w:cs="Times New Roman"/>
                <w:color w:val="auto"/>
                <w:sz w:val="24"/>
              </w:rPr>
              <w:t>。</w:t>
            </w:r>
          </w:p>
          <w:p>
            <w:pPr>
              <w:keepNext w:val="0"/>
              <w:keepLines w:val="0"/>
              <w:suppressLineNumbers w:val="0"/>
              <w:adjustRightInd w:val="0"/>
              <w:snapToGrid w:val="0"/>
              <w:spacing w:before="0" w:beforeAutospacing="0" w:after="0" w:afterAutospacing="0" w:line="360" w:lineRule="auto"/>
              <w:ind w:left="0" w:right="0"/>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3.4.2敏感目标分布情况</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1、生态环境敏感目标</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本次生态影响评价范围为项目占地及周边500m。根据叠图分析和现场调查，评价区域无国家公园、自然保护区、自然公园等自然保护地、世界自然遗产、生态保护红线等区域，不涉及重要生境，占地不涉及公益林、天然林。</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拟建项目临时占地及周边主要为基本农田、林地。</w:t>
            </w:r>
          </w:p>
          <w:p>
            <w:pPr>
              <w:keepNext w:val="0"/>
              <w:keepLines w:val="0"/>
              <w:widowControl w:val="0"/>
              <w:suppressLineNumbers w:val="0"/>
              <w:adjustRightInd w:val="0"/>
              <w:snapToGrid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0"/>
                <w:sz w:val="24"/>
                <w:szCs w:val="24"/>
                <w:lang w:val="en-US" w:eastAsia="zh-CN" w:bidi="ar"/>
              </w:rPr>
            </w:pPr>
            <w:r>
              <w:rPr>
                <w:rFonts w:hint="default" w:ascii="Times New Roman" w:hAnsi="Times New Roman" w:eastAsia="宋体" w:cs="Times New Roman"/>
                <w:color w:val="auto"/>
                <w:kern w:val="0"/>
                <w:sz w:val="24"/>
                <w:szCs w:val="24"/>
                <w:lang w:val="en-US" w:eastAsia="zh-CN" w:bidi="ar"/>
              </w:rPr>
              <w:t>根据《宣汉县人民政府发布宣汉县水土流失防治分区的公告》，评价所在区域属于水土流失重点</w:t>
            </w:r>
            <w:r>
              <w:rPr>
                <w:rFonts w:hint="default" w:ascii="Times New Roman" w:hAnsi="Times New Roman" w:cs="Times New Roman"/>
                <w:color w:val="auto"/>
                <w:kern w:val="0"/>
                <w:sz w:val="24"/>
                <w:szCs w:val="24"/>
                <w:lang w:val="en-US" w:eastAsia="zh-CN" w:bidi="ar"/>
              </w:rPr>
              <w:t>治理区</w:t>
            </w:r>
            <w:r>
              <w:rPr>
                <w:rFonts w:hint="default" w:ascii="Times New Roman" w:hAnsi="Times New Roman" w:eastAsia="宋体" w:cs="Times New Roman"/>
                <w:color w:val="auto"/>
                <w:kern w:val="0"/>
                <w:sz w:val="24"/>
                <w:szCs w:val="24"/>
                <w:lang w:val="en-US" w:eastAsia="zh-CN" w:bidi="ar"/>
              </w:rPr>
              <w:t>。</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2、环境空气敏感目标</w:t>
            </w:r>
          </w:p>
          <w:p>
            <w:pPr>
              <w:keepNext w:val="0"/>
              <w:keepLines w:val="0"/>
              <w:suppressLineNumbers w:val="0"/>
              <w:adjustRightInd w:val="0"/>
              <w:snapToGrid w:val="0"/>
              <w:spacing w:before="0" w:beforeAutospacing="0" w:after="0" w:afterAutospacing="0" w:line="360" w:lineRule="auto"/>
              <w:ind w:left="0" w:right="0" w:firstLine="464" w:firstLineChars="200"/>
              <w:rPr>
                <w:rFonts w:hint="default" w:ascii="Times New Roman" w:hAnsi="Times New Roman" w:cs="Times New Roman"/>
                <w:color w:val="auto"/>
                <w:spacing w:val="-4"/>
                <w:kern w:val="0"/>
                <w:sz w:val="24"/>
              </w:rPr>
            </w:pPr>
            <w:r>
              <w:rPr>
                <w:rFonts w:hint="default" w:ascii="Times New Roman" w:hAnsi="Times New Roman" w:cs="Times New Roman"/>
                <w:color w:val="auto"/>
                <w:spacing w:val="-4"/>
                <w:kern w:val="0"/>
                <w:sz w:val="24"/>
              </w:rPr>
              <w:t>项目无需调查大气环境敏感目标。但鉴于项目特点，本次环评统计井口500m范围内敏感点分布情况。</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Cs w:val="21"/>
              </w:rPr>
            </w:pPr>
            <w:r>
              <w:rPr>
                <w:rFonts w:hint="default" w:ascii="Times New Roman" w:hAnsi="Times New Roman" w:cs="Times New Roman"/>
                <w:b/>
                <w:bCs/>
                <w:color w:val="auto"/>
                <w:kern w:val="0"/>
                <w:sz w:val="24"/>
              </w:rPr>
              <w:t>项目主要环境保护目标</w:t>
            </w:r>
          </w:p>
          <w:tbl>
            <w:tblPr>
              <w:tblStyle w:val="45"/>
              <w:tblW w:w="7958"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95"/>
              <w:gridCol w:w="555"/>
              <w:gridCol w:w="616"/>
              <w:gridCol w:w="770"/>
              <w:gridCol w:w="1242"/>
              <w:gridCol w:w="796"/>
              <w:gridCol w:w="796"/>
              <w:gridCol w:w="796"/>
              <w:gridCol w:w="796"/>
              <w:gridCol w:w="79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795"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rPr>
                  </w:pPr>
                  <w:r>
                    <w:rPr>
                      <w:rFonts w:hint="default" w:ascii="Times New Roman" w:hAnsi="Times New Roman" w:eastAsia="宋体" w:cs="Times New Roman"/>
                      <w:color w:val="auto"/>
                      <w:sz w:val="20"/>
                      <w:szCs w:val="20"/>
                    </w:rPr>
                    <w:t>名称</w:t>
                  </w:r>
                </w:p>
              </w:tc>
              <w:tc>
                <w:tcPr>
                  <w:tcW w:w="555"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rPr>
                  </w:pPr>
                  <w:r>
                    <w:rPr>
                      <w:rFonts w:hint="default" w:ascii="Times New Roman" w:hAnsi="Times New Roman" w:eastAsia="宋体" w:cs="Times New Roman"/>
                      <w:color w:val="auto"/>
                      <w:sz w:val="20"/>
                      <w:szCs w:val="20"/>
                    </w:rPr>
                    <w:t>X</w:t>
                  </w:r>
                </w:p>
              </w:tc>
              <w:tc>
                <w:tcPr>
                  <w:tcW w:w="616"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rPr>
                  </w:pPr>
                  <w:r>
                    <w:rPr>
                      <w:rFonts w:hint="default" w:ascii="Times New Roman" w:hAnsi="Times New Roman" w:eastAsia="宋体" w:cs="Times New Roman"/>
                      <w:color w:val="auto"/>
                      <w:sz w:val="20"/>
                      <w:szCs w:val="20"/>
                    </w:rPr>
                    <w:t>Y</w:t>
                  </w:r>
                </w:p>
              </w:tc>
              <w:tc>
                <w:tcPr>
                  <w:tcW w:w="770"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rPr>
                  </w:pPr>
                  <w:r>
                    <w:rPr>
                      <w:rFonts w:hint="default" w:ascii="Times New Roman" w:hAnsi="Times New Roman" w:eastAsia="宋体" w:cs="Times New Roman"/>
                      <w:color w:val="auto"/>
                      <w:sz w:val="20"/>
                      <w:szCs w:val="20"/>
                    </w:rPr>
                    <w:t>保护对象</w:t>
                  </w:r>
                </w:p>
              </w:tc>
              <w:tc>
                <w:tcPr>
                  <w:tcW w:w="1242"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rPr>
                  </w:pPr>
                  <w:r>
                    <w:rPr>
                      <w:rFonts w:hint="default" w:ascii="Times New Roman" w:hAnsi="Times New Roman" w:eastAsia="宋体" w:cs="Times New Roman"/>
                      <w:color w:val="auto"/>
                      <w:sz w:val="20"/>
                      <w:szCs w:val="20"/>
                    </w:rPr>
                    <w:t>保护内容</w:t>
                  </w:r>
                </w:p>
              </w:tc>
              <w:tc>
                <w:tcPr>
                  <w:tcW w:w="796"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rPr>
                  </w:pPr>
                  <w:r>
                    <w:rPr>
                      <w:rFonts w:hint="default" w:ascii="Times New Roman" w:hAnsi="Times New Roman" w:eastAsia="宋体" w:cs="Times New Roman"/>
                      <w:color w:val="auto"/>
                      <w:sz w:val="20"/>
                      <w:szCs w:val="20"/>
                    </w:rPr>
                    <w:t>相对厂址方位</w:t>
                  </w:r>
                </w:p>
              </w:tc>
              <w:tc>
                <w:tcPr>
                  <w:tcW w:w="796"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rPr>
                  </w:pPr>
                  <w:r>
                    <w:rPr>
                      <w:rFonts w:hint="default" w:ascii="Times New Roman" w:hAnsi="Times New Roman" w:eastAsia="宋体" w:cs="Times New Roman"/>
                      <w:color w:val="auto"/>
                      <w:sz w:val="20"/>
                      <w:szCs w:val="20"/>
                    </w:rPr>
                    <w:t>与井口最近距离/m</w:t>
                  </w:r>
                </w:p>
              </w:tc>
              <w:tc>
                <w:tcPr>
                  <w:tcW w:w="796"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rPr>
                  </w:pPr>
                  <w:r>
                    <w:rPr>
                      <w:rFonts w:hint="default" w:ascii="Times New Roman" w:hAnsi="Times New Roman" w:eastAsia="宋体" w:cs="Times New Roman"/>
                      <w:color w:val="auto"/>
                      <w:sz w:val="20"/>
                      <w:szCs w:val="20"/>
                    </w:rPr>
                    <w:t>与井场场界距离/m</w:t>
                  </w:r>
                </w:p>
              </w:tc>
              <w:tc>
                <w:tcPr>
                  <w:tcW w:w="796"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rPr>
                  </w:pPr>
                  <w:r>
                    <w:rPr>
                      <w:rFonts w:hint="default" w:ascii="Times New Roman" w:hAnsi="Times New Roman" w:eastAsia="宋体" w:cs="Times New Roman"/>
                      <w:color w:val="auto"/>
                      <w:sz w:val="20"/>
                      <w:szCs w:val="20"/>
                    </w:rPr>
                    <w:t>与井场高差</w:t>
                  </w:r>
                </w:p>
              </w:tc>
              <w:tc>
                <w:tcPr>
                  <w:tcW w:w="796"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rPr>
                  </w:pPr>
                  <w:r>
                    <w:rPr>
                      <w:rFonts w:hint="default" w:ascii="Times New Roman" w:hAnsi="Times New Roman" w:eastAsia="宋体" w:cs="Times New Roman"/>
                      <w:color w:val="auto"/>
                      <w:sz w:val="20"/>
                      <w:szCs w:val="20"/>
                    </w:rPr>
                    <w:t>与</w:t>
                  </w:r>
                  <w:r>
                    <w:rPr>
                      <w:rFonts w:hint="default" w:ascii="Times New Roman" w:hAnsi="Times New Roman" w:eastAsia="宋体" w:cs="Times New Roman"/>
                      <w:color w:val="auto"/>
                      <w:sz w:val="20"/>
                      <w:szCs w:val="20"/>
                      <w:lang w:val="en-US"/>
                    </w:rPr>
                    <w:t>主</w:t>
                  </w:r>
                  <w:r>
                    <w:rPr>
                      <w:rFonts w:hint="default" w:ascii="Times New Roman" w:hAnsi="Times New Roman" w:eastAsia="宋体" w:cs="Times New Roman"/>
                      <w:color w:val="auto"/>
                      <w:sz w:val="20"/>
                      <w:szCs w:val="20"/>
                    </w:rPr>
                    <w:t>放喷池最近距离</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95"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rPr>
                  </w:pPr>
                  <w:r>
                    <w:rPr>
                      <w:rFonts w:hint="default" w:ascii="Times New Roman" w:hAnsi="Times New Roman" w:cs="Times New Roman"/>
                      <w:color w:val="auto"/>
                      <w:sz w:val="20"/>
                      <w:szCs w:val="20"/>
                    </w:rPr>
                    <w:t>1#</w:t>
                  </w:r>
                  <w:r>
                    <w:rPr>
                      <w:rFonts w:hint="default" w:ascii="Times New Roman" w:hAnsi="Times New Roman" w:eastAsia="宋体" w:cs="Times New Roman"/>
                      <w:color w:val="auto"/>
                      <w:sz w:val="20"/>
                      <w:szCs w:val="20"/>
                    </w:rPr>
                    <w:t>居民点</w:t>
                  </w:r>
                </w:p>
              </w:tc>
              <w:tc>
                <w:tcPr>
                  <w:tcW w:w="55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-89</w:t>
                  </w:r>
                </w:p>
              </w:tc>
              <w:tc>
                <w:tcPr>
                  <w:tcW w:w="61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-121</w:t>
                  </w:r>
                </w:p>
              </w:tc>
              <w:tc>
                <w:tcPr>
                  <w:tcW w:w="770"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rPr>
                  </w:pPr>
                  <w:r>
                    <w:rPr>
                      <w:rFonts w:hint="default" w:ascii="Times New Roman" w:hAnsi="Times New Roman" w:eastAsia="宋体" w:cs="Times New Roman"/>
                      <w:color w:val="auto"/>
                      <w:sz w:val="20"/>
                      <w:szCs w:val="20"/>
                    </w:rPr>
                    <w:t>居民</w:t>
                  </w:r>
                </w:p>
              </w:tc>
              <w:tc>
                <w:tcPr>
                  <w:tcW w:w="1242"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rPr>
                  </w:pPr>
                  <w:r>
                    <w:rPr>
                      <w:rFonts w:hint="default" w:ascii="Times New Roman" w:hAnsi="Times New Roman" w:eastAsia="宋体" w:cs="Times New Roman"/>
                      <w:color w:val="auto"/>
                      <w:sz w:val="20"/>
                      <w:szCs w:val="20"/>
                      <w:lang w:val="en-US" w:eastAsia="zh-CN"/>
                    </w:rPr>
                    <w:t>共3</w:t>
                  </w:r>
                  <w:r>
                    <w:rPr>
                      <w:rFonts w:hint="default" w:ascii="Times New Roman" w:hAnsi="Times New Roman" w:eastAsia="宋体" w:cs="Times New Roman"/>
                      <w:color w:val="auto"/>
                      <w:sz w:val="20"/>
                      <w:szCs w:val="20"/>
                    </w:rPr>
                    <w:t>户，</w:t>
                  </w:r>
                  <w:r>
                    <w:rPr>
                      <w:rFonts w:hint="default" w:ascii="Times New Roman" w:hAnsi="Times New Roman" w:eastAsia="宋体" w:cs="Times New Roman"/>
                      <w:color w:val="auto"/>
                      <w:sz w:val="20"/>
                      <w:szCs w:val="20"/>
                      <w:lang w:val="en-US" w:eastAsia="zh-CN"/>
                    </w:rPr>
                    <w:t>10</w:t>
                  </w:r>
                  <w:r>
                    <w:rPr>
                      <w:rFonts w:hint="default" w:ascii="Times New Roman" w:hAnsi="Times New Roman" w:eastAsia="宋体" w:cs="Times New Roman"/>
                      <w:color w:val="auto"/>
                      <w:sz w:val="20"/>
                      <w:szCs w:val="20"/>
                    </w:rPr>
                    <w:t>口人</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i w:val="0"/>
                      <w:iCs w:val="0"/>
                      <w:color w:val="auto"/>
                      <w:kern w:val="0"/>
                      <w:sz w:val="20"/>
                      <w:szCs w:val="20"/>
                      <w:u w:val="none"/>
                      <w:lang w:val="en-US" w:eastAsia="zh-CN" w:bidi="ar"/>
                    </w:rPr>
                    <w:t>SW</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150</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115</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cs="Times New Roman"/>
                      <w:color w:val="auto"/>
                      <w:kern w:val="0"/>
                      <w:sz w:val="20"/>
                      <w:szCs w:val="20"/>
                      <w:lang w:val="en-US" w:eastAsia="zh-CN" w:bidi="ar"/>
                    </w:rPr>
                    <w:t>-</w:t>
                  </w:r>
                  <w:r>
                    <w:rPr>
                      <w:rFonts w:hint="eastAsia" w:ascii="Times New Roman" w:hAnsi="Times New Roman" w:cs="Times New Roman"/>
                      <w:color w:val="auto"/>
                      <w:kern w:val="0"/>
                      <w:sz w:val="20"/>
                      <w:szCs w:val="20"/>
                      <w:lang w:val="en-US" w:eastAsia="zh-CN" w:bidi="ar"/>
                    </w:rPr>
                    <w:t>5</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171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795"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rPr>
                  </w:pPr>
                  <w:r>
                    <w:rPr>
                      <w:rFonts w:hint="default" w:ascii="Times New Roman" w:hAnsi="Times New Roman" w:eastAsia="等线" w:cs="Times New Roman"/>
                      <w:color w:val="auto"/>
                      <w:sz w:val="20"/>
                      <w:szCs w:val="20"/>
                    </w:rPr>
                    <w:t>2</w:t>
                  </w:r>
                  <w:r>
                    <w:rPr>
                      <w:rFonts w:hint="default" w:ascii="Times New Roman" w:hAnsi="Times New Roman" w:cs="Times New Roman"/>
                      <w:color w:val="auto"/>
                      <w:sz w:val="20"/>
                      <w:szCs w:val="20"/>
                    </w:rPr>
                    <w:t>#</w:t>
                  </w:r>
                  <w:r>
                    <w:rPr>
                      <w:rFonts w:hint="default" w:ascii="Times New Roman" w:hAnsi="Times New Roman" w:eastAsia="宋体" w:cs="Times New Roman"/>
                      <w:color w:val="auto"/>
                      <w:sz w:val="20"/>
                      <w:szCs w:val="20"/>
                    </w:rPr>
                    <w:t>居民点</w:t>
                  </w:r>
                </w:p>
              </w:tc>
              <w:tc>
                <w:tcPr>
                  <w:tcW w:w="55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65</w:t>
                  </w:r>
                </w:p>
              </w:tc>
              <w:tc>
                <w:tcPr>
                  <w:tcW w:w="61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-389</w:t>
                  </w:r>
                </w:p>
              </w:tc>
              <w:tc>
                <w:tcPr>
                  <w:tcW w:w="770"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rPr>
                  </w:pPr>
                  <w:r>
                    <w:rPr>
                      <w:rFonts w:hint="default" w:ascii="Times New Roman" w:hAnsi="Times New Roman" w:eastAsia="宋体" w:cs="Times New Roman"/>
                      <w:color w:val="auto"/>
                      <w:sz w:val="20"/>
                      <w:szCs w:val="20"/>
                    </w:rPr>
                    <w:t>居民</w:t>
                  </w:r>
                </w:p>
              </w:tc>
              <w:tc>
                <w:tcPr>
                  <w:tcW w:w="1242"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rPr>
                  </w:pPr>
                  <w:r>
                    <w:rPr>
                      <w:rFonts w:hint="default" w:ascii="Times New Roman" w:hAnsi="Times New Roman" w:eastAsia="等线" w:cs="Times New Roman"/>
                      <w:color w:val="auto"/>
                      <w:sz w:val="20"/>
                      <w:szCs w:val="20"/>
                      <w:lang w:val="en-US" w:eastAsia="zh-CN"/>
                    </w:rPr>
                    <w:t>共</w:t>
                  </w:r>
                  <w:r>
                    <w:rPr>
                      <w:rFonts w:hint="default" w:ascii="Times New Roman" w:hAnsi="Times New Roman" w:eastAsia="等线" w:cs="Times New Roman"/>
                      <w:color w:val="auto"/>
                      <w:sz w:val="20"/>
                      <w:szCs w:val="20"/>
                      <w:lang w:val="en-US"/>
                    </w:rPr>
                    <w:t>2</w:t>
                  </w:r>
                  <w:r>
                    <w:rPr>
                      <w:rFonts w:hint="default" w:ascii="Times New Roman" w:hAnsi="Times New Roman" w:eastAsia="宋体" w:cs="Times New Roman"/>
                      <w:color w:val="auto"/>
                      <w:sz w:val="20"/>
                      <w:szCs w:val="20"/>
                    </w:rPr>
                    <w:t>户，</w:t>
                  </w:r>
                  <w:r>
                    <w:rPr>
                      <w:rFonts w:hint="default" w:ascii="Times New Roman" w:hAnsi="Times New Roman" w:eastAsia="等线" w:cs="Times New Roman"/>
                      <w:color w:val="auto"/>
                      <w:sz w:val="20"/>
                      <w:szCs w:val="20"/>
                      <w:lang w:val="en-US"/>
                    </w:rPr>
                    <w:t>7</w:t>
                  </w:r>
                  <w:r>
                    <w:rPr>
                      <w:rFonts w:hint="default" w:ascii="Times New Roman" w:hAnsi="Times New Roman" w:eastAsia="宋体" w:cs="Times New Roman"/>
                      <w:color w:val="auto"/>
                      <w:sz w:val="20"/>
                      <w:szCs w:val="20"/>
                    </w:rPr>
                    <w:t>口人</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等线" w:cs="Times New Roman"/>
                      <w:color w:val="auto"/>
                      <w:sz w:val="20"/>
                      <w:szCs w:val="20"/>
                      <w:lang w:val="en-US" w:eastAsia="zh-CN"/>
                    </w:rPr>
                  </w:pPr>
                  <w:r>
                    <w:rPr>
                      <w:rFonts w:hint="default" w:ascii="Times New Roman" w:hAnsi="Times New Roman" w:eastAsia="宋体" w:cs="Times New Roman"/>
                      <w:i w:val="0"/>
                      <w:iCs w:val="0"/>
                      <w:color w:val="auto"/>
                      <w:kern w:val="0"/>
                      <w:sz w:val="20"/>
                      <w:szCs w:val="20"/>
                      <w:u w:val="none"/>
                      <w:lang w:val="en-US" w:eastAsia="zh-CN" w:bidi="ar"/>
                    </w:rPr>
                    <w:t>SE</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394</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359</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eastAsia" w:ascii="Times New Roman" w:hAnsi="Times New Roman" w:cs="Times New Roman"/>
                      <w:color w:val="auto"/>
                      <w:kern w:val="0"/>
                      <w:sz w:val="20"/>
                      <w:szCs w:val="20"/>
                      <w:lang w:val="en-US" w:eastAsia="zh-CN" w:bidi="ar"/>
                    </w:rPr>
                    <w:t>-38</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463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795"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rPr>
                  </w:pPr>
                  <w:r>
                    <w:rPr>
                      <w:rFonts w:hint="default" w:ascii="Times New Roman" w:hAnsi="Times New Roman" w:eastAsia="等线" w:cs="Times New Roman"/>
                      <w:color w:val="auto"/>
                      <w:sz w:val="20"/>
                      <w:szCs w:val="20"/>
                    </w:rPr>
                    <w:t>3</w:t>
                  </w:r>
                  <w:r>
                    <w:rPr>
                      <w:rFonts w:hint="default" w:ascii="Times New Roman" w:hAnsi="Times New Roman" w:cs="Times New Roman"/>
                      <w:color w:val="auto"/>
                      <w:sz w:val="20"/>
                      <w:szCs w:val="20"/>
                    </w:rPr>
                    <w:t>#</w:t>
                  </w:r>
                  <w:r>
                    <w:rPr>
                      <w:rFonts w:hint="default" w:ascii="Times New Roman" w:hAnsi="Times New Roman" w:eastAsia="宋体" w:cs="Times New Roman"/>
                      <w:color w:val="auto"/>
                      <w:sz w:val="20"/>
                      <w:szCs w:val="20"/>
                    </w:rPr>
                    <w:t>居民点</w:t>
                  </w:r>
                </w:p>
              </w:tc>
              <w:tc>
                <w:tcPr>
                  <w:tcW w:w="55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140</w:t>
                  </w:r>
                </w:p>
              </w:tc>
              <w:tc>
                <w:tcPr>
                  <w:tcW w:w="61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-430</w:t>
                  </w:r>
                </w:p>
              </w:tc>
              <w:tc>
                <w:tcPr>
                  <w:tcW w:w="770"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rPr>
                  </w:pPr>
                  <w:r>
                    <w:rPr>
                      <w:rFonts w:hint="default" w:ascii="Times New Roman" w:hAnsi="Times New Roman" w:eastAsia="宋体" w:cs="Times New Roman"/>
                      <w:color w:val="auto"/>
                      <w:sz w:val="20"/>
                      <w:szCs w:val="20"/>
                    </w:rPr>
                    <w:t>居民</w:t>
                  </w:r>
                </w:p>
              </w:tc>
              <w:tc>
                <w:tcPr>
                  <w:tcW w:w="1242"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rPr>
                  </w:pPr>
                  <w:r>
                    <w:rPr>
                      <w:rFonts w:hint="default" w:ascii="Times New Roman" w:hAnsi="Times New Roman" w:eastAsia="等线" w:cs="Times New Roman"/>
                      <w:color w:val="auto"/>
                      <w:sz w:val="20"/>
                      <w:szCs w:val="20"/>
                      <w:lang w:val="en-US" w:eastAsia="zh-CN"/>
                    </w:rPr>
                    <w:t>共2</w:t>
                  </w:r>
                  <w:r>
                    <w:rPr>
                      <w:rFonts w:hint="default" w:ascii="Times New Roman" w:hAnsi="Times New Roman" w:eastAsia="宋体" w:cs="Times New Roman"/>
                      <w:color w:val="auto"/>
                      <w:sz w:val="20"/>
                      <w:szCs w:val="20"/>
                    </w:rPr>
                    <w:t>户，</w:t>
                  </w:r>
                  <w:r>
                    <w:rPr>
                      <w:rFonts w:hint="default" w:ascii="Times New Roman" w:hAnsi="Times New Roman" w:eastAsia="宋体" w:cs="Times New Roman"/>
                      <w:color w:val="auto"/>
                      <w:sz w:val="20"/>
                      <w:szCs w:val="20"/>
                      <w:lang w:val="en-US" w:eastAsia="zh-CN"/>
                    </w:rPr>
                    <w:t>7</w:t>
                  </w:r>
                  <w:r>
                    <w:rPr>
                      <w:rFonts w:hint="default" w:ascii="Times New Roman" w:hAnsi="Times New Roman" w:eastAsia="宋体" w:cs="Times New Roman"/>
                      <w:color w:val="auto"/>
                      <w:sz w:val="20"/>
                      <w:szCs w:val="20"/>
                    </w:rPr>
                    <w:t>口人</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i w:val="0"/>
                      <w:iCs w:val="0"/>
                      <w:color w:val="auto"/>
                      <w:kern w:val="0"/>
                      <w:sz w:val="20"/>
                      <w:szCs w:val="20"/>
                      <w:u w:val="none"/>
                      <w:lang w:val="en-US" w:eastAsia="zh-CN" w:bidi="ar"/>
                    </w:rPr>
                    <w:t>SE</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452</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417</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cs="Times New Roman"/>
                      <w:color w:val="auto"/>
                      <w:kern w:val="0"/>
                      <w:sz w:val="20"/>
                      <w:szCs w:val="20"/>
                      <w:lang w:val="en-US" w:eastAsia="zh-CN" w:bidi="ar"/>
                    </w:rPr>
                    <w:t>-</w:t>
                  </w:r>
                  <w:r>
                    <w:rPr>
                      <w:rFonts w:hint="eastAsia" w:ascii="Times New Roman" w:hAnsi="Times New Roman" w:cs="Times New Roman"/>
                      <w:color w:val="auto"/>
                      <w:kern w:val="0"/>
                      <w:sz w:val="20"/>
                      <w:szCs w:val="20"/>
                      <w:lang w:val="en-US" w:eastAsia="zh-CN" w:bidi="ar"/>
                    </w:rPr>
                    <w:t>35</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528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795"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rPr>
                  </w:pPr>
                  <w:r>
                    <w:rPr>
                      <w:rFonts w:hint="default" w:ascii="Times New Roman" w:hAnsi="Times New Roman" w:eastAsia="等线" w:cs="Times New Roman"/>
                      <w:color w:val="auto"/>
                      <w:sz w:val="20"/>
                      <w:szCs w:val="20"/>
                    </w:rPr>
                    <w:t>4</w:t>
                  </w:r>
                  <w:r>
                    <w:rPr>
                      <w:rFonts w:hint="default" w:ascii="Times New Roman" w:hAnsi="Times New Roman" w:cs="Times New Roman"/>
                      <w:color w:val="auto"/>
                      <w:sz w:val="20"/>
                      <w:szCs w:val="20"/>
                    </w:rPr>
                    <w:t>#</w:t>
                  </w:r>
                  <w:r>
                    <w:rPr>
                      <w:rFonts w:hint="default" w:ascii="Times New Roman" w:hAnsi="Times New Roman" w:eastAsia="宋体" w:cs="Times New Roman"/>
                      <w:color w:val="auto"/>
                      <w:sz w:val="20"/>
                      <w:szCs w:val="20"/>
                    </w:rPr>
                    <w:t>居民点</w:t>
                  </w:r>
                </w:p>
              </w:tc>
              <w:tc>
                <w:tcPr>
                  <w:tcW w:w="55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140</w:t>
                  </w:r>
                </w:p>
              </w:tc>
              <w:tc>
                <w:tcPr>
                  <w:tcW w:w="61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-472</w:t>
                  </w:r>
                </w:p>
              </w:tc>
              <w:tc>
                <w:tcPr>
                  <w:tcW w:w="770"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rPr>
                  </w:pPr>
                  <w:r>
                    <w:rPr>
                      <w:rFonts w:hint="default" w:ascii="Times New Roman" w:hAnsi="Times New Roman" w:eastAsia="宋体" w:cs="Times New Roman"/>
                      <w:color w:val="auto"/>
                      <w:sz w:val="20"/>
                      <w:szCs w:val="20"/>
                    </w:rPr>
                    <w:t>居民</w:t>
                  </w:r>
                </w:p>
              </w:tc>
              <w:tc>
                <w:tcPr>
                  <w:tcW w:w="1242"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rPr>
                  </w:pPr>
                  <w:r>
                    <w:rPr>
                      <w:rFonts w:hint="default" w:ascii="Times New Roman" w:hAnsi="Times New Roman" w:eastAsia="宋体" w:cs="Times New Roman"/>
                      <w:color w:val="auto"/>
                      <w:sz w:val="20"/>
                      <w:szCs w:val="20"/>
                      <w:lang w:val="en-US" w:eastAsia="zh-CN"/>
                    </w:rPr>
                    <w:t>共2</w:t>
                  </w:r>
                  <w:r>
                    <w:rPr>
                      <w:rFonts w:hint="default" w:ascii="Times New Roman" w:hAnsi="Times New Roman" w:eastAsia="宋体" w:cs="Times New Roman"/>
                      <w:color w:val="auto"/>
                      <w:sz w:val="20"/>
                      <w:szCs w:val="20"/>
                    </w:rPr>
                    <w:t>户，</w:t>
                  </w:r>
                  <w:r>
                    <w:rPr>
                      <w:rFonts w:hint="default" w:ascii="Times New Roman" w:hAnsi="Times New Roman" w:eastAsia="宋体" w:cs="Times New Roman"/>
                      <w:color w:val="auto"/>
                      <w:sz w:val="20"/>
                      <w:szCs w:val="20"/>
                      <w:lang w:val="en-US" w:eastAsia="zh-CN"/>
                    </w:rPr>
                    <w:t>6</w:t>
                  </w:r>
                  <w:r>
                    <w:rPr>
                      <w:rFonts w:hint="default" w:ascii="Times New Roman" w:hAnsi="Times New Roman" w:eastAsia="宋体" w:cs="Times New Roman"/>
                      <w:color w:val="auto"/>
                      <w:sz w:val="20"/>
                      <w:szCs w:val="20"/>
                    </w:rPr>
                    <w:t>口人</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sz w:val="20"/>
                      <w:szCs w:val="20"/>
                      <w:lang w:val="en-US" w:eastAsia="zh-CN"/>
                    </w:rPr>
                  </w:pPr>
                  <w:r>
                    <w:rPr>
                      <w:rFonts w:hint="default" w:ascii="Times New Roman" w:hAnsi="Times New Roman" w:eastAsia="宋体" w:cs="Times New Roman"/>
                      <w:i w:val="0"/>
                      <w:iCs w:val="0"/>
                      <w:color w:val="auto"/>
                      <w:kern w:val="0"/>
                      <w:sz w:val="20"/>
                      <w:szCs w:val="20"/>
                      <w:u w:val="none"/>
                      <w:lang w:val="en-US" w:eastAsia="zh-CN" w:bidi="ar"/>
                    </w:rPr>
                    <w:t>SE</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492</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457</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cs="Times New Roman"/>
                      <w:color w:val="auto"/>
                      <w:kern w:val="0"/>
                      <w:sz w:val="20"/>
                      <w:szCs w:val="20"/>
                      <w:lang w:val="en-US" w:eastAsia="zh-CN" w:bidi="ar"/>
                    </w:rPr>
                    <w:t>-</w:t>
                  </w:r>
                  <w:r>
                    <w:rPr>
                      <w:rFonts w:hint="eastAsia" w:ascii="Times New Roman" w:hAnsi="Times New Roman" w:cs="Times New Roman"/>
                      <w:color w:val="auto"/>
                      <w:kern w:val="0"/>
                      <w:sz w:val="20"/>
                      <w:szCs w:val="20"/>
                      <w:lang w:val="en-US" w:eastAsia="zh-CN" w:bidi="ar"/>
                    </w:rPr>
                    <w:t>48</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567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795"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rPr>
                  </w:pPr>
                  <w:r>
                    <w:rPr>
                      <w:rFonts w:hint="default" w:ascii="Times New Roman" w:hAnsi="Times New Roman" w:eastAsia="等线" w:cs="Times New Roman"/>
                      <w:color w:val="auto"/>
                      <w:kern w:val="0"/>
                      <w:sz w:val="20"/>
                      <w:szCs w:val="20"/>
                    </w:rPr>
                    <w:t>5</w:t>
                  </w:r>
                  <w:r>
                    <w:rPr>
                      <w:rFonts w:hint="default" w:ascii="Times New Roman" w:hAnsi="Times New Roman" w:cs="Times New Roman"/>
                      <w:color w:val="auto"/>
                      <w:kern w:val="0"/>
                      <w:sz w:val="20"/>
                      <w:szCs w:val="20"/>
                    </w:rPr>
                    <w:t>#</w:t>
                  </w:r>
                  <w:r>
                    <w:rPr>
                      <w:rFonts w:hint="default" w:ascii="Times New Roman" w:hAnsi="Times New Roman" w:eastAsia="宋体" w:cs="Times New Roman"/>
                      <w:color w:val="auto"/>
                      <w:kern w:val="0"/>
                      <w:sz w:val="20"/>
                      <w:szCs w:val="20"/>
                    </w:rPr>
                    <w:t>居民点</w:t>
                  </w:r>
                </w:p>
              </w:tc>
              <w:tc>
                <w:tcPr>
                  <w:tcW w:w="55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-353</w:t>
                  </w:r>
                </w:p>
              </w:tc>
              <w:tc>
                <w:tcPr>
                  <w:tcW w:w="61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329</w:t>
                  </w:r>
                </w:p>
              </w:tc>
              <w:tc>
                <w:tcPr>
                  <w:tcW w:w="770" w:type="dxa"/>
                  <w:tcBorders>
                    <w:tl2br w:val="nil"/>
                    <w:tr2bl w:val="nil"/>
                  </w:tcBorders>
                  <w:vAlign w:val="center"/>
                </w:tcPr>
                <w:p>
                  <w:pPr>
                    <w:pStyle w:val="254"/>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20"/>
                      <w:szCs w:val="20"/>
                      <w:lang w:val="zh-CN" w:eastAsia="zh-CN" w:bidi="zh-CN"/>
                    </w:rPr>
                  </w:pPr>
                  <w:r>
                    <w:rPr>
                      <w:rFonts w:hint="default" w:ascii="Times New Roman" w:hAnsi="Times New Roman" w:eastAsia="宋体" w:cs="Times New Roman"/>
                      <w:color w:val="auto"/>
                      <w:sz w:val="20"/>
                      <w:szCs w:val="20"/>
                    </w:rPr>
                    <w:t>居民</w:t>
                  </w:r>
                </w:p>
              </w:tc>
              <w:tc>
                <w:tcPr>
                  <w:tcW w:w="1242" w:type="dxa"/>
                  <w:tcBorders>
                    <w:tl2br w:val="nil"/>
                    <w:tr2bl w:val="nil"/>
                  </w:tcBorders>
                  <w:vAlign w:val="center"/>
                </w:tcPr>
                <w:p>
                  <w:pPr>
                    <w:pStyle w:val="254"/>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20"/>
                      <w:szCs w:val="20"/>
                      <w:lang w:val="zh-CN" w:eastAsia="zh-CN" w:bidi="zh-CN"/>
                    </w:rPr>
                  </w:pPr>
                  <w:r>
                    <w:rPr>
                      <w:rFonts w:hint="default" w:ascii="Times New Roman" w:hAnsi="Times New Roman" w:eastAsia="等线" w:cs="Times New Roman"/>
                      <w:color w:val="auto"/>
                      <w:sz w:val="20"/>
                      <w:szCs w:val="20"/>
                      <w:lang w:val="en-US" w:eastAsia="zh-CN"/>
                    </w:rPr>
                    <w:t>共3</w:t>
                  </w:r>
                  <w:r>
                    <w:rPr>
                      <w:rFonts w:hint="default" w:ascii="Times New Roman" w:hAnsi="Times New Roman" w:eastAsia="宋体" w:cs="Times New Roman"/>
                      <w:color w:val="auto"/>
                      <w:sz w:val="20"/>
                      <w:szCs w:val="20"/>
                    </w:rPr>
                    <w:t>户</w:t>
                  </w:r>
                  <w:r>
                    <w:rPr>
                      <w:rFonts w:hint="eastAsia" w:ascii="Times New Roman" w:hAnsi="Times New Roman" w:eastAsia="宋体" w:cs="Times New Roman"/>
                      <w:color w:val="auto"/>
                      <w:sz w:val="20"/>
                      <w:szCs w:val="20"/>
                      <w:lang w:eastAsia="zh-CN"/>
                    </w:rPr>
                    <w:t>，</w:t>
                  </w:r>
                  <w:r>
                    <w:rPr>
                      <w:rFonts w:hint="default" w:ascii="Times New Roman" w:hAnsi="Times New Roman" w:eastAsia="宋体" w:cs="Times New Roman"/>
                      <w:color w:val="auto"/>
                      <w:sz w:val="20"/>
                      <w:szCs w:val="20"/>
                      <w:lang w:val="en-US" w:eastAsia="zh-CN"/>
                    </w:rPr>
                    <w:t>10</w:t>
                  </w:r>
                  <w:r>
                    <w:rPr>
                      <w:rFonts w:hint="default" w:ascii="Times New Roman" w:hAnsi="Times New Roman" w:eastAsia="宋体" w:cs="Times New Roman"/>
                      <w:color w:val="auto"/>
                      <w:sz w:val="20"/>
                      <w:szCs w:val="20"/>
                    </w:rPr>
                    <w:t>口人</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等线" w:cs="Times New Roman"/>
                      <w:color w:val="auto"/>
                      <w:kern w:val="2"/>
                      <w:sz w:val="20"/>
                      <w:szCs w:val="20"/>
                      <w:lang w:val="en-US" w:eastAsia="zh-CN" w:bidi="ar-SA"/>
                    </w:rPr>
                  </w:pPr>
                  <w:r>
                    <w:rPr>
                      <w:rFonts w:hint="default" w:ascii="Times New Roman" w:hAnsi="Times New Roman" w:eastAsia="宋体" w:cs="Times New Roman"/>
                      <w:i w:val="0"/>
                      <w:iCs w:val="0"/>
                      <w:color w:val="auto"/>
                      <w:kern w:val="0"/>
                      <w:sz w:val="20"/>
                      <w:szCs w:val="20"/>
                      <w:u w:val="none"/>
                      <w:lang w:val="en-US" w:eastAsia="zh-CN" w:bidi="ar"/>
                    </w:rPr>
                    <w:t>NW</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482</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447</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cs="Times New Roman"/>
                      <w:color w:val="auto"/>
                      <w:kern w:val="0"/>
                      <w:sz w:val="20"/>
                      <w:szCs w:val="20"/>
                      <w:lang w:val="en-US" w:eastAsia="zh-CN" w:bidi="ar"/>
                    </w:rPr>
                    <w:t>-</w:t>
                  </w:r>
                  <w:r>
                    <w:rPr>
                      <w:rFonts w:hint="eastAsia" w:ascii="Times New Roman" w:hAnsi="Times New Roman" w:cs="Times New Roman"/>
                      <w:color w:val="auto"/>
                      <w:kern w:val="0"/>
                      <w:sz w:val="20"/>
                      <w:szCs w:val="20"/>
                      <w:lang w:val="en-US" w:eastAsia="zh-CN" w:bidi="ar"/>
                    </w:rPr>
                    <w:t>140</w:t>
                  </w:r>
                </w:p>
              </w:tc>
              <w:tc>
                <w:tcPr>
                  <w:tcW w:w="79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val="en-US" w:eastAsia="zh-CN" w:bidi="ar"/>
                    </w:rPr>
                  </w:pPr>
                  <w:r>
                    <w:rPr>
                      <w:rFonts w:hint="default" w:ascii="Times New Roman" w:hAnsi="Times New Roman" w:eastAsia="宋体" w:cs="Times New Roman"/>
                      <w:i w:val="0"/>
                      <w:iCs w:val="0"/>
                      <w:color w:val="auto"/>
                      <w:kern w:val="0"/>
                      <w:sz w:val="20"/>
                      <w:szCs w:val="20"/>
                      <w:u w:val="none"/>
                      <w:lang w:val="en-US" w:eastAsia="zh-CN" w:bidi="ar"/>
                    </w:rPr>
                    <w:t>390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795"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0"/>
                      <w:szCs w:val="20"/>
                      <w:lang w:val="en-US"/>
                    </w:rPr>
                  </w:pPr>
                  <w:r>
                    <w:rPr>
                      <w:rFonts w:hint="default" w:ascii="Times New Roman" w:hAnsi="Times New Roman" w:eastAsia="宋体" w:cs="Times New Roman"/>
                      <w:color w:val="auto"/>
                      <w:sz w:val="20"/>
                      <w:szCs w:val="20"/>
                    </w:rPr>
                    <w:t>零散居民点</w:t>
                  </w:r>
                </w:p>
              </w:tc>
              <w:tc>
                <w:tcPr>
                  <w:tcW w:w="555"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pacing w:val="-7"/>
                      <w:sz w:val="20"/>
                      <w:szCs w:val="20"/>
                    </w:rPr>
                  </w:pPr>
                  <w:r>
                    <w:rPr>
                      <w:rFonts w:hint="default" w:ascii="Times New Roman" w:hAnsi="Times New Roman" w:eastAsia="宋体" w:cs="Times New Roman"/>
                      <w:color w:val="auto"/>
                      <w:spacing w:val="-7"/>
                      <w:sz w:val="20"/>
                      <w:szCs w:val="20"/>
                    </w:rPr>
                    <w:t>/</w:t>
                  </w:r>
                </w:p>
              </w:tc>
              <w:tc>
                <w:tcPr>
                  <w:tcW w:w="616"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pacing w:val="-7"/>
                      <w:sz w:val="20"/>
                      <w:szCs w:val="20"/>
                    </w:rPr>
                  </w:pPr>
                  <w:r>
                    <w:rPr>
                      <w:rFonts w:hint="default" w:ascii="Times New Roman" w:hAnsi="Times New Roman" w:eastAsia="宋体" w:cs="Times New Roman"/>
                      <w:color w:val="auto"/>
                      <w:spacing w:val="-7"/>
                      <w:sz w:val="20"/>
                      <w:szCs w:val="20"/>
                    </w:rPr>
                    <w:t>/</w:t>
                  </w:r>
                </w:p>
              </w:tc>
              <w:tc>
                <w:tcPr>
                  <w:tcW w:w="770"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pacing w:val="-7"/>
                      <w:sz w:val="20"/>
                      <w:szCs w:val="20"/>
                      <w:lang w:val="en-US"/>
                    </w:rPr>
                  </w:pPr>
                  <w:r>
                    <w:rPr>
                      <w:rFonts w:hint="default" w:ascii="Times New Roman" w:hAnsi="Times New Roman" w:eastAsia="宋体" w:cs="Times New Roman"/>
                      <w:color w:val="auto"/>
                      <w:sz w:val="20"/>
                      <w:szCs w:val="20"/>
                    </w:rPr>
                    <w:t>居民</w:t>
                  </w:r>
                </w:p>
              </w:tc>
              <w:tc>
                <w:tcPr>
                  <w:tcW w:w="5222" w:type="dxa"/>
                  <w:gridSpan w:val="6"/>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0"/>
                      <w:szCs w:val="20"/>
                      <w:lang w:bidi="ar"/>
                    </w:rPr>
                  </w:pPr>
                  <w:r>
                    <w:rPr>
                      <w:rFonts w:hint="default" w:ascii="Times New Roman" w:hAnsi="Times New Roman" w:cs="Times New Roman"/>
                      <w:color w:val="auto"/>
                      <w:sz w:val="20"/>
                      <w:szCs w:val="20"/>
                    </w:rPr>
                    <w:t>分散居民，约200人，1～2F砖、瓦房</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7958" w:type="dxa"/>
                  <w:gridSpan w:val="10"/>
                  <w:tcBorders>
                    <w:tl2br w:val="nil"/>
                    <w:tr2bl w:val="nil"/>
                  </w:tcBorders>
                  <w:vAlign w:val="center"/>
                </w:tcPr>
                <w:p>
                  <w:pPr>
                    <w:keepNext w:val="0"/>
                    <w:keepLines w:val="0"/>
                    <w:suppressLineNumbers w:val="0"/>
                    <w:adjustRightInd w:val="0"/>
                    <w:snapToGrid w:val="0"/>
                    <w:spacing w:before="0" w:beforeAutospacing="0" w:after="0" w:afterAutospacing="0"/>
                    <w:ind w:left="0" w:right="0"/>
                    <w:jc w:val="both"/>
                    <w:rPr>
                      <w:rFonts w:hint="default" w:ascii="Times New Roman" w:hAnsi="Times New Roman" w:cs="Times New Roman"/>
                      <w:b/>
                      <w:bCs/>
                      <w:color w:val="auto"/>
                      <w:kern w:val="0"/>
                      <w:sz w:val="20"/>
                      <w:szCs w:val="20"/>
                    </w:rPr>
                  </w:pPr>
                  <w:r>
                    <w:rPr>
                      <w:rFonts w:hint="default" w:ascii="Times New Roman" w:hAnsi="Times New Roman" w:cs="Times New Roman"/>
                      <w:b/>
                      <w:bCs/>
                      <w:color w:val="auto"/>
                      <w:kern w:val="0"/>
                      <w:sz w:val="20"/>
                      <w:szCs w:val="20"/>
                    </w:rPr>
                    <w:t>注：以井口为坐标原点。</w:t>
                  </w:r>
                </w:p>
              </w:tc>
            </w:tr>
          </w:tbl>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3、水环境敏感目标</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rPr>
            </w:pPr>
            <w:r>
              <w:rPr>
                <w:rFonts w:hint="default" w:ascii="Times New Roman" w:hAnsi="Times New Roman" w:cs="Times New Roman"/>
                <w:color w:val="auto"/>
                <w:kern w:val="0"/>
                <w:sz w:val="24"/>
              </w:rPr>
              <w:t>地表水：井口500m范围内无大型河流、水库分布，周边水体敏感目标如下所示。</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地表水主要环境保护目标</w:t>
            </w:r>
          </w:p>
          <w:tbl>
            <w:tblPr>
              <w:tblStyle w:val="44"/>
              <w:tblW w:w="5000"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05"/>
              <w:gridCol w:w="1495"/>
              <w:gridCol w:w="3254"/>
              <w:gridCol w:w="1558"/>
              <w:gridCol w:w="109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trPr>
              <w:tc>
                <w:tcPr>
                  <w:tcW w:w="60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序号</w:t>
                  </w:r>
                </w:p>
              </w:tc>
              <w:tc>
                <w:tcPr>
                  <w:tcW w:w="149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保护目标</w:t>
                  </w:r>
                </w:p>
              </w:tc>
              <w:tc>
                <w:tcPr>
                  <w:tcW w:w="325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与项目位置关系、高差、水力联系</w:t>
                  </w:r>
                </w:p>
              </w:tc>
              <w:tc>
                <w:tcPr>
                  <w:tcW w:w="1558"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保护对象及保护要求</w:t>
                  </w:r>
                </w:p>
              </w:tc>
              <w:tc>
                <w:tcPr>
                  <w:tcW w:w="109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环境要素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trPr>
              <w:tc>
                <w:tcPr>
                  <w:tcW w:w="605" w:type="dxa"/>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zCs w:val="21"/>
                      <w:lang w:val="en-US" w:eastAsia="zh-CN"/>
                    </w:rPr>
                  </w:pPr>
                  <w:r>
                    <w:rPr>
                      <w:rFonts w:hint="eastAsia" w:cs="Times New Roman"/>
                      <w:color w:val="auto"/>
                      <w:szCs w:val="21"/>
                      <w:lang w:val="en-US" w:eastAsia="zh-CN"/>
                    </w:rPr>
                    <w:t>1</w:t>
                  </w:r>
                </w:p>
              </w:tc>
              <w:tc>
                <w:tcPr>
                  <w:tcW w:w="1495" w:type="dxa"/>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zCs w:val="21"/>
                      <w:lang w:val="en-US" w:eastAsia="zh-CN"/>
                    </w:rPr>
                  </w:pPr>
                  <w:r>
                    <w:rPr>
                      <w:rFonts w:hint="eastAsia" w:cs="Times New Roman"/>
                      <w:color w:val="auto"/>
                      <w:szCs w:val="21"/>
                      <w:lang w:val="en-US" w:eastAsia="zh-CN"/>
                    </w:rPr>
                    <w:t>山河滩河</w:t>
                  </w:r>
                </w:p>
              </w:tc>
              <w:tc>
                <w:tcPr>
                  <w:tcW w:w="3254"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井口南侧约1.8km，无水力联系</w:t>
                  </w:r>
                </w:p>
              </w:tc>
              <w:tc>
                <w:tcPr>
                  <w:tcW w:w="1558" w:type="dxa"/>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zCs w:val="21"/>
                      <w:lang w:val="en-US" w:eastAsia="zh-CN"/>
                    </w:rPr>
                  </w:pPr>
                  <w:r>
                    <w:rPr>
                      <w:rFonts w:hint="eastAsia" w:cs="Times New Roman"/>
                      <w:color w:val="auto"/>
                      <w:szCs w:val="21"/>
                      <w:lang w:val="en-US" w:eastAsia="zh-CN"/>
                    </w:rPr>
                    <w:t>无水域功能</w:t>
                  </w:r>
                </w:p>
              </w:tc>
              <w:tc>
                <w:tcPr>
                  <w:tcW w:w="109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保护水体不被污染</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trPr>
              <w:tc>
                <w:tcPr>
                  <w:tcW w:w="605" w:type="dxa"/>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zCs w:val="21"/>
                      <w:lang w:eastAsia="zh-CN"/>
                    </w:rPr>
                  </w:pPr>
                  <w:r>
                    <w:rPr>
                      <w:rFonts w:hint="eastAsia" w:cs="Times New Roman"/>
                      <w:color w:val="auto"/>
                      <w:szCs w:val="21"/>
                      <w:lang w:val="en-US" w:eastAsia="zh-CN"/>
                    </w:rPr>
                    <w:t>2</w:t>
                  </w:r>
                </w:p>
              </w:tc>
              <w:tc>
                <w:tcPr>
                  <w:tcW w:w="149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后河</w:t>
                  </w:r>
                </w:p>
              </w:tc>
              <w:tc>
                <w:tcPr>
                  <w:tcW w:w="3254"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井口东侧约</w:t>
                  </w:r>
                  <w:r>
                    <w:rPr>
                      <w:rFonts w:hint="eastAsia" w:cs="Times New Roman"/>
                      <w:color w:val="auto"/>
                      <w:szCs w:val="21"/>
                      <w:lang w:val="en-US" w:eastAsia="zh-CN"/>
                    </w:rPr>
                    <w:t>13</w:t>
                  </w:r>
                  <w:r>
                    <w:rPr>
                      <w:rFonts w:hint="default" w:ascii="Times New Roman" w:hAnsi="Times New Roman" w:cs="Times New Roman"/>
                      <w:color w:val="auto"/>
                      <w:szCs w:val="21"/>
                    </w:rPr>
                    <w:t>km，无水力联系。</w:t>
                  </w:r>
                </w:p>
              </w:tc>
              <w:tc>
                <w:tcPr>
                  <w:tcW w:w="1558" w:type="dxa"/>
                  <w:vAlign w:val="center"/>
                </w:tcPr>
                <w:p>
                  <w:pPr>
                    <w:keepNext w:val="0"/>
                    <w:keepLines w:val="0"/>
                    <w:suppressLineNumbers w:val="0"/>
                    <w:spacing w:before="0" w:beforeAutospacing="0" w:after="0" w:afterAutospacing="0"/>
                    <w:ind w:left="0" w:right="0"/>
                    <w:jc w:val="center"/>
                    <w:rPr>
                      <w:rFonts w:hint="default" w:ascii="Times New Roman" w:hAnsi="Times New Roman" w:eastAsia="微软雅黑" w:cs="Times New Roman"/>
                      <w:color w:val="auto"/>
                      <w:szCs w:val="21"/>
                    </w:rPr>
                  </w:pPr>
                  <w:r>
                    <w:rPr>
                      <w:rFonts w:hint="default" w:ascii="Times New Roman" w:hAnsi="Times New Roman" w:cs="Times New Roman"/>
                      <w:color w:val="auto"/>
                      <w:szCs w:val="21"/>
                    </w:rPr>
                    <w:t>Ⅲ类水域功能</w:t>
                  </w:r>
                </w:p>
              </w:tc>
              <w:tc>
                <w:tcPr>
                  <w:tcW w:w="1095" w:type="dxa"/>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保护水体不被污染</w:t>
                  </w:r>
                </w:p>
              </w:tc>
            </w:tr>
          </w:tbl>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地下水：评价范围内无地下水集中式饮用水水源保护区，区域内居民以自来水作为生活用水，以井水为生活辅助用水。根据现场调查，水井深度一般为30m以内，水位埋深一般为3m以内，取水层位为潜水含水层及微承压水，地下水类型为</w:t>
            </w:r>
            <w:r>
              <w:rPr>
                <w:rFonts w:hint="eastAsia" w:cs="Times New Roman"/>
                <w:color w:val="auto"/>
                <w:kern w:val="0"/>
                <w:sz w:val="24"/>
                <w:lang w:val="en-US" w:eastAsia="zh-CN"/>
              </w:rPr>
              <w:t>基岩</w:t>
            </w:r>
            <w:r>
              <w:rPr>
                <w:rFonts w:hint="default" w:ascii="Times New Roman" w:hAnsi="Times New Roman" w:cs="Times New Roman"/>
                <w:color w:val="auto"/>
                <w:kern w:val="0"/>
                <w:sz w:val="24"/>
              </w:rPr>
              <w:t>裂隙水。因此，本项目地下水环境保护目标为评价范围内的分散式饮用水水源。</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周边水井分布情况一览表</w:t>
            </w:r>
          </w:p>
          <w:tbl>
            <w:tblPr>
              <w:tblStyle w:val="44"/>
              <w:tblW w:w="4983"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28" w:type="dxa"/>
                <w:bottom w:w="0" w:type="dxa"/>
                <w:right w:w="28" w:type="dxa"/>
              </w:tblCellMar>
            </w:tblPr>
            <w:tblGrid>
              <w:gridCol w:w="654"/>
              <w:gridCol w:w="651"/>
              <w:gridCol w:w="651"/>
              <w:gridCol w:w="1169"/>
              <w:gridCol w:w="1156"/>
              <w:gridCol w:w="742"/>
              <w:gridCol w:w="865"/>
              <w:gridCol w:w="952"/>
              <w:gridCol w:w="595"/>
              <w:gridCol w:w="54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 w:val="21"/>
                      <w:szCs w:val="21"/>
                    </w:rPr>
                  </w:pPr>
                  <w:bookmarkStart w:id="27" w:name="_Hlk55815520"/>
                  <w:r>
                    <w:rPr>
                      <w:rFonts w:hint="default" w:ascii="Times New Roman" w:hAnsi="Times New Roman" w:cs="Times New Roman"/>
                      <w:b/>
                      <w:bCs/>
                      <w:color w:val="auto"/>
                      <w:sz w:val="21"/>
                      <w:szCs w:val="21"/>
                    </w:rPr>
                    <w:t>编号</w:t>
                  </w:r>
                </w:p>
              </w:tc>
              <w:tc>
                <w:tcPr>
                  <w:tcW w:w="1302"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位置关系</w:t>
                  </w:r>
                </w:p>
              </w:tc>
              <w:tc>
                <w:tcPr>
                  <w:tcW w:w="2325"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坐标</w:t>
                  </w:r>
                </w:p>
              </w:tc>
              <w:tc>
                <w:tcPr>
                  <w:tcW w:w="742" w:type="dxa"/>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海拔（m）</w:t>
                  </w:r>
                </w:p>
              </w:tc>
              <w:tc>
                <w:tcPr>
                  <w:tcW w:w="865" w:type="dxa"/>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水面至井口（m）</w:t>
                  </w:r>
                </w:p>
              </w:tc>
              <w:tc>
                <w:tcPr>
                  <w:tcW w:w="952" w:type="dxa"/>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水位（m）</w:t>
                  </w:r>
                </w:p>
              </w:tc>
              <w:tc>
                <w:tcPr>
                  <w:tcW w:w="595"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服务规模人口</w:t>
                  </w:r>
                </w:p>
              </w:tc>
              <w:tc>
                <w:tcPr>
                  <w:tcW w:w="545"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地下水类型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21"/>
                      <w:szCs w:val="21"/>
                    </w:rPr>
                  </w:pPr>
                </w:p>
              </w:tc>
              <w:tc>
                <w:tcPr>
                  <w:tcW w:w="6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方位</w:t>
                  </w:r>
                </w:p>
              </w:tc>
              <w:tc>
                <w:tcPr>
                  <w:tcW w:w="65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距离</w:t>
                  </w:r>
                </w:p>
              </w:tc>
              <w:tc>
                <w:tcPr>
                  <w:tcW w:w="116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经度</w:t>
                  </w:r>
                </w:p>
              </w:tc>
              <w:tc>
                <w:tcPr>
                  <w:tcW w:w="115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纬度</w:t>
                  </w:r>
                </w:p>
              </w:tc>
              <w:tc>
                <w:tcPr>
                  <w:tcW w:w="74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21"/>
                      <w:szCs w:val="21"/>
                    </w:rPr>
                  </w:pPr>
                </w:p>
              </w:tc>
              <w:tc>
                <w:tcPr>
                  <w:tcW w:w="865"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21"/>
                      <w:szCs w:val="21"/>
                    </w:rPr>
                  </w:pPr>
                </w:p>
              </w:tc>
              <w:tc>
                <w:tcPr>
                  <w:tcW w:w="95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21"/>
                      <w:szCs w:val="21"/>
                    </w:rPr>
                  </w:pPr>
                </w:p>
              </w:tc>
              <w:tc>
                <w:tcPr>
                  <w:tcW w:w="595"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21"/>
                      <w:szCs w:val="21"/>
                    </w:rPr>
                  </w:pPr>
                </w:p>
              </w:tc>
              <w:tc>
                <w:tcPr>
                  <w:tcW w:w="545"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654"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1"/>
                      <w:szCs w:val="21"/>
                      <w:lang w:bidi="ar"/>
                    </w:rPr>
                  </w:pPr>
                  <w:r>
                    <w:rPr>
                      <w:rFonts w:hint="default" w:ascii="Times New Roman" w:hAnsi="Times New Roman" w:cs="Times New Roman"/>
                      <w:color w:val="auto"/>
                      <w:kern w:val="0"/>
                      <w:sz w:val="21"/>
                      <w:szCs w:val="21"/>
                      <w:lang w:bidi="ar"/>
                    </w:rPr>
                    <w:t>DS1</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SW</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 xml:space="preserve">204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cs="Times New Roman"/>
                      <w:bCs/>
                      <w:color w:val="auto"/>
                      <w:sz w:val="21"/>
                      <w:szCs w:val="21"/>
                      <w:lang w:val="en-US" w:eastAsia="zh-CN"/>
                    </w:rPr>
                    <w:t>*</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cs="Times New Roman"/>
                      <w:bCs/>
                      <w:color w:val="auto"/>
                      <w:sz w:val="21"/>
                      <w:szCs w:val="21"/>
                      <w:lang w:val="en-US" w:eastAsia="zh-CN"/>
                    </w:rPr>
                    <w:t>*</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619</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8.40</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610.60</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cs="Times New Roman"/>
                      <w:color w:val="auto"/>
                      <w:sz w:val="21"/>
                      <w:szCs w:val="21"/>
                    </w:rPr>
                  </w:pPr>
                  <w:r>
                    <w:rPr>
                      <w:rFonts w:hint="eastAsia" w:ascii="Times New Roman" w:hAnsi="Times New Roman" w:eastAsia="宋体" w:cs="Times New Roman"/>
                      <w:color w:val="auto"/>
                      <w:kern w:val="0"/>
                      <w:szCs w:val="21"/>
                      <w:lang w:val="en-US" w:eastAsia="zh-CN" w:bidi="ar"/>
                    </w:rPr>
                    <w:t>3</w:t>
                  </w:r>
                  <w:r>
                    <w:rPr>
                      <w:rFonts w:hint="default" w:ascii="Times New Roman" w:hAnsi="Times New Roman" w:eastAsia="宋体" w:cs="Times New Roman"/>
                      <w:color w:val="auto"/>
                      <w:kern w:val="0"/>
                      <w:szCs w:val="21"/>
                      <w:lang w:bidi="ar"/>
                    </w:rPr>
                    <w:t>户</w:t>
                  </w:r>
                  <w:r>
                    <w:rPr>
                      <w:rFonts w:hint="eastAsia" w:ascii="Times New Roman" w:hAnsi="Times New Roman" w:eastAsia="宋体" w:cs="Times New Roman"/>
                      <w:color w:val="auto"/>
                      <w:kern w:val="0"/>
                      <w:szCs w:val="21"/>
                      <w:lang w:val="en-US" w:eastAsia="zh-CN" w:bidi="ar"/>
                    </w:rPr>
                    <w:t>10</w:t>
                  </w:r>
                  <w:r>
                    <w:rPr>
                      <w:rFonts w:hint="default" w:ascii="Times New Roman" w:hAnsi="Times New Roman" w:eastAsia="宋体" w:cs="Times New Roman"/>
                      <w:color w:val="auto"/>
                      <w:kern w:val="0"/>
                      <w:szCs w:val="21"/>
                      <w:lang w:bidi="ar"/>
                    </w:rPr>
                    <w:t>人</w:t>
                  </w:r>
                </w:p>
              </w:tc>
              <w:tc>
                <w:tcPr>
                  <w:tcW w:w="545"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 w:val="21"/>
                      <w:szCs w:val="21"/>
                    </w:rPr>
                  </w:pPr>
                  <w:r>
                    <w:rPr>
                      <w:rFonts w:hint="default" w:ascii="Times New Roman" w:hAnsi="Times New Roman" w:cs="Times New Roman"/>
                      <w:color w:val="auto"/>
                      <w:sz w:val="21"/>
                      <w:szCs w:val="21"/>
                    </w:rPr>
                    <w:t>水井，</w:t>
                  </w:r>
                  <w:r>
                    <w:rPr>
                      <w:rFonts w:hint="eastAsia" w:cs="Times New Roman"/>
                      <w:color w:val="auto"/>
                      <w:sz w:val="21"/>
                      <w:szCs w:val="21"/>
                      <w:lang w:val="en-US" w:eastAsia="zh-CN"/>
                    </w:rPr>
                    <w:t>基岩</w:t>
                  </w:r>
                  <w:r>
                    <w:rPr>
                      <w:rFonts w:hint="default" w:ascii="Times New Roman" w:hAnsi="Times New Roman" w:cs="Times New Roman"/>
                      <w:color w:val="auto"/>
                      <w:sz w:val="21"/>
                      <w:szCs w:val="21"/>
                    </w:rPr>
                    <w:t>裂隙水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4"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1"/>
                      <w:szCs w:val="21"/>
                      <w:lang w:bidi="ar"/>
                    </w:rPr>
                  </w:pPr>
                  <w:r>
                    <w:rPr>
                      <w:rFonts w:hint="default" w:ascii="Times New Roman" w:hAnsi="Times New Roman" w:cs="Times New Roman"/>
                      <w:color w:val="auto"/>
                      <w:kern w:val="0"/>
                      <w:sz w:val="21"/>
                      <w:szCs w:val="21"/>
                      <w:lang w:bidi="ar"/>
                    </w:rPr>
                    <w:t>DS2</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SE</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 xml:space="preserve">398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cs="Times New Roman"/>
                      <w:bCs/>
                      <w:color w:val="auto"/>
                      <w:sz w:val="21"/>
                      <w:szCs w:val="21"/>
                      <w:lang w:val="en-US" w:eastAsia="zh-CN"/>
                    </w:rPr>
                    <w:t>*</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cs="Times New Roman"/>
                      <w:bCs/>
                      <w:color w:val="auto"/>
                      <w:sz w:val="21"/>
                      <w:szCs w:val="21"/>
                      <w:lang w:val="en-US" w:eastAsia="zh-CN"/>
                    </w:rPr>
                    <w:t>*</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467</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6.20</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460.80</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cs="Times New Roman"/>
                      <w:color w:val="auto"/>
                      <w:sz w:val="21"/>
                      <w:szCs w:val="21"/>
                    </w:rPr>
                  </w:pPr>
                  <w:r>
                    <w:rPr>
                      <w:rFonts w:hint="eastAsia" w:ascii="Times New Roman" w:hAnsi="Times New Roman" w:eastAsia="宋体" w:cs="Times New Roman"/>
                      <w:color w:val="auto"/>
                      <w:kern w:val="0"/>
                      <w:szCs w:val="21"/>
                      <w:lang w:val="en-US" w:eastAsia="zh-CN" w:bidi="ar"/>
                    </w:rPr>
                    <w:t>2</w:t>
                  </w:r>
                  <w:r>
                    <w:rPr>
                      <w:rFonts w:hint="default" w:ascii="Times New Roman" w:hAnsi="Times New Roman" w:eastAsia="宋体" w:cs="Times New Roman"/>
                      <w:color w:val="auto"/>
                      <w:kern w:val="0"/>
                      <w:szCs w:val="21"/>
                      <w:lang w:bidi="ar"/>
                    </w:rPr>
                    <w:t>户</w:t>
                  </w:r>
                  <w:r>
                    <w:rPr>
                      <w:rFonts w:hint="eastAsia" w:ascii="Times New Roman" w:hAnsi="Times New Roman" w:eastAsia="宋体" w:cs="Times New Roman"/>
                      <w:color w:val="auto"/>
                      <w:kern w:val="0"/>
                      <w:szCs w:val="21"/>
                      <w:lang w:val="en-US" w:eastAsia="zh-CN" w:bidi="ar"/>
                    </w:rPr>
                    <w:t>6</w:t>
                  </w:r>
                  <w:r>
                    <w:rPr>
                      <w:rFonts w:hint="default" w:ascii="Times New Roman" w:hAnsi="Times New Roman" w:eastAsia="宋体" w:cs="Times New Roman"/>
                      <w:color w:val="auto"/>
                      <w:kern w:val="0"/>
                      <w:szCs w:val="21"/>
                      <w:lang w:bidi="ar"/>
                    </w:rPr>
                    <w:t>人</w:t>
                  </w:r>
                </w:p>
              </w:tc>
              <w:tc>
                <w:tcPr>
                  <w:tcW w:w="545"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4"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1"/>
                      <w:szCs w:val="21"/>
                      <w:lang w:bidi="ar"/>
                    </w:rPr>
                  </w:pPr>
                  <w:r>
                    <w:rPr>
                      <w:rFonts w:hint="default" w:ascii="Times New Roman" w:hAnsi="Times New Roman" w:cs="Times New Roman"/>
                      <w:color w:val="auto"/>
                      <w:kern w:val="0"/>
                      <w:sz w:val="21"/>
                      <w:szCs w:val="21"/>
                      <w:lang w:bidi="ar"/>
                    </w:rPr>
                    <w:t>DS3</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NW</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 xml:space="preserve">523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cs="Times New Roman"/>
                      <w:bCs/>
                      <w:color w:val="auto"/>
                      <w:sz w:val="21"/>
                      <w:szCs w:val="21"/>
                      <w:lang w:val="en-US" w:eastAsia="zh-CN"/>
                    </w:rPr>
                    <w:t>*</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cs="Times New Roman"/>
                      <w:bCs/>
                      <w:color w:val="auto"/>
                      <w:sz w:val="21"/>
                      <w:szCs w:val="21"/>
                      <w:lang w:val="en-US" w:eastAsia="zh-CN"/>
                    </w:rPr>
                    <w:t>*</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581</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6.50</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575.50</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cs="Times New Roman"/>
                      <w:color w:val="auto"/>
                      <w:sz w:val="21"/>
                      <w:szCs w:val="21"/>
                    </w:rPr>
                  </w:pPr>
                  <w:r>
                    <w:rPr>
                      <w:rFonts w:hint="default" w:ascii="Times New Roman" w:hAnsi="Times New Roman" w:eastAsia="宋体" w:cs="Times New Roman"/>
                      <w:color w:val="auto"/>
                      <w:kern w:val="0"/>
                      <w:szCs w:val="21"/>
                      <w:lang w:bidi="ar"/>
                    </w:rPr>
                    <w:t>2户7人</w:t>
                  </w:r>
                </w:p>
              </w:tc>
              <w:tc>
                <w:tcPr>
                  <w:tcW w:w="545"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4"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1"/>
                      <w:szCs w:val="21"/>
                      <w:lang w:bidi="ar"/>
                    </w:rPr>
                  </w:pPr>
                  <w:r>
                    <w:rPr>
                      <w:rFonts w:hint="default" w:ascii="Times New Roman" w:hAnsi="Times New Roman" w:cs="Times New Roman"/>
                      <w:color w:val="auto"/>
                      <w:kern w:val="0"/>
                      <w:sz w:val="21"/>
                      <w:szCs w:val="21"/>
                      <w:lang w:bidi="ar"/>
                    </w:rPr>
                    <w:t>DS4</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SW</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 xml:space="preserve">593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cs="Times New Roman"/>
                      <w:bCs/>
                      <w:color w:val="auto"/>
                      <w:sz w:val="21"/>
                      <w:szCs w:val="21"/>
                      <w:lang w:val="en-US" w:eastAsia="zh-CN"/>
                    </w:rPr>
                    <w:t>*</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cs="Times New Roman"/>
                      <w:bCs/>
                      <w:color w:val="auto"/>
                      <w:sz w:val="21"/>
                      <w:szCs w:val="21"/>
                      <w:lang w:val="en-US" w:eastAsia="zh-CN"/>
                    </w:rPr>
                    <w:t>*</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438</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7.20</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430.80</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cs="Times New Roman"/>
                      <w:color w:val="auto"/>
                      <w:sz w:val="21"/>
                      <w:szCs w:val="21"/>
                    </w:rPr>
                  </w:pPr>
                  <w:r>
                    <w:rPr>
                      <w:rFonts w:hint="default" w:ascii="Times New Roman" w:hAnsi="Times New Roman" w:eastAsia="宋体" w:cs="Times New Roman"/>
                      <w:color w:val="auto"/>
                      <w:kern w:val="0"/>
                      <w:szCs w:val="21"/>
                      <w:lang w:bidi="ar"/>
                    </w:rPr>
                    <w:t>1户3人</w:t>
                  </w:r>
                </w:p>
              </w:tc>
              <w:tc>
                <w:tcPr>
                  <w:tcW w:w="545"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4"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1"/>
                      <w:szCs w:val="21"/>
                      <w:lang w:bidi="ar"/>
                    </w:rPr>
                  </w:pPr>
                  <w:r>
                    <w:rPr>
                      <w:rFonts w:hint="default" w:ascii="Times New Roman" w:hAnsi="Times New Roman" w:cs="Times New Roman"/>
                      <w:color w:val="auto"/>
                      <w:kern w:val="0"/>
                      <w:sz w:val="21"/>
                      <w:szCs w:val="21"/>
                      <w:lang w:bidi="ar"/>
                    </w:rPr>
                    <w:t>DS5</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SW</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 xml:space="preserve">990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cs="Times New Roman"/>
                      <w:bCs/>
                      <w:color w:val="auto"/>
                      <w:sz w:val="21"/>
                      <w:szCs w:val="21"/>
                      <w:lang w:val="en-US" w:eastAsia="zh-CN"/>
                    </w:rPr>
                    <w:t>*</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cs="Times New Roman"/>
                      <w:bCs/>
                      <w:color w:val="auto"/>
                      <w:sz w:val="21"/>
                      <w:szCs w:val="21"/>
                      <w:lang w:val="en-US" w:eastAsia="zh-CN"/>
                    </w:rPr>
                    <w:t>*</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402</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8.10</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393.90</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cs="Times New Roman"/>
                      <w:color w:val="auto"/>
                      <w:sz w:val="21"/>
                      <w:szCs w:val="21"/>
                    </w:rPr>
                  </w:pPr>
                  <w:r>
                    <w:rPr>
                      <w:rFonts w:hint="default" w:ascii="Times New Roman" w:hAnsi="Times New Roman" w:eastAsia="宋体" w:cs="Times New Roman"/>
                      <w:color w:val="auto"/>
                      <w:kern w:val="0"/>
                      <w:szCs w:val="21"/>
                      <w:lang w:bidi="ar"/>
                    </w:rPr>
                    <w:t>1户3人</w:t>
                  </w:r>
                </w:p>
              </w:tc>
              <w:tc>
                <w:tcPr>
                  <w:tcW w:w="545"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4"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1"/>
                      <w:szCs w:val="21"/>
                      <w:lang w:bidi="ar"/>
                    </w:rPr>
                  </w:pPr>
                  <w:r>
                    <w:rPr>
                      <w:rFonts w:hint="default" w:ascii="Times New Roman" w:hAnsi="Times New Roman" w:cs="Times New Roman"/>
                      <w:color w:val="auto"/>
                      <w:kern w:val="0"/>
                      <w:sz w:val="21"/>
                      <w:szCs w:val="21"/>
                      <w:lang w:bidi="ar"/>
                    </w:rPr>
                    <w:t>DS6</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SW</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 xml:space="preserve">868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cs="Times New Roman"/>
                      <w:bCs/>
                      <w:color w:val="auto"/>
                      <w:sz w:val="21"/>
                      <w:szCs w:val="21"/>
                      <w:lang w:val="en-US" w:eastAsia="zh-CN"/>
                    </w:rPr>
                    <w:t>*</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cs="Times New Roman"/>
                      <w:bCs/>
                      <w:color w:val="auto"/>
                      <w:sz w:val="21"/>
                      <w:szCs w:val="21"/>
                      <w:lang w:val="en-US" w:eastAsia="zh-CN"/>
                    </w:rPr>
                    <w:t>*</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407</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5.30</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401.70</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cs="Times New Roman"/>
                      <w:color w:val="auto"/>
                      <w:sz w:val="21"/>
                      <w:szCs w:val="21"/>
                    </w:rPr>
                  </w:pPr>
                  <w:r>
                    <w:rPr>
                      <w:rFonts w:hint="eastAsia" w:ascii="Times New Roman" w:hAnsi="Times New Roman" w:eastAsia="宋体" w:cs="Times New Roman"/>
                      <w:color w:val="auto"/>
                      <w:kern w:val="0"/>
                      <w:szCs w:val="21"/>
                      <w:lang w:val="en-US" w:eastAsia="zh-CN" w:bidi="ar"/>
                    </w:rPr>
                    <w:t>2</w:t>
                  </w:r>
                  <w:r>
                    <w:rPr>
                      <w:rFonts w:hint="default" w:ascii="Times New Roman" w:hAnsi="Times New Roman" w:eastAsia="宋体" w:cs="Times New Roman"/>
                      <w:color w:val="auto"/>
                      <w:kern w:val="0"/>
                      <w:szCs w:val="21"/>
                      <w:lang w:bidi="ar"/>
                    </w:rPr>
                    <w:t>户</w:t>
                  </w:r>
                  <w:r>
                    <w:rPr>
                      <w:rFonts w:hint="eastAsia" w:ascii="Times New Roman" w:hAnsi="Times New Roman" w:eastAsia="宋体" w:cs="Times New Roman"/>
                      <w:color w:val="auto"/>
                      <w:kern w:val="0"/>
                      <w:szCs w:val="21"/>
                      <w:lang w:val="en-US" w:eastAsia="zh-CN" w:bidi="ar"/>
                    </w:rPr>
                    <w:t>6</w:t>
                  </w:r>
                  <w:r>
                    <w:rPr>
                      <w:rFonts w:hint="default" w:ascii="Times New Roman" w:hAnsi="Times New Roman" w:eastAsia="宋体" w:cs="Times New Roman"/>
                      <w:color w:val="auto"/>
                      <w:kern w:val="0"/>
                      <w:szCs w:val="21"/>
                      <w:lang w:bidi="ar"/>
                    </w:rPr>
                    <w:t>人</w:t>
                  </w:r>
                </w:p>
              </w:tc>
              <w:tc>
                <w:tcPr>
                  <w:tcW w:w="545"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4"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1"/>
                      <w:szCs w:val="21"/>
                      <w:lang w:bidi="ar"/>
                    </w:rPr>
                  </w:pPr>
                  <w:r>
                    <w:rPr>
                      <w:rFonts w:hint="default" w:ascii="Times New Roman" w:hAnsi="Times New Roman" w:cs="Times New Roman"/>
                      <w:color w:val="auto"/>
                      <w:kern w:val="0"/>
                      <w:sz w:val="21"/>
                      <w:szCs w:val="21"/>
                      <w:lang w:bidi="ar"/>
                    </w:rPr>
                    <w:t>DS7</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NW</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 xml:space="preserve">697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cs="Times New Roman"/>
                      <w:bCs/>
                      <w:color w:val="auto"/>
                      <w:sz w:val="21"/>
                      <w:szCs w:val="21"/>
                      <w:lang w:val="en-US" w:eastAsia="zh-CN"/>
                    </w:rPr>
                    <w:t>*</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cs="Times New Roman"/>
                      <w:bCs/>
                      <w:color w:val="auto"/>
                      <w:sz w:val="21"/>
                      <w:szCs w:val="21"/>
                      <w:lang w:val="en-US" w:eastAsia="zh-CN"/>
                    </w:rPr>
                    <w:t>*</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583</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6.10</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576.90</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cs="Times New Roman"/>
                      <w:color w:val="auto"/>
                      <w:sz w:val="21"/>
                      <w:szCs w:val="21"/>
                    </w:rPr>
                  </w:pPr>
                  <w:r>
                    <w:rPr>
                      <w:rFonts w:hint="default" w:ascii="Times New Roman" w:hAnsi="Times New Roman" w:eastAsia="宋体" w:cs="Times New Roman"/>
                      <w:color w:val="auto"/>
                      <w:kern w:val="0"/>
                      <w:szCs w:val="21"/>
                      <w:lang w:bidi="ar"/>
                    </w:rPr>
                    <w:t>2户</w:t>
                  </w:r>
                  <w:r>
                    <w:rPr>
                      <w:rFonts w:hint="eastAsia" w:ascii="Times New Roman" w:hAnsi="Times New Roman" w:eastAsia="宋体" w:cs="Times New Roman"/>
                      <w:color w:val="auto"/>
                      <w:kern w:val="0"/>
                      <w:szCs w:val="21"/>
                      <w:lang w:val="en-US" w:eastAsia="zh-CN" w:bidi="ar"/>
                    </w:rPr>
                    <w:t>6</w:t>
                  </w:r>
                  <w:r>
                    <w:rPr>
                      <w:rFonts w:hint="default" w:ascii="Times New Roman" w:hAnsi="Times New Roman" w:eastAsia="宋体" w:cs="Times New Roman"/>
                      <w:color w:val="auto"/>
                      <w:kern w:val="0"/>
                      <w:szCs w:val="21"/>
                      <w:lang w:bidi="ar"/>
                    </w:rPr>
                    <w:t>人</w:t>
                  </w:r>
                </w:p>
              </w:tc>
              <w:tc>
                <w:tcPr>
                  <w:tcW w:w="545"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4"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1"/>
                      <w:szCs w:val="21"/>
                      <w:lang w:bidi="ar"/>
                    </w:rPr>
                  </w:pPr>
                  <w:r>
                    <w:rPr>
                      <w:rFonts w:hint="default" w:ascii="Times New Roman" w:hAnsi="Times New Roman" w:cs="Times New Roman"/>
                      <w:color w:val="auto"/>
                      <w:kern w:val="0"/>
                      <w:sz w:val="21"/>
                      <w:szCs w:val="21"/>
                      <w:lang w:bidi="ar"/>
                    </w:rPr>
                    <w:t>DS8</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SE</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 xml:space="preserve">608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cs="Times New Roman"/>
                      <w:bCs/>
                      <w:color w:val="auto"/>
                      <w:sz w:val="21"/>
                      <w:szCs w:val="21"/>
                      <w:lang w:val="en-US" w:eastAsia="zh-CN"/>
                    </w:rPr>
                    <w:t>*</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cs="Times New Roman"/>
                      <w:bCs/>
                      <w:color w:val="auto"/>
                      <w:sz w:val="21"/>
                      <w:szCs w:val="21"/>
                      <w:lang w:val="en-US" w:eastAsia="zh-CN"/>
                    </w:rPr>
                    <w:t>*</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404</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4.90</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399.10</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cs="Times New Roman"/>
                      <w:color w:val="auto"/>
                      <w:sz w:val="21"/>
                      <w:szCs w:val="21"/>
                    </w:rPr>
                  </w:pPr>
                  <w:r>
                    <w:rPr>
                      <w:rFonts w:hint="default" w:ascii="Times New Roman" w:hAnsi="Times New Roman" w:eastAsia="宋体" w:cs="Times New Roman"/>
                      <w:color w:val="auto"/>
                      <w:kern w:val="0"/>
                      <w:szCs w:val="21"/>
                      <w:lang w:bidi="ar"/>
                    </w:rPr>
                    <w:t>2户</w:t>
                  </w:r>
                  <w:r>
                    <w:rPr>
                      <w:rFonts w:hint="eastAsia" w:ascii="Times New Roman" w:hAnsi="Times New Roman" w:eastAsia="宋体" w:cs="Times New Roman"/>
                      <w:color w:val="auto"/>
                      <w:kern w:val="0"/>
                      <w:szCs w:val="21"/>
                      <w:lang w:val="en-US" w:eastAsia="zh-CN" w:bidi="ar"/>
                    </w:rPr>
                    <w:t>7</w:t>
                  </w:r>
                  <w:r>
                    <w:rPr>
                      <w:rFonts w:hint="default" w:ascii="Times New Roman" w:hAnsi="Times New Roman" w:eastAsia="宋体" w:cs="Times New Roman"/>
                      <w:color w:val="auto"/>
                      <w:kern w:val="0"/>
                      <w:szCs w:val="21"/>
                      <w:lang w:bidi="ar"/>
                    </w:rPr>
                    <w:t>人</w:t>
                  </w:r>
                </w:p>
              </w:tc>
              <w:tc>
                <w:tcPr>
                  <w:tcW w:w="545"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4"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1"/>
                      <w:szCs w:val="21"/>
                      <w:lang w:bidi="ar"/>
                    </w:rPr>
                  </w:pPr>
                  <w:r>
                    <w:rPr>
                      <w:rFonts w:hint="default" w:ascii="Times New Roman" w:hAnsi="Times New Roman" w:cs="Times New Roman"/>
                      <w:color w:val="auto"/>
                      <w:kern w:val="0"/>
                      <w:sz w:val="21"/>
                      <w:szCs w:val="21"/>
                      <w:lang w:bidi="ar"/>
                    </w:rPr>
                    <w:t>DS9</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NW</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 xml:space="preserve">618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cs="Times New Roman"/>
                      <w:bCs/>
                      <w:color w:val="auto"/>
                      <w:sz w:val="21"/>
                      <w:szCs w:val="21"/>
                      <w:lang w:val="en-US" w:eastAsia="zh-CN"/>
                    </w:rPr>
                    <w:t>*</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cs="Times New Roman"/>
                      <w:bCs/>
                      <w:color w:val="auto"/>
                      <w:sz w:val="21"/>
                      <w:szCs w:val="21"/>
                      <w:lang w:val="en-US" w:eastAsia="zh-CN"/>
                    </w:rPr>
                    <w:t>*</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569</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6.40</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562.60</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cs="Times New Roman"/>
                      <w:color w:val="auto"/>
                      <w:sz w:val="21"/>
                      <w:szCs w:val="21"/>
                    </w:rPr>
                  </w:pPr>
                  <w:r>
                    <w:rPr>
                      <w:rFonts w:hint="eastAsia" w:ascii="Times New Roman" w:hAnsi="Times New Roman" w:eastAsia="宋体" w:cs="Times New Roman"/>
                      <w:color w:val="auto"/>
                      <w:kern w:val="0"/>
                      <w:szCs w:val="21"/>
                      <w:lang w:val="en-US" w:eastAsia="zh-CN" w:bidi="ar"/>
                    </w:rPr>
                    <w:t>2</w:t>
                  </w:r>
                  <w:r>
                    <w:rPr>
                      <w:rFonts w:hint="default" w:ascii="Times New Roman" w:hAnsi="Times New Roman" w:eastAsia="宋体" w:cs="Times New Roman"/>
                      <w:color w:val="auto"/>
                      <w:kern w:val="0"/>
                      <w:szCs w:val="21"/>
                      <w:lang w:bidi="ar"/>
                    </w:rPr>
                    <w:t>户</w:t>
                  </w:r>
                  <w:r>
                    <w:rPr>
                      <w:rFonts w:hint="eastAsia" w:ascii="Times New Roman" w:hAnsi="Times New Roman" w:eastAsia="宋体" w:cs="Times New Roman"/>
                      <w:color w:val="auto"/>
                      <w:kern w:val="0"/>
                      <w:szCs w:val="21"/>
                      <w:lang w:val="en-US" w:eastAsia="zh-CN" w:bidi="ar"/>
                    </w:rPr>
                    <w:t>6</w:t>
                  </w:r>
                  <w:r>
                    <w:rPr>
                      <w:rFonts w:hint="default" w:ascii="Times New Roman" w:hAnsi="Times New Roman" w:eastAsia="宋体" w:cs="Times New Roman"/>
                      <w:color w:val="auto"/>
                      <w:kern w:val="0"/>
                      <w:szCs w:val="21"/>
                      <w:lang w:bidi="ar"/>
                    </w:rPr>
                    <w:t>人</w:t>
                  </w:r>
                </w:p>
              </w:tc>
              <w:tc>
                <w:tcPr>
                  <w:tcW w:w="545"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28" w:type="dxa"/>
                  <w:bottom w:w="0" w:type="dxa"/>
                  <w:right w:w="28" w:type="dxa"/>
                </w:tblCellMar>
              </w:tblPrEx>
              <w:trPr>
                <w:trHeight w:val="369" w:hRule="atLeast"/>
                <w:jc w:val="center"/>
              </w:trPr>
              <w:tc>
                <w:tcPr>
                  <w:tcW w:w="654"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 w:val="21"/>
                      <w:szCs w:val="21"/>
                      <w:lang w:bidi="ar"/>
                    </w:rPr>
                  </w:pPr>
                  <w:r>
                    <w:rPr>
                      <w:rFonts w:hint="default" w:ascii="Times New Roman" w:hAnsi="Times New Roman" w:cs="Times New Roman"/>
                      <w:color w:val="auto"/>
                      <w:kern w:val="0"/>
                      <w:sz w:val="21"/>
                      <w:szCs w:val="21"/>
                      <w:lang w:bidi="ar"/>
                    </w:rPr>
                    <w:t>DS10</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SE</w:t>
                  </w:r>
                </w:p>
              </w:tc>
              <w:tc>
                <w:tcPr>
                  <w:tcW w:w="651"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 xml:space="preserve">638 </w:t>
                  </w:r>
                </w:p>
              </w:tc>
              <w:tc>
                <w:tcPr>
                  <w:tcW w:w="1169"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cs="Times New Roman"/>
                      <w:bCs/>
                      <w:color w:val="auto"/>
                      <w:sz w:val="21"/>
                      <w:szCs w:val="21"/>
                      <w:lang w:val="en-US" w:eastAsia="zh-CN"/>
                    </w:rPr>
                    <w:t>*</w:t>
                  </w:r>
                </w:p>
              </w:tc>
              <w:tc>
                <w:tcPr>
                  <w:tcW w:w="1156"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cs="Times New Roman"/>
                      <w:bCs/>
                      <w:color w:val="auto"/>
                      <w:sz w:val="21"/>
                      <w:szCs w:val="21"/>
                      <w:lang w:val="en-US" w:eastAsia="zh-CN"/>
                    </w:rPr>
                    <w:t>*</w:t>
                  </w:r>
                </w:p>
              </w:tc>
              <w:tc>
                <w:tcPr>
                  <w:tcW w:w="74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408</w:t>
                  </w:r>
                </w:p>
              </w:tc>
              <w:tc>
                <w:tcPr>
                  <w:tcW w:w="865"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4.80</w:t>
                  </w:r>
                </w:p>
              </w:tc>
              <w:tc>
                <w:tcPr>
                  <w:tcW w:w="952"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0"/>
                      <w:sz w:val="22"/>
                      <w:szCs w:val="22"/>
                      <w:u w:val="none"/>
                      <w:lang w:val="en-US" w:eastAsia="zh-CN" w:bidi="ar"/>
                    </w:rPr>
                  </w:pPr>
                  <w:r>
                    <w:rPr>
                      <w:rFonts w:hint="eastAsia" w:ascii="Times New Roman" w:hAnsi="Times New Roman" w:eastAsia="宋体" w:cs="Times New Roman"/>
                      <w:i w:val="0"/>
                      <w:iCs w:val="0"/>
                      <w:color w:val="auto"/>
                      <w:kern w:val="0"/>
                      <w:sz w:val="22"/>
                      <w:szCs w:val="22"/>
                      <w:u w:val="none"/>
                      <w:lang w:val="en-US" w:eastAsia="zh-CN" w:bidi="ar"/>
                    </w:rPr>
                    <w:t>403.20</w:t>
                  </w:r>
                </w:p>
              </w:tc>
              <w:tc>
                <w:tcPr>
                  <w:tcW w:w="595" w:type="dxa"/>
                  <w:tcBorders>
                    <w:tl2br w:val="nil"/>
                    <w:tr2bl w:val="nil"/>
                  </w:tcBorders>
                  <w:vAlign w:val="center"/>
                </w:tcPr>
                <w:p>
                  <w:pPr>
                    <w:keepNext w:val="0"/>
                    <w:keepLines w:val="0"/>
                    <w:widowControl/>
                    <w:suppressLineNumbers w:val="0"/>
                    <w:topLinePunct/>
                    <w:adjustRightInd w:val="0"/>
                    <w:spacing w:before="0" w:beforeAutospacing="0" w:after="0" w:afterAutospacing="0"/>
                    <w:ind w:left="0" w:right="0"/>
                    <w:jc w:val="center"/>
                    <w:textAlignment w:val="center"/>
                    <w:rPr>
                      <w:rFonts w:hint="default" w:ascii="Times New Roman" w:hAnsi="Times New Roman" w:cs="Times New Roman"/>
                      <w:color w:val="auto"/>
                      <w:sz w:val="21"/>
                      <w:szCs w:val="21"/>
                    </w:rPr>
                  </w:pPr>
                  <w:r>
                    <w:rPr>
                      <w:rFonts w:hint="default" w:ascii="Times New Roman" w:hAnsi="Times New Roman" w:eastAsia="宋体" w:cs="Times New Roman"/>
                      <w:color w:val="auto"/>
                      <w:kern w:val="0"/>
                      <w:szCs w:val="21"/>
                      <w:lang w:bidi="ar"/>
                    </w:rPr>
                    <w:t>1户3人</w:t>
                  </w:r>
                </w:p>
              </w:tc>
              <w:tc>
                <w:tcPr>
                  <w:tcW w:w="545"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 w:val="21"/>
                      <w:szCs w:val="21"/>
                    </w:rPr>
                  </w:pPr>
                </w:p>
              </w:tc>
            </w:tr>
            <w:bookmarkEnd w:id="27"/>
          </w:tbl>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4、土壤环境敏感目标</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井口周边200m范围内分布的耕地。</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土壤环境保护目标表</w:t>
            </w:r>
          </w:p>
          <w:tbl>
            <w:tblPr>
              <w:tblStyle w:val="44"/>
              <w:tblpPr w:vertAnchor="text" w:tblpXSpec="center" w:tblpY="1"/>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39"/>
              <w:gridCol w:w="1131"/>
              <w:gridCol w:w="3419"/>
              <w:gridCol w:w="281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399"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kern w:val="0"/>
                      <w:szCs w:val="21"/>
                    </w:rPr>
                  </w:pPr>
                  <w:r>
                    <w:rPr>
                      <w:rFonts w:hint="default" w:ascii="Times New Roman" w:hAnsi="Times New Roman" w:cs="Times New Roman"/>
                      <w:color w:val="auto"/>
                      <w:szCs w:val="21"/>
                    </w:rPr>
                    <w:t>序号</w:t>
                  </w:r>
                </w:p>
              </w:tc>
              <w:tc>
                <w:tcPr>
                  <w:tcW w:w="706"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21"/>
                    </w:rPr>
                  </w:pPr>
                  <w:r>
                    <w:rPr>
                      <w:rFonts w:hint="default" w:ascii="Times New Roman" w:hAnsi="Times New Roman" w:cs="Times New Roman"/>
                      <w:color w:val="auto"/>
                      <w:szCs w:val="21"/>
                    </w:rPr>
                    <w:t>保护目标</w:t>
                  </w:r>
                </w:p>
              </w:tc>
              <w:tc>
                <w:tcPr>
                  <w:tcW w:w="2135"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21"/>
                    </w:rPr>
                  </w:pPr>
                  <w:r>
                    <w:rPr>
                      <w:rFonts w:hint="default" w:ascii="Times New Roman" w:hAnsi="Times New Roman" w:cs="Times New Roman"/>
                      <w:color w:val="auto"/>
                      <w:szCs w:val="21"/>
                    </w:rPr>
                    <w:t>位置关系</w:t>
                  </w:r>
                </w:p>
              </w:tc>
              <w:tc>
                <w:tcPr>
                  <w:tcW w:w="1760"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21"/>
                    </w:rPr>
                  </w:pPr>
                  <w:r>
                    <w:rPr>
                      <w:rFonts w:hint="default" w:ascii="Times New Roman" w:hAnsi="Times New Roman" w:cs="Times New Roman"/>
                      <w:color w:val="auto"/>
                      <w:szCs w:val="21"/>
                    </w:rPr>
                    <w:t>环境敏感特性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99"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21"/>
                    </w:rPr>
                  </w:pPr>
                  <w:r>
                    <w:rPr>
                      <w:rFonts w:hint="default" w:ascii="Times New Roman" w:hAnsi="Times New Roman" w:cs="Times New Roman"/>
                      <w:color w:val="auto"/>
                      <w:szCs w:val="21"/>
                    </w:rPr>
                    <w:t>1</w:t>
                  </w:r>
                </w:p>
              </w:tc>
              <w:tc>
                <w:tcPr>
                  <w:tcW w:w="706"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21"/>
                    </w:rPr>
                  </w:pPr>
                  <w:r>
                    <w:rPr>
                      <w:rFonts w:hint="default" w:ascii="Times New Roman" w:hAnsi="Times New Roman" w:cs="Times New Roman"/>
                      <w:color w:val="auto"/>
                      <w:szCs w:val="21"/>
                    </w:rPr>
                    <w:t>基本农田、耕地</w:t>
                  </w:r>
                </w:p>
              </w:tc>
              <w:tc>
                <w:tcPr>
                  <w:tcW w:w="2135"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21"/>
                    </w:rPr>
                  </w:pPr>
                  <w:r>
                    <w:rPr>
                      <w:rFonts w:hint="default" w:ascii="Times New Roman" w:hAnsi="Times New Roman" w:cs="Times New Roman"/>
                      <w:color w:val="auto"/>
                      <w:szCs w:val="21"/>
                    </w:rPr>
                    <w:t>占地范围及占地范围外200m范围内的耕地。</w:t>
                  </w:r>
                </w:p>
              </w:tc>
              <w:tc>
                <w:tcPr>
                  <w:tcW w:w="1760"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21"/>
                    </w:rPr>
                  </w:pPr>
                  <w:r>
                    <w:rPr>
                      <w:rFonts w:hint="default" w:ascii="Times New Roman" w:hAnsi="Times New Roman" w:cs="Times New Roman"/>
                      <w:color w:val="auto"/>
                      <w:szCs w:val="21"/>
                    </w:rPr>
                    <w:t>土壤类型为中性紫色土</w:t>
                  </w:r>
                </w:p>
              </w:tc>
            </w:tr>
          </w:tbl>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5、声环境敏感目标</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本次主要调查井口及放喷池周边200m范围内居民情况，本项目主放喷池200m范围内无居民分布，井口200m范围内存在</w:t>
            </w:r>
            <w:r>
              <w:rPr>
                <w:rFonts w:hint="eastAsia" w:cs="Times New Roman"/>
                <w:color w:val="auto"/>
                <w:kern w:val="0"/>
                <w:sz w:val="24"/>
                <w:lang w:val="en-US" w:eastAsia="zh-CN"/>
              </w:rPr>
              <w:t>1</w:t>
            </w:r>
            <w:r>
              <w:rPr>
                <w:rFonts w:hint="default" w:ascii="Times New Roman" w:hAnsi="Times New Roman" w:cs="Times New Roman"/>
                <w:color w:val="auto"/>
                <w:kern w:val="0"/>
                <w:sz w:val="24"/>
              </w:rPr>
              <w:t>处居民，如下表所示。</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声环境主要保护目标一览表</w:t>
            </w:r>
          </w:p>
          <w:tbl>
            <w:tblPr>
              <w:tblStyle w:val="44"/>
              <w:tblW w:w="4998"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68" w:type="dxa"/>
                <w:bottom w:w="0" w:type="dxa"/>
                <w:right w:w="68" w:type="dxa"/>
              </w:tblCellMar>
            </w:tblPr>
            <w:tblGrid>
              <w:gridCol w:w="703"/>
              <w:gridCol w:w="1233"/>
              <w:gridCol w:w="756"/>
              <w:gridCol w:w="756"/>
              <w:gridCol w:w="764"/>
              <w:gridCol w:w="759"/>
              <w:gridCol w:w="759"/>
              <w:gridCol w:w="1113"/>
              <w:gridCol w:w="116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8" w:type="dxa"/>
                  <w:bottom w:w="0" w:type="dxa"/>
                  <w:right w:w="68" w:type="dxa"/>
                </w:tblCellMar>
              </w:tblPrEx>
              <w:trPr>
                <w:trHeight w:val="369" w:hRule="atLeast"/>
                <w:tblHeader/>
                <w:jc w:val="center"/>
              </w:trPr>
              <w:tc>
                <w:tcPr>
                  <w:tcW w:w="439" w:type="pct"/>
                  <w:vMerge w:val="restart"/>
                  <w:tcBorders>
                    <w:tl2br w:val="nil"/>
                    <w:tr2bl w:val="nil"/>
                  </w:tcBorders>
                  <w:noWrap/>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kern w:val="0"/>
                      <w:szCs w:val="18"/>
                    </w:rPr>
                  </w:pPr>
                  <w:r>
                    <w:rPr>
                      <w:rFonts w:hint="default" w:ascii="Times New Roman" w:hAnsi="Times New Roman" w:cs="Times New Roman"/>
                      <w:color w:val="auto"/>
                      <w:szCs w:val="18"/>
                    </w:rPr>
                    <w:t>序号</w:t>
                  </w:r>
                </w:p>
              </w:tc>
              <w:tc>
                <w:tcPr>
                  <w:tcW w:w="770" w:type="pct"/>
                  <w:vMerge w:val="restar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18"/>
                    </w:rPr>
                  </w:pPr>
                  <w:r>
                    <w:rPr>
                      <w:rFonts w:hint="default" w:ascii="Times New Roman" w:hAnsi="Times New Roman" w:cs="Times New Roman"/>
                      <w:color w:val="auto"/>
                      <w:szCs w:val="18"/>
                    </w:rPr>
                    <w:t>声环境保护目标名称</w:t>
                  </w:r>
                </w:p>
              </w:tc>
              <w:tc>
                <w:tcPr>
                  <w:tcW w:w="1421" w:type="pct"/>
                  <w:gridSpan w:val="3"/>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18"/>
                    </w:rPr>
                  </w:pPr>
                  <w:r>
                    <w:rPr>
                      <w:rFonts w:hint="default" w:ascii="Times New Roman" w:hAnsi="Times New Roman" w:cs="Times New Roman"/>
                      <w:color w:val="auto"/>
                      <w:szCs w:val="18"/>
                    </w:rPr>
                    <w:t>空间相对位置</w:t>
                  </w:r>
                </w:p>
              </w:tc>
              <w:tc>
                <w:tcPr>
                  <w:tcW w:w="474" w:type="pct"/>
                  <w:vMerge w:val="restar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18"/>
                    </w:rPr>
                  </w:pPr>
                  <w:r>
                    <w:rPr>
                      <w:rFonts w:hint="default" w:ascii="Times New Roman" w:hAnsi="Times New Roman" w:cs="Times New Roman"/>
                      <w:color w:val="auto"/>
                      <w:szCs w:val="18"/>
                    </w:rPr>
                    <w:t>距离井口/m</w:t>
                  </w:r>
                </w:p>
              </w:tc>
              <w:tc>
                <w:tcPr>
                  <w:tcW w:w="474" w:type="pct"/>
                  <w:vMerge w:val="restar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18"/>
                    </w:rPr>
                  </w:pPr>
                  <w:r>
                    <w:rPr>
                      <w:rFonts w:hint="default" w:ascii="Times New Roman" w:hAnsi="Times New Roman" w:cs="Times New Roman"/>
                      <w:color w:val="auto"/>
                      <w:szCs w:val="18"/>
                    </w:rPr>
                    <w:t>方位</w:t>
                  </w:r>
                </w:p>
              </w:tc>
              <w:tc>
                <w:tcPr>
                  <w:tcW w:w="695" w:type="pct"/>
                  <w:vMerge w:val="restar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18"/>
                    </w:rPr>
                  </w:pPr>
                  <w:r>
                    <w:rPr>
                      <w:rFonts w:hint="default" w:ascii="Times New Roman" w:hAnsi="Times New Roman" w:cs="Times New Roman"/>
                      <w:color w:val="auto"/>
                      <w:szCs w:val="18"/>
                    </w:rPr>
                    <w:t>执行标准/功能类别</w:t>
                  </w:r>
                </w:p>
              </w:tc>
              <w:tc>
                <w:tcPr>
                  <w:tcW w:w="725" w:type="pct"/>
                  <w:vMerge w:val="restar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18"/>
                    </w:rPr>
                  </w:pPr>
                  <w:r>
                    <w:rPr>
                      <w:rFonts w:hint="default" w:ascii="Times New Roman" w:hAnsi="Times New Roman" w:cs="Times New Roman"/>
                      <w:color w:val="auto"/>
                      <w:szCs w:val="18"/>
                    </w:rPr>
                    <w:t>声环境保护目标情况说明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8" w:type="dxa"/>
                  <w:bottom w:w="0" w:type="dxa"/>
                  <w:right w:w="68" w:type="dxa"/>
                </w:tblCellMar>
              </w:tblPrEx>
              <w:trPr>
                <w:trHeight w:val="369" w:hRule="atLeast"/>
                <w:tblHeader/>
                <w:jc w:val="center"/>
              </w:trPr>
              <w:tc>
                <w:tcPr>
                  <w:tcW w:w="439" w:type="pct"/>
                  <w:vMerge w:val="continue"/>
                  <w:tcBorders>
                    <w:tl2br w:val="nil"/>
                    <w:tr2bl w:val="nil"/>
                  </w:tcBorders>
                  <w:noWrap/>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18"/>
                    </w:rPr>
                  </w:pPr>
                </w:p>
              </w:tc>
              <w:tc>
                <w:tcPr>
                  <w:tcW w:w="770" w:type="pct"/>
                  <w:vMerge w:val="continue"/>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18"/>
                    </w:rPr>
                  </w:pPr>
                </w:p>
              </w:tc>
              <w:tc>
                <w:tcPr>
                  <w:tcW w:w="472"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18"/>
                    </w:rPr>
                  </w:pPr>
                  <w:r>
                    <w:rPr>
                      <w:rFonts w:hint="default" w:ascii="Times New Roman" w:hAnsi="Times New Roman" w:cs="Times New Roman"/>
                      <w:color w:val="auto"/>
                      <w:szCs w:val="18"/>
                    </w:rPr>
                    <w:t>X</w:t>
                  </w:r>
                </w:p>
              </w:tc>
              <w:tc>
                <w:tcPr>
                  <w:tcW w:w="472"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18"/>
                    </w:rPr>
                  </w:pPr>
                  <w:r>
                    <w:rPr>
                      <w:rFonts w:hint="default" w:ascii="Times New Roman" w:hAnsi="Times New Roman" w:cs="Times New Roman"/>
                      <w:color w:val="auto"/>
                      <w:szCs w:val="18"/>
                    </w:rPr>
                    <w:t>Y</w:t>
                  </w:r>
                </w:p>
              </w:tc>
              <w:tc>
                <w:tcPr>
                  <w:tcW w:w="477"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18"/>
                    </w:rPr>
                  </w:pPr>
                  <w:r>
                    <w:rPr>
                      <w:rFonts w:hint="default" w:ascii="Times New Roman" w:hAnsi="Times New Roman" w:cs="Times New Roman"/>
                      <w:color w:val="auto"/>
                      <w:szCs w:val="18"/>
                    </w:rPr>
                    <w:t>Z</w:t>
                  </w:r>
                </w:p>
              </w:tc>
              <w:tc>
                <w:tcPr>
                  <w:tcW w:w="474" w:type="pct"/>
                  <w:vMerge w:val="continue"/>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18"/>
                    </w:rPr>
                  </w:pPr>
                </w:p>
              </w:tc>
              <w:tc>
                <w:tcPr>
                  <w:tcW w:w="474" w:type="pct"/>
                  <w:vMerge w:val="continue"/>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18"/>
                    </w:rPr>
                  </w:pPr>
                </w:p>
              </w:tc>
              <w:tc>
                <w:tcPr>
                  <w:tcW w:w="695" w:type="pct"/>
                  <w:vMerge w:val="continue"/>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18"/>
                    </w:rPr>
                  </w:pPr>
                </w:p>
              </w:tc>
              <w:tc>
                <w:tcPr>
                  <w:tcW w:w="725" w:type="pct"/>
                  <w:vMerge w:val="continue"/>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68" w:type="dxa"/>
                  <w:bottom w:w="0" w:type="dxa"/>
                  <w:right w:w="68" w:type="dxa"/>
                </w:tblCellMar>
              </w:tblPrEx>
              <w:trPr>
                <w:trHeight w:val="369" w:hRule="atLeast"/>
                <w:jc w:val="center"/>
              </w:trPr>
              <w:tc>
                <w:tcPr>
                  <w:tcW w:w="439" w:type="pct"/>
                  <w:tcBorders>
                    <w:tl2br w:val="nil"/>
                    <w:tr2bl w:val="nil"/>
                  </w:tcBorders>
                  <w:noWrap/>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18"/>
                    </w:rPr>
                  </w:pPr>
                  <w:r>
                    <w:rPr>
                      <w:rFonts w:hint="default" w:ascii="Times New Roman" w:hAnsi="Times New Roman" w:cs="Times New Roman"/>
                      <w:color w:val="auto"/>
                      <w:szCs w:val="18"/>
                    </w:rPr>
                    <w:t>1</w:t>
                  </w:r>
                </w:p>
              </w:tc>
              <w:tc>
                <w:tcPr>
                  <w:tcW w:w="770"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18"/>
                    </w:rPr>
                  </w:pPr>
                  <w:r>
                    <w:rPr>
                      <w:rFonts w:hint="default" w:ascii="Times New Roman" w:hAnsi="Times New Roman" w:cs="Times New Roman"/>
                      <w:color w:val="auto"/>
                      <w:szCs w:val="21"/>
                    </w:rPr>
                    <w:t>1#居民点</w:t>
                  </w:r>
                </w:p>
              </w:tc>
              <w:tc>
                <w:tcPr>
                  <w:tcW w:w="472"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szCs w:val="18"/>
                      <w:lang w:val="en-US" w:eastAsia="zh-CN"/>
                    </w:rPr>
                  </w:pPr>
                  <w:r>
                    <w:rPr>
                      <w:rFonts w:hint="eastAsia" w:cs="Times New Roman"/>
                      <w:color w:val="auto"/>
                      <w:szCs w:val="18"/>
                      <w:lang w:val="en-US" w:eastAsia="zh-CN"/>
                    </w:rPr>
                    <w:t>-89</w:t>
                  </w:r>
                </w:p>
              </w:tc>
              <w:tc>
                <w:tcPr>
                  <w:tcW w:w="472"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szCs w:val="18"/>
                      <w:lang w:val="en-US" w:eastAsia="zh-CN"/>
                    </w:rPr>
                  </w:pPr>
                  <w:r>
                    <w:rPr>
                      <w:rFonts w:hint="eastAsia" w:cs="Times New Roman"/>
                      <w:color w:val="auto"/>
                      <w:szCs w:val="18"/>
                      <w:lang w:val="en-US" w:eastAsia="zh-CN"/>
                    </w:rPr>
                    <w:t>-121</w:t>
                  </w:r>
                </w:p>
              </w:tc>
              <w:tc>
                <w:tcPr>
                  <w:tcW w:w="477"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szCs w:val="18"/>
                      <w:lang w:val="en-US" w:eastAsia="zh-CN"/>
                    </w:rPr>
                  </w:pPr>
                  <w:r>
                    <w:rPr>
                      <w:rFonts w:hint="eastAsia" w:cs="Times New Roman"/>
                      <w:color w:val="auto"/>
                      <w:szCs w:val="18"/>
                      <w:lang w:val="en-US" w:eastAsia="zh-CN"/>
                    </w:rPr>
                    <w:t>629</w:t>
                  </w:r>
                </w:p>
              </w:tc>
              <w:tc>
                <w:tcPr>
                  <w:tcW w:w="474" w:type="pc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lang w:val="en-US" w:eastAsia="zh-CN"/>
                    </w:rPr>
                  </w:pPr>
                  <w:r>
                    <w:rPr>
                      <w:rFonts w:hint="eastAsia" w:cs="Times New Roman"/>
                      <w:color w:val="auto"/>
                      <w:lang w:val="en-US" w:eastAsia="zh-CN"/>
                    </w:rPr>
                    <w:t>150</w:t>
                  </w:r>
                </w:p>
              </w:tc>
              <w:tc>
                <w:tcPr>
                  <w:tcW w:w="474" w:type="pct"/>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default" w:ascii="Times New Roman" w:hAnsi="Times New Roman" w:eastAsia="宋体" w:cs="Times New Roman"/>
                      <w:color w:val="auto"/>
                      <w:szCs w:val="21"/>
                      <w:lang w:val="en-US" w:eastAsia="zh-CN"/>
                    </w:rPr>
                    <w:t>SW</w:t>
                  </w:r>
                </w:p>
              </w:tc>
              <w:tc>
                <w:tcPr>
                  <w:tcW w:w="695"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18"/>
                    </w:rPr>
                  </w:pPr>
                  <w:r>
                    <w:rPr>
                      <w:rFonts w:hint="default" w:ascii="Times New Roman" w:hAnsi="Times New Roman" w:cs="Times New Roman"/>
                      <w:color w:val="auto"/>
                      <w:szCs w:val="18"/>
                    </w:rPr>
                    <w:t>《声环境质量标准》（GB3096-2008）规定的2类地区</w:t>
                  </w:r>
                </w:p>
              </w:tc>
              <w:tc>
                <w:tcPr>
                  <w:tcW w:w="725" w:type="pct"/>
                  <w:tcBorders>
                    <w:tl2br w:val="nil"/>
                    <w:tr2bl w:val="nil"/>
                  </w:tcBorders>
                  <w:vAlign w:val="center"/>
                </w:tcPr>
                <w:p>
                  <w:pPr>
                    <w:pStyle w:val="254"/>
                    <w:keepNext w:val="0"/>
                    <w:keepLines w:val="0"/>
                    <w:suppressLineNumbers w:val="0"/>
                    <w:spacing w:before="0" w:beforeAutospacing="0" w:after="0" w:afterAutospacing="0"/>
                    <w:ind w:left="0" w:leftChars="0" w:right="0" w:rightChars="0"/>
                    <w:jc w:val="center"/>
                    <w:rPr>
                      <w:rFonts w:hint="default" w:ascii="Times New Roman" w:hAnsi="Times New Roman" w:cs="Times New Roman"/>
                      <w:color w:val="auto"/>
                      <w:szCs w:val="21"/>
                    </w:rPr>
                  </w:pPr>
                  <w:r>
                    <w:rPr>
                      <w:rFonts w:hint="default" w:ascii="Times New Roman" w:hAnsi="Times New Roman" w:eastAsia="宋体" w:cs="Times New Roman"/>
                      <w:color w:val="auto"/>
                      <w:sz w:val="21"/>
                      <w:szCs w:val="21"/>
                      <w:lang w:val="en-US" w:eastAsia="zh-CN"/>
                    </w:rPr>
                    <w:t>共3</w:t>
                  </w:r>
                  <w:r>
                    <w:rPr>
                      <w:rFonts w:hint="default" w:ascii="Times New Roman" w:hAnsi="Times New Roman" w:eastAsia="宋体" w:cs="Times New Roman"/>
                      <w:color w:val="auto"/>
                      <w:sz w:val="21"/>
                      <w:szCs w:val="21"/>
                    </w:rPr>
                    <w:t>户，</w:t>
                  </w:r>
                  <w:r>
                    <w:rPr>
                      <w:rFonts w:hint="default" w:ascii="Times New Roman" w:hAnsi="Times New Roman" w:eastAsia="宋体" w:cs="Times New Roman"/>
                      <w:color w:val="auto"/>
                      <w:sz w:val="21"/>
                      <w:szCs w:val="21"/>
                      <w:lang w:val="en-US" w:eastAsia="zh-CN"/>
                    </w:rPr>
                    <w:t>10</w:t>
                  </w:r>
                  <w:r>
                    <w:rPr>
                      <w:rFonts w:hint="default" w:ascii="Times New Roman" w:hAnsi="Times New Roman" w:eastAsia="宋体" w:cs="Times New Roman"/>
                      <w:color w:val="auto"/>
                      <w:sz w:val="21"/>
                      <w:szCs w:val="21"/>
                    </w:rPr>
                    <w:t>口人</w:t>
                  </w:r>
                </w:p>
              </w:tc>
            </w:tr>
          </w:tbl>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6、环境风险敏感目标</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井场环境风险敏感目标分布情况。</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环境风险保护目标表</w:t>
            </w:r>
          </w:p>
          <w:tbl>
            <w:tblPr>
              <w:tblStyle w:val="44"/>
              <w:tblpPr w:vertAnchor="text" w:tblpXSpec="center" w:tblpY="1"/>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29"/>
              <w:gridCol w:w="2056"/>
              <w:gridCol w:w="2593"/>
              <w:gridCol w:w="282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30"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kern w:val="0"/>
                      <w:szCs w:val="21"/>
                    </w:rPr>
                  </w:pPr>
                  <w:r>
                    <w:rPr>
                      <w:rFonts w:hint="default" w:ascii="Times New Roman" w:hAnsi="Times New Roman" w:cs="Times New Roman"/>
                      <w:color w:val="auto"/>
                      <w:szCs w:val="21"/>
                    </w:rPr>
                    <w:t>序号</w:t>
                  </w:r>
                </w:p>
              </w:tc>
              <w:tc>
                <w:tcPr>
                  <w:tcW w:w="1283"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21"/>
                    </w:rPr>
                  </w:pPr>
                  <w:r>
                    <w:rPr>
                      <w:rFonts w:hint="default" w:ascii="Times New Roman" w:hAnsi="Times New Roman" w:cs="Times New Roman"/>
                      <w:color w:val="auto"/>
                      <w:szCs w:val="21"/>
                    </w:rPr>
                    <w:t>名称</w:t>
                  </w:r>
                </w:p>
              </w:tc>
              <w:tc>
                <w:tcPr>
                  <w:tcW w:w="1619"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21"/>
                    </w:rPr>
                  </w:pPr>
                  <w:r>
                    <w:rPr>
                      <w:rFonts w:hint="default" w:ascii="Times New Roman" w:hAnsi="Times New Roman" w:cs="Times New Roman"/>
                      <w:color w:val="auto"/>
                      <w:szCs w:val="21"/>
                    </w:rPr>
                    <w:t>位置关系</w:t>
                  </w:r>
                </w:p>
              </w:tc>
              <w:tc>
                <w:tcPr>
                  <w:tcW w:w="1766"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21"/>
                    </w:rPr>
                  </w:pPr>
                  <w:r>
                    <w:rPr>
                      <w:rFonts w:hint="default" w:ascii="Times New Roman" w:hAnsi="Times New Roman" w:cs="Times New Roman"/>
                      <w:color w:val="auto"/>
                      <w:szCs w:val="21"/>
                    </w:rPr>
                    <w:t>环境敏感特性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30"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21"/>
                    </w:rPr>
                  </w:pPr>
                  <w:r>
                    <w:rPr>
                      <w:rFonts w:hint="default" w:ascii="Times New Roman" w:hAnsi="Times New Roman" w:cs="Times New Roman"/>
                      <w:color w:val="auto"/>
                      <w:szCs w:val="21"/>
                    </w:rPr>
                    <w:t>1</w:t>
                  </w:r>
                </w:p>
              </w:tc>
              <w:tc>
                <w:tcPr>
                  <w:tcW w:w="1283"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21"/>
                    </w:rPr>
                  </w:pPr>
                  <w:r>
                    <w:rPr>
                      <w:rFonts w:hint="default" w:ascii="Times New Roman" w:hAnsi="Times New Roman" w:cs="Times New Roman"/>
                      <w:color w:val="auto"/>
                      <w:szCs w:val="21"/>
                    </w:rPr>
                    <w:t>农村散户居民</w:t>
                  </w:r>
                </w:p>
              </w:tc>
              <w:tc>
                <w:tcPr>
                  <w:tcW w:w="1619"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21"/>
                    </w:rPr>
                  </w:pPr>
                  <w:r>
                    <w:rPr>
                      <w:rFonts w:hint="default" w:ascii="Times New Roman" w:hAnsi="Times New Roman" w:cs="Times New Roman"/>
                      <w:color w:val="auto"/>
                      <w:szCs w:val="21"/>
                    </w:rPr>
                    <w:t>井口500m范围内分布</w:t>
                  </w:r>
                </w:p>
              </w:tc>
              <w:tc>
                <w:tcPr>
                  <w:tcW w:w="1766"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21"/>
                    </w:rPr>
                  </w:pPr>
                  <w:r>
                    <w:rPr>
                      <w:rFonts w:hint="default" w:ascii="Times New Roman" w:hAnsi="Times New Roman" w:cs="Times New Roman"/>
                      <w:color w:val="auto"/>
                      <w:szCs w:val="21"/>
                    </w:rPr>
                    <w:t>分散居民，约200人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30"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21"/>
                    </w:rPr>
                  </w:pPr>
                  <w:r>
                    <w:rPr>
                      <w:rFonts w:hint="default" w:ascii="Times New Roman" w:hAnsi="Times New Roman" w:cs="Times New Roman"/>
                      <w:color w:val="auto"/>
                      <w:szCs w:val="21"/>
                    </w:rPr>
                    <w:t>2</w:t>
                  </w:r>
                </w:p>
              </w:tc>
              <w:tc>
                <w:tcPr>
                  <w:tcW w:w="1283"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21"/>
                    </w:rPr>
                  </w:pPr>
                  <w:r>
                    <w:rPr>
                      <w:rFonts w:hint="default" w:ascii="Times New Roman" w:hAnsi="Times New Roman" w:cs="Times New Roman"/>
                      <w:color w:val="auto"/>
                      <w:szCs w:val="21"/>
                    </w:rPr>
                    <w:t>1000m范围内居民</w:t>
                  </w:r>
                </w:p>
              </w:tc>
              <w:tc>
                <w:tcPr>
                  <w:tcW w:w="1619" w:type="pct"/>
                  <w:tcBorders>
                    <w:tl2br w:val="nil"/>
                    <w:tr2bl w:val="nil"/>
                  </w:tcBorders>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井口1000m范围内分布</w:t>
                  </w:r>
                </w:p>
              </w:tc>
              <w:tc>
                <w:tcPr>
                  <w:tcW w:w="1766"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21"/>
                    </w:rPr>
                  </w:pPr>
                  <w:r>
                    <w:rPr>
                      <w:rFonts w:hint="default" w:ascii="Times New Roman" w:hAnsi="Times New Roman" w:cs="Times New Roman"/>
                      <w:color w:val="auto"/>
                      <w:szCs w:val="21"/>
                    </w:rPr>
                    <w:t>约1000人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30"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21"/>
                    </w:rPr>
                  </w:pPr>
                  <w:r>
                    <w:rPr>
                      <w:rFonts w:hint="default" w:ascii="Times New Roman" w:hAnsi="Times New Roman" w:cs="Times New Roman"/>
                      <w:color w:val="auto"/>
                      <w:szCs w:val="21"/>
                    </w:rPr>
                    <w:t>3</w:t>
                  </w:r>
                </w:p>
              </w:tc>
              <w:tc>
                <w:tcPr>
                  <w:tcW w:w="1283"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21"/>
                    </w:rPr>
                  </w:pPr>
                  <w:r>
                    <w:rPr>
                      <w:rFonts w:hint="default" w:ascii="Times New Roman" w:hAnsi="Times New Roman" w:cs="Times New Roman"/>
                      <w:color w:val="auto"/>
                      <w:szCs w:val="21"/>
                    </w:rPr>
                    <w:t>3000m范围内居民</w:t>
                  </w:r>
                </w:p>
              </w:tc>
              <w:tc>
                <w:tcPr>
                  <w:tcW w:w="1619" w:type="pct"/>
                  <w:tcBorders>
                    <w:tl2br w:val="nil"/>
                    <w:tr2bl w:val="nil"/>
                  </w:tcBorders>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井口3000m范围内分布</w:t>
                  </w:r>
                </w:p>
              </w:tc>
              <w:tc>
                <w:tcPr>
                  <w:tcW w:w="1766" w:type="pct"/>
                  <w:tcBorders>
                    <w:tl2br w:val="nil"/>
                    <w:tr2bl w:val="nil"/>
                  </w:tcBorders>
                  <w:vAlign w:val="center"/>
                </w:tcPr>
                <w:p>
                  <w:pPr>
                    <w:pStyle w:val="96"/>
                    <w:keepNext w:val="0"/>
                    <w:keepLines w:val="0"/>
                    <w:suppressLineNumbers w:val="0"/>
                    <w:spacing w:before="0" w:beforeAutospacing="0" w:after="0" w:afterAutospacing="0" w:line="240" w:lineRule="auto"/>
                    <w:ind w:left="0" w:right="0"/>
                    <w:rPr>
                      <w:rFonts w:hint="default" w:ascii="Times New Roman" w:hAnsi="Times New Roman" w:cs="Times New Roman"/>
                      <w:color w:val="auto"/>
                      <w:szCs w:val="21"/>
                    </w:rPr>
                  </w:pPr>
                  <w:r>
                    <w:rPr>
                      <w:rFonts w:hint="default" w:ascii="Times New Roman" w:hAnsi="Times New Roman" w:cs="Times New Roman"/>
                      <w:color w:val="auto"/>
                      <w:szCs w:val="21"/>
                    </w:rPr>
                    <w:t>约5000人</w:t>
                  </w:r>
                </w:p>
              </w:tc>
            </w:tr>
          </w:tbl>
          <w:p>
            <w:pPr>
              <w:keepNext w:val="0"/>
              <w:keepLines w:val="0"/>
              <w:suppressLineNumbers w:val="0"/>
              <w:adjustRightInd w:val="0"/>
              <w:snapToGrid w:val="0"/>
              <w:spacing w:before="0" w:beforeAutospacing="0" w:after="0" w:afterAutospacing="0" w:line="360" w:lineRule="auto"/>
              <w:ind w:left="0" w:right="0" w:firstLine="420" w:firstLineChars="200"/>
              <w:rPr>
                <w:rFonts w:hint="default" w:ascii="Times New Roman" w:hAnsi="Times New Roman" w:cs="Times New Roman"/>
                <w:color w:val="auto"/>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17" w:hRule="atLeast"/>
          <w:jc w:val="center"/>
        </w:trPr>
        <w:tc>
          <w:tcPr>
            <w:tcW w:w="904"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评价</w:t>
            </w:r>
          </w:p>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标准</w:t>
            </w:r>
          </w:p>
        </w:tc>
        <w:tc>
          <w:tcPr>
            <w:tcW w:w="8253" w:type="dxa"/>
          </w:tcPr>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3.5环境质量标准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1、环境空气</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color w:val="auto"/>
                <w:sz w:val="24"/>
              </w:rPr>
            </w:pPr>
            <w:bookmarkStart w:id="28" w:name="OLE_LINK67"/>
            <w:r>
              <w:rPr>
                <w:rFonts w:hint="default" w:ascii="Times New Roman" w:hAnsi="Times New Roman" w:cs="Times New Roman"/>
                <w:color w:val="auto"/>
                <w:sz w:val="24"/>
              </w:rPr>
              <w:t>项目所在区域环境空气质量功能区划为二类区，相关的主要标准值见下表。</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环境空气质量标准</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202"/>
              <w:gridCol w:w="1897"/>
              <w:gridCol w:w="1524"/>
              <w:gridCol w:w="316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污染物</w:t>
                  </w: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平均时间</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浓度限值</w:t>
                  </w:r>
                </w:p>
              </w:tc>
              <w:tc>
                <w:tcPr>
                  <w:tcW w:w="316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选用标准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SO</w:t>
                  </w:r>
                  <w:r>
                    <w:rPr>
                      <w:rFonts w:hint="default" w:ascii="Times New Roman" w:hAnsi="Times New Roman" w:cs="Times New Roman"/>
                      <w:color w:val="auto"/>
                      <w:szCs w:val="21"/>
                      <w:vertAlign w:val="subscript"/>
                    </w:rPr>
                    <w:t>2</w:t>
                  </w: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年平均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60µg/m</w:t>
                  </w:r>
                  <w:r>
                    <w:rPr>
                      <w:rFonts w:hint="default" w:ascii="Times New Roman" w:hAnsi="Times New Roman" w:cs="Times New Roman"/>
                      <w:color w:val="auto"/>
                      <w:szCs w:val="21"/>
                      <w:vertAlign w:val="superscript"/>
                    </w:rPr>
                    <w:t>3</w:t>
                  </w:r>
                </w:p>
              </w:tc>
              <w:tc>
                <w:tcPr>
                  <w:tcW w:w="3163"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《环境空气质量标准》（GB3095-2012）二级标准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24小时平均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150µg/m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1小时平均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500µg/m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NO</w:t>
                  </w:r>
                  <w:r>
                    <w:rPr>
                      <w:rFonts w:hint="default" w:ascii="Times New Roman" w:hAnsi="Times New Roman" w:cs="Times New Roman"/>
                      <w:color w:val="auto"/>
                      <w:szCs w:val="21"/>
                      <w:vertAlign w:val="subscript"/>
                    </w:rPr>
                    <w:t>2</w:t>
                  </w: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年平均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40µg/m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24小时平均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80µg/m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1小时平均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200µg/m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CO</w:t>
                  </w: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24小时平均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4mg/m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1小时平均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10mg/m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O</w:t>
                  </w:r>
                  <w:r>
                    <w:rPr>
                      <w:rFonts w:hint="default" w:ascii="Times New Roman" w:hAnsi="Times New Roman" w:cs="Times New Roman"/>
                      <w:color w:val="auto"/>
                      <w:szCs w:val="21"/>
                      <w:vertAlign w:val="subscript"/>
                    </w:rPr>
                    <w:t>3</w:t>
                  </w: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日最大8小时平均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160µg/m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1小时平均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200µg/m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PM</w:t>
                  </w:r>
                  <w:r>
                    <w:rPr>
                      <w:rFonts w:hint="default" w:ascii="Times New Roman" w:hAnsi="Times New Roman" w:cs="Times New Roman"/>
                      <w:color w:val="auto"/>
                      <w:szCs w:val="21"/>
                      <w:vertAlign w:val="subscript"/>
                    </w:rPr>
                    <w:t>10</w:t>
                  </w: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年平均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70µg/m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24小时平均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150µg/m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PM</w:t>
                  </w:r>
                  <w:r>
                    <w:rPr>
                      <w:rFonts w:hint="default" w:ascii="Times New Roman" w:hAnsi="Times New Roman" w:cs="Times New Roman"/>
                      <w:color w:val="auto"/>
                      <w:szCs w:val="21"/>
                      <w:vertAlign w:val="subscript"/>
                    </w:rPr>
                    <w:t>2.5</w:t>
                  </w: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年平均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35µg/m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24小时平均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75µg/m</w:t>
                  </w:r>
                  <w:r>
                    <w:rPr>
                      <w:rFonts w:hint="default" w:ascii="Times New Roman" w:hAnsi="Times New Roman" w:cs="Times New Roman"/>
                      <w:color w:val="auto"/>
                      <w:szCs w:val="21"/>
                      <w:vertAlign w:val="superscript"/>
                    </w:rPr>
                    <w:t>3</w:t>
                  </w:r>
                </w:p>
              </w:tc>
              <w:tc>
                <w:tcPr>
                  <w:tcW w:w="3163"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H</w:t>
                  </w:r>
                  <w:r>
                    <w:rPr>
                      <w:rFonts w:hint="default" w:ascii="Times New Roman" w:hAnsi="Times New Roman" w:cs="Times New Roman"/>
                      <w:color w:val="auto"/>
                      <w:szCs w:val="21"/>
                      <w:vertAlign w:val="subscript"/>
                    </w:rPr>
                    <w:t>2</w:t>
                  </w:r>
                  <w:r>
                    <w:rPr>
                      <w:rFonts w:hint="default" w:ascii="Times New Roman" w:hAnsi="Times New Roman" w:cs="Times New Roman"/>
                      <w:color w:val="auto"/>
                      <w:szCs w:val="21"/>
                    </w:rPr>
                    <w:t>S</w:t>
                  </w:r>
                </w:p>
              </w:tc>
              <w:tc>
                <w:tcPr>
                  <w:tcW w:w="189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1小时平均</w:t>
                  </w:r>
                </w:p>
              </w:tc>
              <w:tc>
                <w:tcPr>
                  <w:tcW w:w="152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10µg/m</w:t>
                  </w:r>
                  <w:r>
                    <w:rPr>
                      <w:rFonts w:hint="default" w:ascii="Times New Roman" w:hAnsi="Times New Roman" w:cs="Times New Roman"/>
                      <w:color w:val="auto"/>
                      <w:szCs w:val="21"/>
                      <w:vertAlign w:val="superscript"/>
                    </w:rPr>
                    <w:t>3</w:t>
                  </w:r>
                </w:p>
              </w:tc>
              <w:tc>
                <w:tcPr>
                  <w:tcW w:w="3163"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《环境影响评价技术导则 大气环境》（HJ2.2 2018）附录D</w:t>
                  </w:r>
                </w:p>
              </w:tc>
            </w:tr>
            <w:bookmarkEnd w:id="28"/>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2、地表水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地表水水质执行《地表水环境质量标准》（GB3838-2002）中的</w:t>
            </w:r>
            <w:r>
              <w:rPr>
                <w:rFonts w:hint="default" w:ascii="Times New Roman" w:hAnsi="Times New Roman" w:cs="Times New Roman"/>
                <w:color w:val="auto"/>
                <w:sz w:val="24"/>
              </w:rPr>
              <w:fldChar w:fldCharType="begin"/>
            </w:r>
            <w:r>
              <w:rPr>
                <w:rFonts w:hint="default" w:ascii="Times New Roman" w:hAnsi="Times New Roman" w:cs="Times New Roman"/>
                <w:color w:val="auto"/>
                <w:sz w:val="24"/>
              </w:rPr>
              <w:instrText xml:space="preserve"> = 3 \* ROMAN </w:instrText>
            </w:r>
            <w:r>
              <w:rPr>
                <w:rFonts w:hint="default" w:ascii="Times New Roman" w:hAnsi="Times New Roman" w:cs="Times New Roman"/>
                <w:color w:val="auto"/>
                <w:sz w:val="24"/>
              </w:rPr>
              <w:fldChar w:fldCharType="separate"/>
            </w:r>
            <w:r>
              <w:rPr>
                <w:rFonts w:hint="default" w:ascii="Times New Roman" w:hAnsi="Times New Roman" w:cs="Times New Roman"/>
                <w:color w:val="auto"/>
                <w:sz w:val="24"/>
              </w:rPr>
              <w:t>III</w:t>
            </w:r>
            <w:r>
              <w:rPr>
                <w:rFonts w:hint="default" w:ascii="Times New Roman" w:hAnsi="Times New Roman" w:cs="Times New Roman"/>
                <w:color w:val="auto"/>
                <w:sz w:val="24"/>
              </w:rPr>
              <w:fldChar w:fldCharType="end"/>
            </w:r>
            <w:r>
              <w:rPr>
                <w:rFonts w:hint="default" w:ascii="Times New Roman" w:hAnsi="Times New Roman" w:cs="Times New Roman"/>
                <w:color w:val="auto"/>
                <w:sz w:val="24"/>
              </w:rPr>
              <w:t>类水域标准。</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地表水环境质量标准</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429"/>
              <w:gridCol w:w="555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429"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项目</w:t>
                  </w:r>
                </w:p>
              </w:tc>
              <w:tc>
                <w:tcPr>
                  <w:tcW w:w="555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fldChar w:fldCharType="begin"/>
                  </w:r>
                  <w:r>
                    <w:rPr>
                      <w:rFonts w:hint="default" w:ascii="Times New Roman" w:hAnsi="Times New Roman" w:cs="Times New Roman"/>
                      <w:color w:val="auto"/>
                      <w:szCs w:val="21"/>
                    </w:rPr>
                    <w:instrText xml:space="preserve"> = 3 \* ROMAN </w:instrText>
                  </w:r>
                  <w:r>
                    <w:rPr>
                      <w:rFonts w:hint="default" w:ascii="Times New Roman" w:hAnsi="Times New Roman" w:cs="Times New Roman"/>
                      <w:color w:val="auto"/>
                      <w:szCs w:val="21"/>
                    </w:rPr>
                    <w:fldChar w:fldCharType="separate"/>
                  </w:r>
                  <w:r>
                    <w:rPr>
                      <w:rFonts w:hint="default" w:ascii="Times New Roman" w:hAnsi="Times New Roman" w:cs="Times New Roman"/>
                      <w:color w:val="auto"/>
                      <w:szCs w:val="21"/>
                    </w:rPr>
                    <w:t>III</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类水域标准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429"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pH</w:t>
                  </w:r>
                </w:p>
              </w:tc>
              <w:tc>
                <w:tcPr>
                  <w:tcW w:w="555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w:t>
                  </w:r>
                  <w:r>
                    <w:rPr>
                      <w:rFonts w:hint="eastAsia" w:cs="Times New Roman"/>
                      <w:color w:val="auto"/>
                      <w:szCs w:val="21"/>
                      <w:lang w:eastAsia="zh-CN"/>
                    </w:rPr>
                    <w:t>~</w:t>
                  </w:r>
                  <w:r>
                    <w:rPr>
                      <w:rFonts w:hint="default" w:ascii="Times New Roman" w:hAnsi="Times New Roman" w:cs="Times New Roman"/>
                      <w:color w:val="auto"/>
                      <w:szCs w:val="21"/>
                    </w:rPr>
                    <w:t>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429"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COD</w:t>
                  </w:r>
                </w:p>
              </w:tc>
              <w:tc>
                <w:tcPr>
                  <w:tcW w:w="555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429"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BOD</w:t>
                  </w:r>
                  <w:r>
                    <w:rPr>
                      <w:rFonts w:hint="default" w:ascii="Times New Roman" w:hAnsi="Times New Roman" w:cs="Times New Roman"/>
                      <w:color w:val="auto"/>
                      <w:szCs w:val="21"/>
                      <w:vertAlign w:val="subscript"/>
                    </w:rPr>
                    <w:t>5</w:t>
                  </w:r>
                </w:p>
              </w:tc>
              <w:tc>
                <w:tcPr>
                  <w:tcW w:w="555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429"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NH</w:t>
                  </w:r>
                  <w:r>
                    <w:rPr>
                      <w:rFonts w:hint="default" w:ascii="Times New Roman" w:hAnsi="Times New Roman" w:cs="Times New Roman"/>
                      <w:color w:val="auto"/>
                      <w:szCs w:val="21"/>
                      <w:vertAlign w:val="subscript"/>
                    </w:rPr>
                    <w:t>3</w:t>
                  </w:r>
                  <w:r>
                    <w:rPr>
                      <w:rFonts w:hint="default" w:ascii="Times New Roman" w:hAnsi="Times New Roman" w:cs="Times New Roman"/>
                      <w:color w:val="auto"/>
                      <w:szCs w:val="21"/>
                    </w:rPr>
                    <w:t>-N</w:t>
                  </w:r>
                </w:p>
              </w:tc>
              <w:tc>
                <w:tcPr>
                  <w:tcW w:w="555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429"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氯化物</w:t>
                  </w:r>
                </w:p>
              </w:tc>
              <w:tc>
                <w:tcPr>
                  <w:tcW w:w="555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≤250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429"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硫化物</w:t>
                  </w:r>
                </w:p>
              </w:tc>
              <w:tc>
                <w:tcPr>
                  <w:tcW w:w="555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429"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石油类</w:t>
                  </w:r>
                </w:p>
              </w:tc>
              <w:tc>
                <w:tcPr>
                  <w:tcW w:w="555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≤0.05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429"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备注</w:t>
                  </w:r>
                </w:p>
              </w:tc>
              <w:tc>
                <w:tcPr>
                  <w:tcW w:w="5550" w:type="dxa"/>
                  <w:tcBorders>
                    <w:tl2br w:val="nil"/>
                    <w:tr2bl w:val="nil"/>
                  </w:tcBorders>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上述标准中，pH无量纲，其余因子单位为mg/L。</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3、声环境</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Cs w:val="21"/>
              </w:rPr>
            </w:pPr>
            <w:r>
              <w:rPr>
                <w:rFonts w:hint="default" w:ascii="Times New Roman" w:hAnsi="Times New Roman" w:cs="Times New Roman"/>
                <w:color w:val="auto"/>
                <w:sz w:val="24"/>
              </w:rPr>
              <w:t>声环境执行《声环境质量标准》（GB3096-2008）中的2</w:t>
            </w:r>
            <w:r>
              <w:rPr>
                <w:rFonts w:hint="default" w:ascii="Times New Roman" w:hAnsi="Times New Roman" w:cs="Times New Roman"/>
                <w:color w:val="auto"/>
                <w:szCs w:val="21"/>
              </w:rPr>
              <w:t>类标准。</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Cs w:val="21"/>
              </w:rPr>
            </w:pPr>
            <w:r>
              <w:rPr>
                <w:rFonts w:hint="default" w:ascii="Times New Roman" w:hAnsi="Times New Roman" w:cs="Times New Roman"/>
                <w:b/>
                <w:bCs/>
                <w:color w:val="auto"/>
                <w:kern w:val="0"/>
                <w:szCs w:val="21"/>
              </w:rPr>
              <w:t>声环境质量标准</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550"/>
              <w:gridCol w:w="2767"/>
              <w:gridCol w:w="276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550"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标准类别</w:t>
                  </w:r>
                </w:p>
              </w:tc>
              <w:tc>
                <w:tcPr>
                  <w:tcW w:w="5535"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等效声级LAeq（dB）</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550"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27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27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5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2类</w:t>
                  </w:r>
                </w:p>
              </w:tc>
              <w:tc>
                <w:tcPr>
                  <w:tcW w:w="27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60</w:t>
                  </w:r>
                </w:p>
              </w:tc>
              <w:tc>
                <w:tcPr>
                  <w:tcW w:w="27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4、地下水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所在区域地下水未划分水域功能，本评价按照《地下水质量标准》（GB/T14848—2017）对地下水质量分类依据，对本项目所在区域地下水质量标准按《地下水质量标准》（GB/T14848—2017）中的Ⅲ类标准进行评价，标准值见下表。</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地下水质量标准限值     单位：mg/L（pH无量纲）</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624"/>
              <w:gridCol w:w="1624"/>
              <w:gridCol w:w="1624"/>
              <w:gridCol w:w="1624"/>
              <w:gridCol w:w="162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69" w:hRule="atLeast"/>
                <w:jc w:val="center"/>
              </w:trPr>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项目</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pH</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溶解性总固体</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硫酸盐</w:t>
                  </w:r>
                </w:p>
              </w:tc>
              <w:tc>
                <w:tcPr>
                  <w:tcW w:w="1625"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氯化物</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标准值</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6.5~8.0</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≤1000</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≤250</w:t>
                  </w:r>
                </w:p>
              </w:tc>
              <w:tc>
                <w:tcPr>
                  <w:tcW w:w="1625"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≤250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项目</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石油类</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硝酸盐</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亚硝酸盐</w:t>
                  </w:r>
                </w:p>
              </w:tc>
              <w:tc>
                <w:tcPr>
                  <w:tcW w:w="1625"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总硬度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标准值</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≤0.05</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≤20</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≤1.0</w:t>
                  </w:r>
                </w:p>
              </w:tc>
              <w:tc>
                <w:tcPr>
                  <w:tcW w:w="1625"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≤450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项目</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铁</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耗氧量</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氨氮</w:t>
                  </w:r>
                </w:p>
              </w:tc>
              <w:tc>
                <w:tcPr>
                  <w:tcW w:w="1625"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标准值</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≤0.3</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≤3.0</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≤0.5</w:t>
                  </w:r>
                </w:p>
              </w:tc>
              <w:tc>
                <w:tcPr>
                  <w:tcW w:w="1625"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项目</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六价铬</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氟化物</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总大肠菌群</w:t>
                  </w:r>
                </w:p>
              </w:tc>
              <w:tc>
                <w:tcPr>
                  <w:tcW w:w="1625"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硫化物</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标准值</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≤0.05</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≤1.0</w:t>
                  </w:r>
                </w:p>
              </w:tc>
              <w:tc>
                <w:tcPr>
                  <w:tcW w:w="1624"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≤3 (MPN/100mL)</w:t>
                  </w:r>
                </w:p>
              </w:tc>
              <w:tc>
                <w:tcPr>
                  <w:tcW w:w="1625" w:type="dxa"/>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≤0.02</w:t>
                  </w:r>
                </w:p>
              </w:tc>
            </w:tr>
          </w:tbl>
          <w:p>
            <w:pPr>
              <w:keepNext w:val="0"/>
              <w:keepLines w:val="0"/>
              <w:suppressLineNumbers w:val="0"/>
              <w:spacing w:before="0" w:beforeAutospacing="0" w:after="0" w:afterAutospacing="0" w:line="360" w:lineRule="auto"/>
              <w:ind w:left="0" w:right="0" w:firstLine="440" w:firstLineChars="200"/>
              <w:rPr>
                <w:rFonts w:hint="default" w:ascii="Times New Roman" w:hAnsi="Times New Roman" w:cs="Times New Roman"/>
                <w:color w:val="auto"/>
                <w:sz w:val="22"/>
                <w:szCs w:val="22"/>
              </w:rPr>
            </w:pPr>
            <w:r>
              <w:rPr>
                <w:rFonts w:hint="default" w:ascii="Times New Roman" w:hAnsi="Times New Roman" w:cs="Times New Roman"/>
                <w:color w:val="auto"/>
                <w:sz w:val="22"/>
                <w:szCs w:val="22"/>
              </w:rPr>
              <w:t>注：COD和石油类参照执行《地表水环境质量标准》（GB3838-2002）Ⅲ类标准。</w:t>
            </w:r>
          </w:p>
          <w:p>
            <w:pPr>
              <w:keepNext w:val="0"/>
              <w:keepLines w:val="0"/>
              <w:suppressLineNumbers w:val="0"/>
              <w:spacing w:before="0" w:beforeAutospacing="0" w:after="0" w:afterAutospacing="0" w:line="360" w:lineRule="auto"/>
              <w:ind w:left="0" w:right="0" w:firstLine="440" w:firstLineChars="200"/>
              <w:rPr>
                <w:rFonts w:hint="default" w:ascii="Times New Roman" w:hAnsi="Times New Roman" w:cs="Times New Roman"/>
                <w:color w:val="auto"/>
                <w:sz w:val="22"/>
                <w:szCs w:val="22"/>
              </w:rPr>
            </w:pPr>
            <w:r>
              <w:rPr>
                <w:rFonts w:hint="default" w:ascii="Times New Roman" w:hAnsi="Times New Roman" w:cs="Times New Roman"/>
                <w:color w:val="auto"/>
                <w:sz w:val="22"/>
                <w:szCs w:val="22"/>
              </w:rPr>
              <w:t>5、土壤环境质量标准</w:t>
            </w:r>
          </w:p>
          <w:p>
            <w:pPr>
              <w:keepNext w:val="0"/>
              <w:keepLines w:val="0"/>
              <w:suppressLineNumbers w:val="0"/>
              <w:spacing w:before="0" w:beforeAutospacing="0" w:after="0" w:afterAutospacing="0" w:line="360" w:lineRule="auto"/>
              <w:ind w:left="0" w:right="0" w:firstLine="440" w:firstLineChars="200"/>
              <w:rPr>
                <w:rFonts w:hint="default" w:ascii="Times New Roman" w:hAnsi="Times New Roman" w:cs="Times New Roman"/>
                <w:color w:val="auto"/>
                <w:sz w:val="22"/>
                <w:szCs w:val="22"/>
              </w:rPr>
            </w:pPr>
            <w:r>
              <w:rPr>
                <w:rFonts w:hint="default" w:ascii="Times New Roman" w:hAnsi="Times New Roman" w:cs="Times New Roman"/>
                <w:color w:val="auto"/>
                <w:sz w:val="22"/>
                <w:szCs w:val="22"/>
              </w:rPr>
              <w:t>本项目土壤环境敏感区主要为周边水田和旱地，基本因子执行《土壤环境质量 建设用地土壤污染风险管控标准（试行）》（GB36600-2018）及《土壤环境质量 农用地土壤污染风险管控标准（试行）》（GB15618-2018）。特征因子石油烃参照执行《土壤环境质量建设用地土壤污染风险管控标准（试行）》（GB36600-2018）第二类用地筛选值。硫化物列出监测值。</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2"/>
                <w:szCs w:val="22"/>
              </w:rPr>
            </w:pPr>
            <w:r>
              <w:rPr>
                <w:rFonts w:hint="default" w:ascii="Times New Roman" w:hAnsi="Times New Roman" w:cs="Times New Roman"/>
                <w:b/>
                <w:bCs/>
                <w:color w:val="auto"/>
                <w:kern w:val="0"/>
                <w:sz w:val="22"/>
                <w:szCs w:val="22"/>
              </w:rPr>
              <w:t>《土壤环境质量建设用地土壤污染风险管控标准（试行）》（GB36600-2018） 单位：mg/kg</w:t>
            </w:r>
          </w:p>
          <w:tbl>
            <w:tblPr>
              <w:tblStyle w:val="44"/>
              <w:tblW w:w="8027"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31"/>
              <w:gridCol w:w="1928"/>
              <w:gridCol w:w="1673"/>
              <w:gridCol w:w="1800"/>
              <w:gridCol w:w="169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blHeader/>
              </w:trPr>
              <w:tc>
                <w:tcPr>
                  <w:tcW w:w="931" w:type="dxa"/>
                  <w:vMerge w:val="restart"/>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kern w:val="2"/>
                      <w:sz w:val="21"/>
                      <w:szCs w:val="21"/>
                    </w:rPr>
                  </w:pPr>
                  <w:r>
                    <w:rPr>
                      <w:rFonts w:hint="default" w:ascii="Times New Roman" w:hAnsi="Times New Roman" w:eastAsia="宋体" w:cs="Times New Roman"/>
                      <w:b w:val="0"/>
                      <w:bCs w:val="0"/>
                      <w:color w:val="auto"/>
                      <w:sz w:val="21"/>
                      <w:szCs w:val="21"/>
                    </w:rPr>
                    <w:t>序号</w:t>
                  </w:r>
                </w:p>
              </w:tc>
              <w:tc>
                <w:tcPr>
                  <w:tcW w:w="1928" w:type="dxa"/>
                  <w:vMerge w:val="restart"/>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监测项目</w:t>
                  </w:r>
                </w:p>
              </w:tc>
              <w:tc>
                <w:tcPr>
                  <w:tcW w:w="1673" w:type="dxa"/>
                  <w:vMerge w:val="restart"/>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CAS编号</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筛选值</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管制值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blHeader/>
              </w:trPr>
              <w:tc>
                <w:tcPr>
                  <w:tcW w:w="931"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928"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673"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eastAsia"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rPr>
                    <w:t>第一类用地</w:t>
                  </w:r>
                  <w:r>
                    <w:rPr>
                      <w:rFonts w:hint="eastAsia" w:ascii="Times New Roman" w:hAnsi="Times New Roman" w:eastAsia="宋体" w:cs="Times New Roman"/>
                      <w:b w:val="0"/>
                      <w:bCs w:val="0"/>
                      <w:color w:val="auto"/>
                      <w:sz w:val="21"/>
                      <w:szCs w:val="21"/>
                      <w:lang w:val="en-US" w:eastAsia="zh-CN"/>
                    </w:rPr>
                    <w:t xml:space="preserve"> </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eastAsia"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rPr>
                    <w:t>第一类用地</w:t>
                  </w:r>
                  <w:r>
                    <w:rPr>
                      <w:rFonts w:hint="eastAsia" w:ascii="Times New Roman" w:hAnsi="Times New Roman" w:eastAsia="宋体" w:cs="Times New Roman"/>
                      <w:b w:val="0"/>
                      <w:bCs w:val="0"/>
                      <w:color w:val="auto"/>
                      <w:sz w:val="21"/>
                      <w:szCs w:val="21"/>
                      <w:lang w:val="en-US" w:eastAsia="zh-CN"/>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8027" w:type="dxa"/>
                  <w:gridSpan w:val="5"/>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重金属和无机物</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7440-38-2</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镉</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7440-43-9</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铬（六价）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20246-29-9</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铜</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7440-50-8</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2000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8000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铅</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7439-92-1</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400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800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6</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汞</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7439-97-6</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8</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镍</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7440-02-0</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150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600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8027" w:type="dxa"/>
                  <w:gridSpan w:val="5"/>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挥发性有机物</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8</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四氯化碳</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56-23-5</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0.9</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9</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氯仿</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67-66-3</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0.3</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10</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氯甲烷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74-87-3</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11</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1,1-二氯乙烷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75-34-3</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1,2-二氯乙烷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107-06-2</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0.52</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13</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1,1-二氯乙烯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75-35-4</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14</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顺-1,2-二氯乙烯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156-59-2</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66</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15</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反-1,2-二氯乙烯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156-60-5</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16</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二氯甲烷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75-09-2</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94</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17</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1,2-二氯丙烷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78-87-5</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18</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1,1,1,2-四氯乙烷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630-20-6</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2.6</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19</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1,1,2,2-四氯乙烷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79-34-5</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1.6</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20</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四氯乙烯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127-18-4</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11</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21</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1,1,1-三氯乙烷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71-55-6</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701</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840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22</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1,1,2-三氯乙烷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79-00-5</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0.6</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23</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三氯乙烯、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79-01-6</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0.7</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24</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1,2,3-三氯丙烷</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96-18-4</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0.05</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0.5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25</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氯乙烯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75-01-4</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0.12</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26</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75-01-4</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27</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氯苯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108-90-7</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68</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28</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1,2-二氯苯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95-50-1</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560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560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29</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1,4-二氯苯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106-46-7</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5.6</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30</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乙苯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100-41-4</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7.2</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72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31</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苯乙烯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100-42-5</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1290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1290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32</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甲苯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108-88-3</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1200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1200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33</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间二甲苯+对二甲苯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108-38-3</w:t>
                  </w:r>
                  <w:r>
                    <w:rPr>
                      <w:rFonts w:hint="eastAsia" w:ascii="Times New Roman" w:hAnsi="Times New Roman" w:eastAsia="宋体" w:cs="Times New Roman"/>
                      <w:b w:val="0"/>
                      <w:bCs w:val="0"/>
                      <w:color w:val="auto"/>
                      <w:sz w:val="21"/>
                      <w:szCs w:val="21"/>
                      <w:lang w:eastAsia="zh-CN"/>
                    </w:rPr>
                    <w:t>,</w:t>
                  </w:r>
                  <w:r>
                    <w:rPr>
                      <w:rFonts w:hint="default" w:ascii="Times New Roman" w:hAnsi="Times New Roman" w:eastAsia="宋体" w:cs="Times New Roman"/>
                      <w:b w:val="0"/>
                      <w:bCs w:val="0"/>
                      <w:color w:val="auto"/>
                      <w:sz w:val="21"/>
                      <w:szCs w:val="21"/>
                    </w:rPr>
                    <w:t>106-42-3</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163</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34</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邻二甲苯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95-47-6</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222</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640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8027" w:type="dxa"/>
                  <w:gridSpan w:val="5"/>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半挥发性有机物</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35</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硝基苯</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98-95-3</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34</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190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36</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苯胺</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62-53-3</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92</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211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37</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2-氯酚</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95-57-8</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250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38</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苯并[a]蒽</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56-55-3</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5.5</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39</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苯并[a]芘</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50-32-8</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0.55</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40</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苯并[b]荧蒽</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205-99-2</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5.5</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41</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苯并[k]荧蒽</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207-08-9</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55</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550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42</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䓛</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218-01-9</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490</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4900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43</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二苯并[a,h]蒽</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53-70-3</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0.55</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44</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茚并[1,2,3-cd]芘</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193-39-5</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5.5</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55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931"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45</w:t>
                  </w:r>
                </w:p>
              </w:tc>
              <w:tc>
                <w:tcPr>
                  <w:tcW w:w="1928"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萘</w:t>
                  </w:r>
                </w:p>
              </w:tc>
              <w:tc>
                <w:tcPr>
                  <w:tcW w:w="1673"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91-20-3</w:t>
                  </w:r>
                </w:p>
              </w:tc>
              <w:tc>
                <w:tcPr>
                  <w:tcW w:w="1800"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25</w:t>
                  </w:r>
                </w:p>
              </w:tc>
              <w:tc>
                <w:tcPr>
                  <w:tcW w:w="1695" w:type="dxa"/>
                  <w:tcBorders>
                    <w:tl2br w:val="nil"/>
                    <w:tr2bl w:val="nil"/>
                  </w:tcBorders>
                  <w:vAlign w:val="center"/>
                </w:tcPr>
                <w:p>
                  <w:pPr>
                    <w:pStyle w:val="313"/>
                    <w:keepNext w:val="0"/>
                    <w:keepLines w:val="0"/>
                    <w:suppressLineNumbers w:val="0"/>
                    <w:spacing w:beforeAutospacing="0" w:afterAutospacing="0" w:line="240" w:lineRule="auto"/>
                    <w:ind w:left="0"/>
                    <w:rPr>
                      <w:rFonts w:hint="default" w:ascii="Times New Roman" w:hAnsi="Times New Roman" w:eastAsia="宋体" w:cs="Times New Roman"/>
                      <w:b w:val="0"/>
                      <w:bCs w:val="0"/>
                      <w:color w:val="auto"/>
                      <w:sz w:val="21"/>
                      <w:szCs w:val="21"/>
                    </w:rPr>
                  </w:pPr>
                  <w:r>
                    <w:rPr>
                      <w:rFonts w:hint="default" w:ascii="Times New Roman" w:hAnsi="Times New Roman" w:eastAsia="宋体" w:cs="Times New Roman"/>
                      <w:b w:val="0"/>
                      <w:bCs w:val="0"/>
                      <w:color w:val="auto"/>
                      <w:sz w:val="21"/>
                      <w:szCs w:val="21"/>
                    </w:rPr>
                    <w:t>255</w:t>
                  </w:r>
                </w:p>
              </w:tc>
            </w:tr>
          </w:tbl>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Cs w:val="21"/>
              </w:rPr>
            </w:pPr>
            <w:r>
              <w:rPr>
                <w:rFonts w:hint="default" w:ascii="Times New Roman" w:hAnsi="Times New Roman" w:cs="Times New Roman"/>
                <w:b/>
                <w:bCs/>
                <w:color w:val="auto"/>
                <w:kern w:val="0"/>
                <w:szCs w:val="21"/>
              </w:rPr>
              <w:t>农用地土壤污染风险筛选值（基本项目）表  单位：mg/kg</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804"/>
              <w:gridCol w:w="1276"/>
              <w:gridCol w:w="2268"/>
              <w:gridCol w:w="264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lang w:bidi="ar"/>
                    </w:rPr>
                  </w:pPr>
                  <w:r>
                    <w:rPr>
                      <w:rFonts w:hint="default" w:ascii="Times New Roman" w:hAnsi="Times New Roman" w:cs="Times New Roman"/>
                      <w:b/>
                      <w:bCs/>
                      <w:color w:val="auto"/>
                      <w:szCs w:val="21"/>
                      <w:lang w:bidi="ar"/>
                    </w:rPr>
                    <w:t>序号</w:t>
                  </w:r>
                </w:p>
              </w:tc>
              <w:tc>
                <w:tcPr>
                  <w:tcW w:w="3544" w:type="dxa"/>
                  <w:gridSpan w:val="2"/>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lang w:bidi="ar"/>
                    </w:rPr>
                  </w:pPr>
                  <w:r>
                    <w:rPr>
                      <w:rFonts w:hint="default" w:ascii="Times New Roman" w:hAnsi="Times New Roman" w:cs="Times New Roman"/>
                      <w:b/>
                      <w:bCs/>
                      <w:color w:val="auto"/>
                      <w:szCs w:val="21"/>
                      <w:lang w:bidi="ar"/>
                    </w:rPr>
                    <w:t>污染物项目</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b/>
                      <w:bCs/>
                      <w:color w:val="auto"/>
                      <w:szCs w:val="21"/>
                      <w:lang w:bidi="ar"/>
                    </w:rPr>
                    <w:t>风险筛选值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3544" w:type="dxa"/>
                  <w:gridSpan w:val="2"/>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6.5</w:t>
                  </w:r>
                  <w:r>
                    <w:rPr>
                      <w:rFonts w:hint="eastAsia" w:cs="Times New Roman"/>
                      <w:color w:val="auto"/>
                      <w:szCs w:val="21"/>
                      <w:lang w:eastAsia="zh-CN" w:bidi="ar"/>
                    </w:rPr>
                    <w:t>&lt;</w:t>
                  </w:r>
                  <w:r>
                    <w:rPr>
                      <w:rFonts w:hint="default" w:ascii="Times New Roman" w:hAnsi="Times New Roman" w:cs="Times New Roman"/>
                      <w:color w:val="auto"/>
                      <w:szCs w:val="21"/>
                      <w:lang w:bidi="ar"/>
                    </w:rPr>
                    <w:t>pH≤7.5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1</w:t>
                  </w:r>
                </w:p>
              </w:tc>
              <w:tc>
                <w:tcPr>
                  <w:tcW w:w="1276"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镉</w:t>
                  </w: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水田</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0.6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127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其他</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0.3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2</w:t>
                  </w:r>
                </w:p>
              </w:tc>
              <w:tc>
                <w:tcPr>
                  <w:tcW w:w="1276"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汞</w:t>
                  </w: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水田</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0.6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127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其他</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2.4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3</w:t>
                  </w:r>
                </w:p>
              </w:tc>
              <w:tc>
                <w:tcPr>
                  <w:tcW w:w="1276"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砷</w:t>
                  </w: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水田</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25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127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其他</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30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4</w:t>
                  </w:r>
                </w:p>
              </w:tc>
              <w:tc>
                <w:tcPr>
                  <w:tcW w:w="1276"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铅</w:t>
                  </w: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水田</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140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127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其他</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120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5</w:t>
                  </w:r>
                </w:p>
              </w:tc>
              <w:tc>
                <w:tcPr>
                  <w:tcW w:w="1276"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铬</w:t>
                  </w: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水田</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300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127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其他</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200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6</w:t>
                  </w:r>
                </w:p>
              </w:tc>
              <w:tc>
                <w:tcPr>
                  <w:tcW w:w="1276"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铜</w:t>
                  </w: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果园</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200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1276"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226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其他</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100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7</w:t>
                  </w:r>
                </w:p>
              </w:tc>
              <w:tc>
                <w:tcPr>
                  <w:tcW w:w="3544"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镍</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100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jc w:val="center"/>
              </w:trPr>
              <w:tc>
                <w:tcPr>
                  <w:tcW w:w="180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8</w:t>
                  </w:r>
                </w:p>
              </w:tc>
              <w:tc>
                <w:tcPr>
                  <w:tcW w:w="3544"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锌</w:t>
                  </w:r>
                </w:p>
              </w:tc>
              <w:tc>
                <w:tcPr>
                  <w:tcW w:w="26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250</w:t>
                  </w:r>
                </w:p>
              </w:tc>
            </w:tr>
          </w:tbl>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Cs w:val="21"/>
              </w:rPr>
            </w:pPr>
            <w:r>
              <w:rPr>
                <w:rFonts w:hint="default" w:ascii="Times New Roman" w:hAnsi="Times New Roman" w:cs="Times New Roman"/>
                <w:b/>
                <w:bCs/>
                <w:color w:val="auto"/>
                <w:kern w:val="0"/>
                <w:szCs w:val="21"/>
              </w:rPr>
              <w:t xml:space="preserve"> 建设用地土壤污染风险筛选值  单位：mg/kg</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112"/>
              <w:gridCol w:w="2410"/>
              <w:gridCol w:w="450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blHeader/>
                <w:jc w:val="center"/>
              </w:trPr>
              <w:tc>
                <w:tcPr>
                  <w:tcW w:w="1112"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lang w:bidi="ar"/>
                    </w:rPr>
                  </w:pPr>
                  <w:r>
                    <w:rPr>
                      <w:rFonts w:hint="default" w:ascii="Times New Roman" w:hAnsi="Times New Roman" w:cs="Times New Roman"/>
                      <w:b/>
                      <w:bCs/>
                      <w:color w:val="auto"/>
                      <w:szCs w:val="21"/>
                      <w:lang w:bidi="ar"/>
                    </w:rPr>
                    <w:t>序号</w:t>
                  </w:r>
                </w:p>
              </w:tc>
              <w:tc>
                <w:tcPr>
                  <w:tcW w:w="2410"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lang w:bidi="ar"/>
                    </w:rPr>
                  </w:pPr>
                  <w:r>
                    <w:rPr>
                      <w:rFonts w:hint="default" w:ascii="Times New Roman" w:hAnsi="Times New Roman" w:cs="Times New Roman"/>
                      <w:b/>
                      <w:bCs/>
                      <w:color w:val="auto"/>
                      <w:szCs w:val="21"/>
                      <w:lang w:bidi="ar"/>
                    </w:rPr>
                    <w:t>污染物项目</w:t>
                  </w:r>
                </w:p>
              </w:tc>
              <w:tc>
                <w:tcPr>
                  <w:tcW w:w="450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风险筛选值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blHeader/>
                <w:jc w:val="center"/>
              </w:trPr>
              <w:tc>
                <w:tcPr>
                  <w:tcW w:w="1112"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2410"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450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第二类用地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blHeader/>
                <w:jc w:val="center"/>
              </w:trPr>
              <w:tc>
                <w:tcPr>
                  <w:tcW w:w="111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1</w:t>
                  </w:r>
                </w:p>
              </w:tc>
              <w:tc>
                <w:tcPr>
                  <w:tcW w:w="241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石油烃</w:t>
                  </w:r>
                </w:p>
              </w:tc>
              <w:tc>
                <w:tcPr>
                  <w:tcW w:w="450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4500</w:t>
                  </w:r>
                </w:p>
              </w:tc>
            </w:tr>
          </w:tbl>
          <w:p>
            <w:pPr>
              <w:keepNext w:val="0"/>
              <w:keepLines w:val="0"/>
              <w:suppressLineNumbers w:val="0"/>
              <w:adjustRightInd w:val="0"/>
              <w:snapToGrid w:val="0"/>
              <w:spacing w:before="0" w:beforeAutospacing="0" w:after="0" w:afterAutospacing="0" w:line="360" w:lineRule="auto"/>
              <w:ind w:left="0" w:right="0"/>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3.6污染物排放标准</w:t>
            </w:r>
          </w:p>
          <w:p>
            <w:pPr>
              <w:pStyle w:val="19"/>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1、废气</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大气污染物排放标准执行《大气污染物</w:t>
            </w:r>
            <w:r>
              <w:rPr>
                <w:rFonts w:hint="default" w:ascii="Times New Roman" w:hAnsi="Times New Roman" w:cs="Times New Roman"/>
                <w:color w:val="auto"/>
                <w:sz w:val="24"/>
                <w:lang w:val="en-US" w:eastAsia="zh-CN"/>
              </w:rPr>
              <w:t>综合</w:t>
            </w:r>
            <w:r>
              <w:rPr>
                <w:rFonts w:hint="default" w:ascii="Times New Roman" w:hAnsi="Times New Roman" w:cs="Times New Roman"/>
                <w:color w:val="auto"/>
                <w:sz w:val="24"/>
              </w:rPr>
              <w:t>排放标准》（GB16297-1996）中二级标准。</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 xml:space="preserve"> 大气污染物综合排放标准  单位：mg/m</w:t>
            </w:r>
            <w:r>
              <w:rPr>
                <w:rFonts w:hint="default" w:ascii="Times New Roman" w:hAnsi="Times New Roman" w:cs="Times New Roman"/>
                <w:b/>
                <w:bCs/>
                <w:color w:val="auto"/>
                <w:kern w:val="0"/>
                <w:sz w:val="24"/>
                <w:vertAlign w:val="superscript"/>
              </w:rPr>
              <w:t>3</w:t>
            </w:r>
          </w:p>
          <w:tbl>
            <w:tblPr>
              <w:tblStyle w:val="4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54"/>
              <w:gridCol w:w="43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765" w:type="dxa"/>
                  <w:vMerge w:val="restart"/>
                  <w:tcBorders>
                    <w:top w:val="single" w:color="auto" w:sz="12"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排放方式</w:t>
                  </w:r>
                </w:p>
              </w:tc>
              <w:tc>
                <w:tcPr>
                  <w:tcW w:w="4509" w:type="dxa"/>
                  <w:tcBorders>
                    <w:top w:val="single" w:color="auto" w:sz="12" w:space="0"/>
                    <w:right w:val="single" w:color="auto" w:sz="12"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颗粒物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765" w:type="dxa"/>
                  <w:vMerge w:val="continue"/>
                  <w:tcBorders>
                    <w:left w:val="single" w:color="auto" w:sz="4"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p>
              </w:tc>
              <w:tc>
                <w:tcPr>
                  <w:tcW w:w="4509" w:type="dxa"/>
                  <w:tcBorders>
                    <w:right w:val="single" w:color="auto" w:sz="12"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3765" w:type="dxa"/>
                  <w:tcBorders>
                    <w:left w:val="single" w:color="auto" w:sz="4" w:space="0"/>
                    <w:bottom w:val="single" w:color="auto" w:sz="12"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无组织排放</w:t>
                  </w:r>
                </w:p>
              </w:tc>
              <w:tc>
                <w:tcPr>
                  <w:tcW w:w="4509" w:type="dxa"/>
                  <w:tcBorders>
                    <w:bottom w:val="single" w:color="auto" w:sz="12" w:space="0"/>
                    <w:right w:val="single" w:color="auto" w:sz="12"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1.0</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其中非甲烷总烃执行《陆上石油天然气开采工业大气污染物排放标准》（GB 39728-2020），详见表3-23。</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 xml:space="preserve">  陆上石油天然气开采工业大气污染物排放标准  单位：mg/m</w:t>
            </w:r>
            <w:r>
              <w:rPr>
                <w:rFonts w:hint="default" w:ascii="Times New Roman" w:hAnsi="Times New Roman" w:cs="Times New Roman"/>
                <w:b/>
                <w:bCs/>
                <w:color w:val="auto"/>
                <w:kern w:val="0"/>
                <w:sz w:val="24"/>
                <w:vertAlign w:val="superscript"/>
              </w:rPr>
              <w:t>3</w:t>
            </w:r>
          </w:p>
          <w:tbl>
            <w:tblPr>
              <w:tblStyle w:val="4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96"/>
              <w:gridCol w:w="1576"/>
              <w:gridCol w:w="19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573" w:type="dxa"/>
                  <w:tcBorders>
                    <w:top w:val="single" w:color="auto" w:sz="12"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标准</w:t>
                  </w:r>
                </w:p>
              </w:tc>
              <w:tc>
                <w:tcPr>
                  <w:tcW w:w="1600" w:type="dxa"/>
                  <w:tcBorders>
                    <w:top w:val="single" w:color="auto" w:sz="12"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项目</w:t>
                  </w:r>
                </w:p>
              </w:tc>
              <w:tc>
                <w:tcPr>
                  <w:tcW w:w="1987" w:type="dxa"/>
                  <w:tcBorders>
                    <w:top w:val="single" w:color="auto" w:sz="12" w:space="0"/>
                    <w:left w:val="single" w:color="auto" w:sz="4" w:space="0"/>
                    <w:bottom w:val="single" w:color="auto" w:sz="4" w:space="0"/>
                    <w:right w:val="single" w:color="auto" w:sz="12"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非甲烷总烃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573" w:type="dxa"/>
                  <w:tcBorders>
                    <w:top w:val="single" w:color="auto" w:sz="4" w:space="0"/>
                    <w:left w:val="single" w:color="auto" w:sz="4" w:space="0"/>
                    <w:bottom w:val="single" w:color="auto" w:sz="12" w:space="0"/>
                    <w:right w:val="single" w:color="auto" w:sz="4"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陆上石油天然气开采工业大气污染物排放标准</w:t>
                  </w:r>
                </w:p>
              </w:tc>
              <w:tc>
                <w:tcPr>
                  <w:tcW w:w="1600" w:type="dxa"/>
                  <w:tcBorders>
                    <w:top w:val="single" w:color="auto" w:sz="4" w:space="0"/>
                    <w:left w:val="single" w:color="auto" w:sz="4" w:space="0"/>
                    <w:bottom w:val="single" w:color="auto" w:sz="12" w:space="0"/>
                    <w:right w:val="single" w:color="auto" w:sz="4"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边界浓度</w:t>
                  </w:r>
                </w:p>
              </w:tc>
              <w:tc>
                <w:tcPr>
                  <w:tcW w:w="1987" w:type="dxa"/>
                  <w:tcBorders>
                    <w:top w:val="single" w:color="auto" w:sz="4" w:space="0"/>
                    <w:left w:val="single" w:color="auto" w:sz="4" w:space="0"/>
                    <w:bottom w:val="single" w:color="auto" w:sz="12" w:space="0"/>
                    <w:right w:val="single" w:color="auto" w:sz="12" w:space="0"/>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4.0</w:t>
                  </w:r>
                </w:p>
              </w:tc>
            </w:tr>
          </w:tbl>
          <w:p>
            <w:pPr>
              <w:pStyle w:val="19"/>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2、废水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生活污水经生态一体化厕所收集后由吸污车拉运至</w:t>
            </w:r>
            <w:r>
              <w:rPr>
                <w:rFonts w:hint="eastAsia" w:cs="Times New Roman"/>
                <w:color w:val="auto"/>
                <w:sz w:val="24"/>
                <w:lang w:eastAsia="zh-CN"/>
              </w:rPr>
              <w:t>普光镇</w:t>
            </w:r>
            <w:r>
              <w:rPr>
                <w:rFonts w:hint="default" w:ascii="Times New Roman" w:hAnsi="Times New Roman" w:cs="Times New Roman"/>
                <w:color w:val="auto"/>
                <w:sz w:val="24"/>
              </w:rPr>
              <w:t>污水处理厂处理后排放。钻井废水</w:t>
            </w:r>
            <w:r>
              <w:rPr>
                <w:rFonts w:hint="default" w:ascii="Times New Roman" w:hAnsi="Times New Roman" w:cs="Times New Roman"/>
                <w:color w:val="auto"/>
                <w:sz w:val="24"/>
                <w:lang w:eastAsia="zh-CN"/>
              </w:rPr>
              <w:t>、</w:t>
            </w:r>
            <w:r>
              <w:rPr>
                <w:rFonts w:hint="default" w:ascii="Times New Roman" w:hAnsi="Times New Roman" w:cs="Times New Roman"/>
                <w:color w:val="auto"/>
                <w:sz w:val="24"/>
                <w:lang w:val="en-US" w:eastAsia="zh-CN"/>
              </w:rPr>
              <w:t>压裂返排液</w:t>
            </w:r>
            <w:r>
              <w:rPr>
                <w:rFonts w:hint="default" w:ascii="Times New Roman" w:hAnsi="Times New Roman" w:cs="Times New Roman"/>
                <w:color w:val="auto"/>
                <w:sz w:val="24"/>
              </w:rPr>
              <w:t>不能回用时通过密闭罐车定期拉运至</w:t>
            </w:r>
            <w:r>
              <w:rPr>
                <w:rFonts w:hint="eastAsia" w:cs="Times New Roman"/>
                <w:color w:val="auto"/>
                <w:sz w:val="24"/>
                <w:lang w:eastAsia="zh-CN"/>
              </w:rPr>
              <w:t>赵家坝污水处理站</w:t>
            </w:r>
            <w:r>
              <w:rPr>
                <w:rFonts w:hint="default" w:ascii="Times New Roman" w:hAnsi="Times New Roman" w:cs="Times New Roman"/>
                <w:color w:val="auto"/>
                <w:sz w:val="24"/>
              </w:rPr>
              <w:t>处理达标后</w:t>
            </w:r>
            <w:r>
              <w:rPr>
                <w:rFonts w:hint="default" w:ascii="Times New Roman" w:hAnsi="Times New Roman" w:cs="Times New Roman"/>
                <w:color w:val="auto"/>
                <w:sz w:val="24"/>
                <w:lang w:eastAsia="zh-CN"/>
              </w:rPr>
              <w:t>由罐车拉运至普光3井等回注站</w:t>
            </w:r>
            <w:r>
              <w:rPr>
                <w:rFonts w:hint="default" w:ascii="Times New Roman" w:hAnsi="Times New Roman" w:cs="Times New Roman"/>
                <w:color w:val="auto"/>
                <w:sz w:val="24"/>
              </w:rPr>
              <w:t>回注。</w:t>
            </w:r>
          </w:p>
          <w:p>
            <w:pPr>
              <w:pStyle w:val="19"/>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3、噪声</w:t>
            </w:r>
          </w:p>
          <w:p>
            <w:pPr>
              <w:pStyle w:val="19"/>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建筑施工期间噪声执行《建筑施工场界环境噪声排放标准》（GB12523-2011）各施工阶段标准。</w:t>
            </w:r>
          </w:p>
          <w:p>
            <w:pPr>
              <w:pStyle w:val="333"/>
              <w:keepNext w:val="0"/>
              <w:keepLines w:val="0"/>
              <w:numPr>
                <w:ilvl w:val="0"/>
                <w:numId w:val="9"/>
              </w:numPr>
              <w:suppressLineNumbers w:val="0"/>
              <w:adjustRightInd w:val="0"/>
              <w:snapToGrid w:val="0"/>
              <w:spacing w:before="0" w:beforeAutospacing="0" w:after="0" w:afterAutospacing="0" w:line="360" w:lineRule="auto"/>
              <w:ind w:left="0" w:right="0" w:firstLine="0" w:firstLineChars="0"/>
              <w:jc w:val="center"/>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建筑施工场界环境噪声排放标准  单位：dB(A)</w:t>
            </w:r>
          </w:p>
          <w:tbl>
            <w:tblPr>
              <w:tblStyle w:val="44"/>
              <w:tblW w:w="807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750"/>
              <w:gridCol w:w="2750"/>
              <w:gridCol w:w="257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7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时段</w:t>
                  </w:r>
                </w:p>
              </w:tc>
              <w:tc>
                <w:tcPr>
                  <w:tcW w:w="27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昼间</w:t>
                  </w:r>
                </w:p>
              </w:tc>
              <w:tc>
                <w:tcPr>
                  <w:tcW w:w="257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27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限值</w:t>
                  </w:r>
                </w:p>
              </w:tc>
              <w:tc>
                <w:tcPr>
                  <w:tcW w:w="27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70</w:t>
                  </w:r>
                </w:p>
              </w:tc>
              <w:tc>
                <w:tcPr>
                  <w:tcW w:w="257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55</w:t>
                  </w:r>
                </w:p>
              </w:tc>
            </w:tr>
          </w:tbl>
          <w:p>
            <w:pPr>
              <w:pStyle w:val="19"/>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4、固体废弃物</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kern w:val="0"/>
                <w:szCs w:val="21"/>
              </w:rPr>
            </w:pPr>
            <w:r>
              <w:rPr>
                <w:rFonts w:hint="default" w:ascii="Times New Roman" w:hAnsi="Times New Roman" w:cs="Times New Roman"/>
                <w:color w:val="auto"/>
                <w:sz w:val="24"/>
              </w:rPr>
              <w:t>一般工业固体废物贮存过程中应满足相应的防渗漏、防雨淋、防扬尘等环境保护要求。危险废物执行《危险废物贮存污染控制标准》（GB 18597-2023）中相应标准。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86" w:hRule="atLeast"/>
          <w:jc w:val="center"/>
        </w:trPr>
        <w:tc>
          <w:tcPr>
            <w:tcW w:w="904"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其他</w:t>
            </w:r>
          </w:p>
        </w:tc>
        <w:tc>
          <w:tcPr>
            <w:tcW w:w="8253" w:type="dxa"/>
            <w:vAlign w:val="center"/>
          </w:tcPr>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Cs w:val="21"/>
              </w:rPr>
            </w:pPr>
            <w:r>
              <w:rPr>
                <w:rFonts w:hint="default" w:ascii="Times New Roman" w:hAnsi="Times New Roman" w:cs="Times New Roman"/>
                <w:bCs/>
                <w:color w:val="auto"/>
                <w:sz w:val="24"/>
              </w:rPr>
              <w:t>根据实施总量控制的原则，结合本项目污染物排放的实际情况，工程周期短、废气排放量小，试气工程废水外运处理，生活污水</w:t>
            </w:r>
            <w:r>
              <w:rPr>
                <w:rFonts w:hint="default" w:ascii="Times New Roman" w:hAnsi="Times New Roman" w:cs="Times New Roman"/>
                <w:bCs/>
                <w:color w:val="auto"/>
                <w:sz w:val="24"/>
                <w:lang w:val="en-US" w:eastAsia="zh-CN"/>
              </w:rPr>
              <w:t>交由当地污水处理厂处理</w:t>
            </w:r>
            <w:r>
              <w:rPr>
                <w:rFonts w:hint="default" w:ascii="Times New Roman" w:hAnsi="Times New Roman" w:cs="Times New Roman"/>
                <w:bCs/>
                <w:color w:val="auto"/>
                <w:sz w:val="24"/>
              </w:rPr>
              <w:t>，本次评价不设总量控制指标。</w:t>
            </w:r>
          </w:p>
        </w:tc>
      </w:tr>
    </w:tbl>
    <w:p>
      <w:pPr>
        <w:pStyle w:val="38"/>
        <w:adjustRightInd w:val="0"/>
        <w:snapToGrid w:val="0"/>
        <w:spacing w:before="0" w:beforeAutospacing="0" w:after="0" w:afterAutospacing="0" w:line="14" w:lineRule="auto"/>
        <w:jc w:val="center"/>
        <w:rPr>
          <w:rFonts w:hint="default" w:ascii="Times New Roman" w:hAnsi="Times New Roman" w:eastAsia="黑体" w:cs="Times New Roman"/>
          <w:snapToGrid w:val="0"/>
          <w:color w:val="auto"/>
          <w:kern w:val="2"/>
          <w:sz w:val="21"/>
          <w:szCs w:val="21"/>
        </w:rPr>
      </w:pPr>
    </w:p>
    <w:p>
      <w:pPr>
        <w:pStyle w:val="38"/>
        <w:jc w:val="center"/>
        <w:outlineLvl w:val="0"/>
        <w:rPr>
          <w:rFonts w:hint="default" w:ascii="Times New Roman" w:hAnsi="Times New Roman" w:eastAsia="黑体" w:cs="Times New Roman"/>
          <w:snapToGrid w:val="0"/>
          <w:color w:val="auto"/>
          <w:sz w:val="21"/>
          <w:szCs w:val="21"/>
        </w:rPr>
      </w:pPr>
      <w:r>
        <w:rPr>
          <w:rFonts w:hint="default" w:ascii="Times New Roman" w:hAnsi="Times New Roman" w:eastAsia="黑体" w:cs="Times New Roman"/>
          <w:snapToGrid w:val="0"/>
          <w:color w:val="auto"/>
          <w:kern w:val="2"/>
          <w:sz w:val="21"/>
          <w:szCs w:val="21"/>
        </w:rPr>
        <w:br w:type="page"/>
      </w:r>
      <w:r>
        <w:rPr>
          <w:rFonts w:hint="default" w:ascii="Times New Roman" w:hAnsi="Times New Roman" w:eastAsia="黑体" w:cs="Times New Roman"/>
          <w:snapToGrid w:val="0"/>
          <w:color w:val="auto"/>
          <w:sz w:val="28"/>
          <w:szCs w:val="22"/>
        </w:rPr>
        <w:t>四、生态环境影响分析</w:t>
      </w:r>
    </w:p>
    <w:tbl>
      <w:tblPr>
        <w:tblStyle w:val="44"/>
        <w:tblW w:w="924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79"/>
        <w:gridCol w:w="836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965" w:hRule="atLeast"/>
          <w:jc w:val="center"/>
        </w:trPr>
        <w:tc>
          <w:tcPr>
            <w:tcW w:w="879" w:type="dxa"/>
            <w:tcMar>
              <w:left w:w="28" w:type="dxa"/>
              <w:right w:w="28" w:type="dxa"/>
            </w:tcMar>
            <w:vAlign w:val="center"/>
          </w:tcPr>
          <w:p>
            <w:pPr>
              <w:pStyle w:val="38"/>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bCs/>
                <w:color w:val="auto"/>
                <w:kern w:val="2"/>
                <w:sz w:val="21"/>
                <w:szCs w:val="21"/>
              </w:rPr>
            </w:pPr>
            <w:bookmarkStart w:id="29" w:name="_Hlk49796138"/>
            <w:r>
              <w:rPr>
                <w:rFonts w:hint="default" w:ascii="Times New Roman" w:hAnsi="Times New Roman" w:cs="Times New Roman"/>
                <w:bCs/>
                <w:color w:val="auto"/>
                <w:spacing w:val="10"/>
                <w:kern w:val="2"/>
                <w:sz w:val="21"/>
                <w:szCs w:val="21"/>
              </w:rPr>
              <w:t>施工期生态环境影响分析</w:t>
            </w:r>
            <w:bookmarkEnd w:id="29"/>
          </w:p>
        </w:tc>
        <w:tc>
          <w:tcPr>
            <w:tcW w:w="8363" w:type="dxa"/>
          </w:tcPr>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4.1钻前工程污染源源强核算及环境影响分析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钻前工程主要包括：新建井场、修建循环系统及设备的基础准备、井口设备准备、放喷池修建、清污分流系统以及施工营地板房布置等。</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4.1.1废气</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（1）废气源强</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前工程施工期产生的空气污染主要为施工过程中建筑材料运输、装卸过程产生的扬尘使周边大气环境中的TSP浓度增加，施工现场周围粉尘浓度与源强大小及源强距离有关；施工期间使用的各种动力机械（如载重汽车、铲车等）产生的尾气也使大气环境受到污染，尾气中所含的有害物质主要有CO、THC、NO</w:t>
            </w:r>
            <w:r>
              <w:rPr>
                <w:rFonts w:hint="default" w:ascii="Times New Roman" w:hAnsi="Times New Roman" w:cs="Times New Roman"/>
                <w:color w:val="auto"/>
                <w:sz w:val="24"/>
                <w:vertAlign w:val="subscript"/>
              </w:rPr>
              <w:t>X</w:t>
            </w:r>
            <w:r>
              <w:rPr>
                <w:rFonts w:hint="default" w:ascii="Times New Roman" w:hAnsi="Times New Roman" w:cs="Times New Roman"/>
                <w:color w:val="auto"/>
                <w:sz w:val="24"/>
              </w:rPr>
              <w:t>等。</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前作业累计施工工时较短，施工现场采取洒水降尘，不会对周围环境空气产生明显的不适影响，也不会对周边农业生产造成明显影响。总体看来，钻前作业不会对当地环境空气造成明显不利影响，对周围环境影响是可接受的。</w:t>
            </w:r>
            <w:r>
              <w:rPr>
                <w:rFonts w:hint="default" w:ascii="Times New Roman" w:hAnsi="Times New Roman" w:cs="Times New Roman"/>
                <w:color w:val="auto"/>
                <w:sz w:val="24"/>
              </w:rPr>
              <w:cr/>
            </w:r>
            <w:r>
              <w:rPr>
                <w:rFonts w:hint="default" w:ascii="Times New Roman" w:hAnsi="Times New Roman" w:cs="Times New Roman"/>
                <w:b/>
                <w:color w:val="auto"/>
                <w:sz w:val="24"/>
              </w:rPr>
              <w:t>4.1.2废水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（1）废水源强</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钻前工程废水由施工废水和生活污水两部分组成。钻前施工人员有30人，人均生活用水量按100L/d计，生活总用水量约3.0m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/d，施工工期约</w:t>
            </w:r>
            <w:r>
              <w:rPr>
                <w:rFonts w:hint="eastAsia" w:cs="Times New Roman"/>
                <w:color w:val="auto"/>
                <w:sz w:val="24"/>
                <w:lang w:val="en-US" w:eastAsia="zh-CN"/>
              </w:rPr>
              <w:t>120天，</w:t>
            </w:r>
            <w:r>
              <w:rPr>
                <w:rFonts w:hint="default" w:ascii="Times New Roman" w:hAnsi="Times New Roman" w:cs="Times New Roman"/>
                <w:color w:val="auto"/>
                <w:sz w:val="24"/>
              </w:rPr>
              <w:t>因此生活用水总量</w:t>
            </w:r>
            <w:r>
              <w:rPr>
                <w:rFonts w:hint="eastAsia" w:cs="Times New Roman"/>
                <w:color w:val="auto"/>
                <w:sz w:val="24"/>
                <w:lang w:val="en-US" w:eastAsia="zh-CN"/>
              </w:rPr>
              <w:t>360</w:t>
            </w:r>
            <w:r>
              <w:rPr>
                <w:rFonts w:hint="default" w:ascii="Times New Roman" w:hAnsi="Times New Roman" w:cs="Times New Roman"/>
                <w:color w:val="auto"/>
                <w:sz w:val="24"/>
              </w:rPr>
              <w:t>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。产污系数取0.9，则生活污水量2.7m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/d，生活污水总量为</w:t>
            </w:r>
            <w:r>
              <w:rPr>
                <w:rFonts w:hint="eastAsia" w:cs="Times New Roman"/>
                <w:color w:val="auto"/>
                <w:sz w:val="24"/>
                <w:lang w:val="en-US" w:eastAsia="zh-CN"/>
              </w:rPr>
              <w:t>324</w:t>
            </w:r>
            <w:r>
              <w:rPr>
                <w:rFonts w:hint="default" w:ascii="Times New Roman" w:hAnsi="Times New Roman" w:cs="Times New Roman"/>
                <w:color w:val="auto"/>
                <w:sz w:val="24"/>
              </w:rPr>
              <w:t>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，主要污染物为COD、BOD</w:t>
            </w:r>
            <w:r>
              <w:rPr>
                <w:rFonts w:hint="default" w:ascii="Times New Roman" w:hAnsi="Times New Roman" w:cs="Times New Roman"/>
                <w:color w:val="auto"/>
                <w:sz w:val="24"/>
                <w:vertAlign w:val="subscript"/>
              </w:rPr>
              <w:t>5</w:t>
            </w:r>
            <w:r>
              <w:rPr>
                <w:rFonts w:hint="default" w:ascii="Times New Roman" w:hAnsi="Times New Roman" w:cs="Times New Roman"/>
                <w:color w:val="auto"/>
                <w:sz w:val="24"/>
              </w:rPr>
              <w:t>、SS、NH</w:t>
            </w:r>
            <w:r>
              <w:rPr>
                <w:rFonts w:hint="default" w:ascii="Times New Roman" w:hAnsi="Times New Roman" w:cs="Times New Roman"/>
                <w:color w:val="auto"/>
                <w:sz w:val="24"/>
                <w:vertAlign w:val="subscript"/>
              </w:rPr>
              <w:t>3</w:t>
            </w:r>
            <w:r>
              <w:rPr>
                <w:rFonts w:hint="default" w:ascii="Times New Roman" w:hAnsi="Times New Roman" w:cs="Times New Roman"/>
                <w:color w:val="auto"/>
                <w:sz w:val="24"/>
              </w:rPr>
              <w:t>-N，浓度依次约400mg/L、200mg/L、300mg/L、25mg/L。</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钻前施工废水来自施工过程遇雨产生的地表径流，径流雨水中夹带有悬浮物；井场基础建设产生的废水主要来自砂石骨料加工、混凝土搅拌及养护等过程。</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项目产生的生活污水利用农户已建设施处理；施工废水循环利用于洒水抑尘，无施工废水排放。不会对周边地表水环境造成明显不利影响。</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4.1.3噪声</w:t>
            </w:r>
          </w:p>
          <w:p>
            <w:pPr>
              <w:keepNext w:val="0"/>
              <w:keepLines w:val="0"/>
              <w:suppressLineNumbers w:val="0"/>
              <w:spacing w:before="0" w:beforeAutospacing="0" w:after="0" w:afterAutospacing="0" w:line="360" w:lineRule="auto"/>
              <w:ind w:left="0" w:right="0" w:firstLine="480" w:firstLineChars="200"/>
              <w:contextualSpacing/>
              <w:rPr>
                <w:rFonts w:hint="default" w:ascii="Times New Roman" w:hAnsi="Times New Roman" w:cs="Times New Roman"/>
                <w:bCs/>
                <w:color w:val="auto"/>
                <w:sz w:val="24"/>
              </w:rPr>
            </w:pPr>
            <w:r>
              <w:rPr>
                <w:rFonts w:hint="default" w:ascii="Times New Roman" w:hAnsi="Times New Roman" w:cs="Times New Roman"/>
                <w:bCs/>
                <w:color w:val="auto"/>
                <w:sz w:val="24"/>
              </w:rPr>
              <w:t>（1）噪声源强核算</w:t>
            </w:r>
          </w:p>
          <w:p>
            <w:pPr>
              <w:keepNext w:val="0"/>
              <w:keepLines w:val="0"/>
              <w:suppressLineNumbers w:val="0"/>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bCs/>
                <w:color w:val="auto"/>
                <w:sz w:val="24"/>
              </w:rPr>
              <w:t>施工期噪声主要来自</w:t>
            </w:r>
            <w:r>
              <w:rPr>
                <w:rFonts w:hint="default" w:ascii="Times New Roman" w:hAnsi="Times New Roman" w:cs="Times New Roman"/>
                <w:color w:val="auto"/>
                <w:sz w:val="24"/>
              </w:rPr>
              <w:t>运输车辆进出场地产生的噪声，施工期主要噪声设备下表。</w:t>
            </w:r>
          </w:p>
          <w:p>
            <w:pPr>
              <w:pStyle w:val="19"/>
              <w:keepNext w:val="0"/>
              <w:keepLines w:val="0"/>
              <w:suppressLineNumbers w:val="0"/>
              <w:tabs>
                <w:tab w:val="left" w:pos="0"/>
                <w:tab w:val="left" w:pos="833"/>
              </w:tabs>
              <w:snapToGrid/>
              <w:spacing w:before="0" w:beforeAutospacing="0" w:after="0" w:afterAutospacing="0" w:line="360" w:lineRule="auto"/>
              <w:ind w:left="0" w:right="0"/>
              <w:contextualSpacing/>
              <w:jc w:val="center"/>
              <w:rPr>
                <w:rFonts w:hint="default" w:ascii="Times New Roman" w:hAnsi="Times New Roman" w:cs="Times New Roman"/>
                <w:b/>
                <w:color w:val="auto"/>
                <w:sz w:val="24"/>
                <w:szCs w:val="24"/>
              </w:rPr>
            </w:pPr>
            <w:r>
              <w:rPr>
                <w:rFonts w:hint="default" w:ascii="Times New Roman" w:hAnsi="Times New Roman" w:cs="Times New Roman"/>
                <w:b/>
                <w:color w:val="auto"/>
                <w:sz w:val="24"/>
                <w:szCs w:val="24"/>
              </w:rPr>
              <w:t>表4-1  施工期主要噪声源特性</w:t>
            </w:r>
          </w:p>
          <w:tbl>
            <w:tblPr>
              <w:tblStyle w:val="44"/>
              <w:tblW w:w="823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72"/>
              <w:gridCol w:w="1147"/>
              <w:gridCol w:w="549"/>
              <w:gridCol w:w="560"/>
              <w:gridCol w:w="700"/>
              <w:gridCol w:w="561"/>
              <w:gridCol w:w="1820"/>
              <w:gridCol w:w="1148"/>
              <w:gridCol w:w="108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8" w:hRule="atLeast"/>
                <w:tblHeader/>
                <w:jc w:val="center"/>
              </w:trPr>
              <w:tc>
                <w:tcPr>
                  <w:tcW w:w="672"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序号</w:t>
                  </w:r>
                </w:p>
              </w:tc>
              <w:tc>
                <w:tcPr>
                  <w:tcW w:w="1147"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声源名称</w:t>
                  </w:r>
                </w:p>
              </w:tc>
              <w:tc>
                <w:tcPr>
                  <w:tcW w:w="549"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型号</w:t>
                  </w:r>
                </w:p>
              </w:tc>
              <w:tc>
                <w:tcPr>
                  <w:tcW w:w="1821" w:type="dxa"/>
                  <w:gridSpan w:val="3"/>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空间相对位置/m</w:t>
                  </w:r>
                </w:p>
              </w:tc>
              <w:tc>
                <w:tcPr>
                  <w:tcW w:w="1820"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声源源强</w:t>
                  </w:r>
                </w:p>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（声压级/距声源距离）/（dB(A)/m）</w:t>
                  </w:r>
                </w:p>
              </w:tc>
              <w:tc>
                <w:tcPr>
                  <w:tcW w:w="1148"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声源控制措施</w:t>
                  </w:r>
                </w:p>
              </w:tc>
              <w:tc>
                <w:tcPr>
                  <w:tcW w:w="1081"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运行时间（h</w:t>
                  </w:r>
                  <w:r>
                    <w:rPr>
                      <w:rFonts w:hint="eastAsia" w:cs="Times New Roman"/>
                      <w:color w:val="auto"/>
                      <w:kern w:val="0"/>
                      <w:szCs w:val="21"/>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8" w:hRule="atLeast"/>
                <w:tblHeader/>
                <w:jc w:val="center"/>
              </w:trPr>
              <w:tc>
                <w:tcPr>
                  <w:tcW w:w="672"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p>
              </w:tc>
              <w:tc>
                <w:tcPr>
                  <w:tcW w:w="1147"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p>
              </w:tc>
              <w:tc>
                <w:tcPr>
                  <w:tcW w:w="549"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p>
              </w:tc>
              <w:tc>
                <w:tcPr>
                  <w:tcW w:w="56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X</w:t>
                  </w:r>
                </w:p>
              </w:tc>
              <w:tc>
                <w:tcPr>
                  <w:tcW w:w="70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Y</w:t>
                  </w:r>
                </w:p>
              </w:tc>
              <w:tc>
                <w:tcPr>
                  <w:tcW w:w="56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Z</w:t>
                  </w:r>
                </w:p>
              </w:tc>
              <w:tc>
                <w:tcPr>
                  <w:tcW w:w="1820"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p>
              </w:tc>
              <w:tc>
                <w:tcPr>
                  <w:tcW w:w="1148"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p>
              </w:tc>
              <w:tc>
                <w:tcPr>
                  <w:tcW w:w="1081"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672"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1</w:t>
                  </w:r>
                </w:p>
              </w:tc>
              <w:tc>
                <w:tcPr>
                  <w:tcW w:w="1147"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载重汽车</w:t>
                  </w:r>
                </w:p>
              </w:tc>
              <w:tc>
                <w:tcPr>
                  <w:tcW w:w="549"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w:t>
                  </w:r>
                </w:p>
              </w:tc>
              <w:tc>
                <w:tcPr>
                  <w:tcW w:w="56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0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56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1.5</w:t>
                  </w:r>
                </w:p>
              </w:tc>
              <w:tc>
                <w:tcPr>
                  <w:tcW w:w="182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82/1</w:t>
                  </w:r>
                </w:p>
              </w:tc>
              <w:tc>
                <w:tcPr>
                  <w:tcW w:w="1148"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08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间断，&lt;4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672"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2</w:t>
                  </w:r>
                </w:p>
              </w:tc>
              <w:tc>
                <w:tcPr>
                  <w:tcW w:w="1147"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挖掘机</w:t>
                  </w:r>
                </w:p>
              </w:tc>
              <w:tc>
                <w:tcPr>
                  <w:tcW w:w="549"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w:t>
                  </w:r>
                </w:p>
              </w:tc>
              <w:tc>
                <w:tcPr>
                  <w:tcW w:w="56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0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56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1.5</w:t>
                  </w:r>
                </w:p>
              </w:tc>
              <w:tc>
                <w:tcPr>
                  <w:tcW w:w="182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85/1</w:t>
                  </w:r>
                </w:p>
              </w:tc>
              <w:tc>
                <w:tcPr>
                  <w:tcW w:w="1148"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08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间断，&lt;4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672"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3</w:t>
                  </w:r>
                </w:p>
              </w:tc>
              <w:tc>
                <w:tcPr>
                  <w:tcW w:w="1147"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eastAsia="宋体" w:cs="Times New Roman"/>
                      <w:color w:val="auto"/>
                      <w:kern w:val="0"/>
                      <w:szCs w:val="21"/>
                      <w:lang w:val="en-US" w:eastAsia="zh-CN"/>
                    </w:rPr>
                  </w:pPr>
                  <w:r>
                    <w:rPr>
                      <w:rFonts w:hint="eastAsia" w:cs="Times New Roman"/>
                      <w:color w:val="auto"/>
                      <w:kern w:val="0"/>
                      <w:szCs w:val="21"/>
                      <w:lang w:val="en-US" w:eastAsia="zh-CN"/>
                    </w:rPr>
                    <w:t>推土机</w:t>
                  </w:r>
                </w:p>
              </w:tc>
              <w:tc>
                <w:tcPr>
                  <w:tcW w:w="549"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w:t>
                  </w:r>
                </w:p>
              </w:tc>
              <w:tc>
                <w:tcPr>
                  <w:tcW w:w="56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0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56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1.5</w:t>
                  </w:r>
                </w:p>
              </w:tc>
              <w:tc>
                <w:tcPr>
                  <w:tcW w:w="182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85/1</w:t>
                  </w:r>
                </w:p>
              </w:tc>
              <w:tc>
                <w:tcPr>
                  <w:tcW w:w="1148"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08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Cs w:val="21"/>
                    </w:rPr>
                  </w:pPr>
                  <w:r>
                    <w:rPr>
                      <w:rFonts w:hint="default" w:ascii="Times New Roman" w:hAnsi="Times New Roman" w:cs="Times New Roman"/>
                      <w:color w:val="auto"/>
                      <w:kern w:val="0"/>
                      <w:szCs w:val="21"/>
                    </w:rPr>
                    <w:t>间断，&lt;4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672"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eastAsia" w:ascii="Times New Roman" w:hAnsi="Times New Roman" w:eastAsia="宋体" w:cs="Times New Roman"/>
                      <w:color w:val="auto"/>
                      <w:kern w:val="0"/>
                      <w:szCs w:val="21"/>
                      <w:lang w:val="en-US" w:eastAsia="zh-CN"/>
                    </w:rPr>
                  </w:pPr>
                  <w:r>
                    <w:rPr>
                      <w:rFonts w:hint="eastAsia" w:cs="Times New Roman"/>
                      <w:color w:val="auto"/>
                      <w:kern w:val="0"/>
                      <w:szCs w:val="21"/>
                      <w:lang w:val="en-US" w:eastAsia="zh-CN"/>
                    </w:rPr>
                    <w:t>4</w:t>
                  </w:r>
                </w:p>
              </w:tc>
              <w:tc>
                <w:tcPr>
                  <w:tcW w:w="1147"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cs="Times New Roman"/>
                      <w:color w:val="auto"/>
                      <w:kern w:val="0"/>
                      <w:szCs w:val="21"/>
                      <w:lang w:val="en-US" w:eastAsia="zh-CN"/>
                    </w:rPr>
                  </w:pPr>
                  <w:r>
                    <w:rPr>
                      <w:rFonts w:hint="eastAsia" w:cs="Times New Roman"/>
                      <w:color w:val="auto"/>
                      <w:kern w:val="0"/>
                      <w:szCs w:val="21"/>
                      <w:lang w:val="en-US" w:eastAsia="zh-CN"/>
                    </w:rPr>
                    <w:t>空压机</w:t>
                  </w:r>
                </w:p>
              </w:tc>
              <w:tc>
                <w:tcPr>
                  <w:tcW w:w="549"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contextualSpacing/>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0"/>
                      <w:szCs w:val="21"/>
                    </w:rPr>
                    <w:t>/</w:t>
                  </w:r>
                </w:p>
              </w:tc>
              <w:tc>
                <w:tcPr>
                  <w:tcW w:w="560"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contextualSpacing/>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Cs w:val="21"/>
                    </w:rPr>
                    <w:t>/</w:t>
                  </w:r>
                </w:p>
              </w:tc>
              <w:tc>
                <w:tcPr>
                  <w:tcW w:w="700"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contextualSpacing/>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Cs w:val="21"/>
                    </w:rPr>
                    <w:t>/</w:t>
                  </w:r>
                </w:p>
              </w:tc>
              <w:tc>
                <w:tcPr>
                  <w:tcW w:w="561"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contextualSpacing/>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0"/>
                      <w:szCs w:val="21"/>
                    </w:rPr>
                    <w:t>1.5</w:t>
                  </w:r>
                </w:p>
              </w:tc>
              <w:tc>
                <w:tcPr>
                  <w:tcW w:w="1820"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contextualSpacing/>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cs="Times New Roman"/>
                      <w:color w:val="auto"/>
                      <w:kern w:val="0"/>
                      <w:szCs w:val="21"/>
                    </w:rPr>
                    <w:t>85/1</w:t>
                  </w:r>
                </w:p>
              </w:tc>
              <w:tc>
                <w:tcPr>
                  <w:tcW w:w="1148"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contextualSpacing/>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Cs w:val="21"/>
                    </w:rPr>
                    <w:t>/</w:t>
                  </w:r>
                </w:p>
              </w:tc>
              <w:tc>
                <w:tcPr>
                  <w:tcW w:w="1081"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contextualSpacing/>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kern w:val="0"/>
                      <w:szCs w:val="21"/>
                    </w:rPr>
                    <w:t>间断，&lt;4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8" w:hRule="atLeast"/>
                <w:jc w:val="center"/>
              </w:trPr>
              <w:tc>
                <w:tcPr>
                  <w:tcW w:w="8238" w:type="dxa"/>
                  <w:gridSpan w:val="9"/>
                  <w:tcBorders>
                    <w:tl2br w:val="nil"/>
                    <w:tr2bl w:val="nil"/>
                  </w:tcBorders>
                  <w:vAlign w:val="center"/>
                </w:tcPr>
                <w:p>
                  <w:pPr>
                    <w:keepNext w:val="0"/>
                    <w:keepLines w:val="0"/>
                    <w:suppressLineNumbers w:val="0"/>
                    <w:spacing w:before="0" w:beforeAutospacing="0" w:after="0" w:afterAutospacing="0"/>
                    <w:ind w:left="0" w:right="0"/>
                    <w:contextualSpacing/>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注：以井场中心为原点</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（2）环境影响分析</w:t>
            </w:r>
          </w:p>
          <w:p>
            <w:pPr>
              <w:keepNext w:val="0"/>
              <w:keepLines w:val="0"/>
              <w:suppressLineNumbers w:val="0"/>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施工噪声可近似视为点声源处理，根据点声源噪声衰减模式，估算出离声源不同距离处的噪声值，预测模式如下：</w:t>
            </w:r>
          </w:p>
          <w:p>
            <w:pPr>
              <w:keepNext w:val="0"/>
              <w:keepLines w:val="0"/>
              <w:suppressLineNumbers w:val="0"/>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m:oMathPara>
              <m:oMath>
                <m:sSub>
                  <m:sSubPr>
                    <m:ctrlPr>
                      <w:rPr>
                        <w:rFonts w:hint="default" w:ascii="Cambria Math" w:hAnsi="Cambria Math" w:cs="Times New Roman"/>
                        <w:color w:val="auto"/>
                        <w:sz w:val="24"/>
                      </w:rPr>
                    </m:ctrlPr>
                  </m:sSubPr>
                  <m:e>
                    <m:r>
                      <m:rPr/>
                      <w:rPr>
                        <w:rFonts w:hint="default" w:ascii="Cambria Math" w:hAnsi="Cambria Math" w:cs="Times New Roman"/>
                        <w:color w:val="auto"/>
                        <w:sz w:val="24"/>
                      </w:rPr>
                      <m:t>L</m:t>
                    </m:r>
                    <m:ctrlPr>
                      <w:rPr>
                        <w:rFonts w:hint="default" w:ascii="Cambria Math" w:hAnsi="Cambria Math" w:cs="Times New Roman"/>
                        <w:color w:val="auto"/>
                        <w:sz w:val="24"/>
                      </w:rPr>
                    </m:ctrlPr>
                  </m:e>
                  <m:sub>
                    <m:r>
                      <m:rPr/>
                      <w:rPr>
                        <w:rFonts w:hint="default" w:ascii="Cambria Math" w:hAnsi="Cambria Math" w:cs="Times New Roman"/>
                        <w:color w:val="auto"/>
                        <w:sz w:val="24"/>
                      </w:rPr>
                      <m:t>p</m:t>
                    </m:r>
                    <m:ctrlPr>
                      <w:rPr>
                        <w:rFonts w:hint="default" w:ascii="Cambria Math" w:hAnsi="Cambria Math" w:cs="Times New Roman"/>
                        <w:color w:val="auto"/>
                        <w:sz w:val="24"/>
                      </w:rPr>
                    </m:ctrlPr>
                  </m:sub>
                </m:sSub>
                <m:d>
                  <m:dPr>
                    <m:ctrlPr>
                      <w:rPr>
                        <w:rFonts w:hint="default" w:ascii="Cambria Math" w:hAnsi="Cambria Math" w:cs="Times New Roman"/>
                        <w:color w:val="auto"/>
                        <w:sz w:val="24"/>
                      </w:rPr>
                    </m:ctrlPr>
                  </m:dPr>
                  <m:e>
                    <m:r>
                      <m:rPr/>
                      <w:rPr>
                        <w:rFonts w:hint="default" w:ascii="Cambria Math" w:hAnsi="Cambria Math" w:cs="Times New Roman"/>
                        <w:color w:val="auto"/>
                        <w:sz w:val="24"/>
                      </w:rPr>
                      <m:t>r</m:t>
                    </m:r>
                    <m:ctrlPr>
                      <w:rPr>
                        <w:rFonts w:hint="default" w:ascii="Cambria Math" w:hAnsi="Cambria Math" w:cs="Times New Roman"/>
                        <w:color w:val="auto"/>
                        <w:sz w:val="24"/>
                      </w:rPr>
                    </m:ctrlPr>
                  </m:e>
                </m:d>
                <m:r>
                  <m:rPr/>
                  <w:rPr>
                    <w:rFonts w:hint="default" w:ascii="Cambria Math" w:hAnsi="Cambria Math" w:cs="Times New Roman"/>
                    <w:color w:val="auto"/>
                    <w:sz w:val="24"/>
                  </w:rPr>
                  <m:t>=</m:t>
                </m:r>
                <m:sSub>
                  <m:sSubPr>
                    <m:ctrlPr>
                      <w:rPr>
                        <w:rFonts w:hint="default" w:ascii="Cambria Math" w:hAnsi="Cambria Math" w:cs="Times New Roman"/>
                        <w:i/>
                        <w:color w:val="auto"/>
                        <w:sz w:val="24"/>
                      </w:rPr>
                    </m:ctrlPr>
                  </m:sSubPr>
                  <m:e>
                    <m:r>
                      <m:rPr/>
                      <w:rPr>
                        <w:rFonts w:hint="default" w:ascii="Cambria Math" w:hAnsi="Cambria Math" w:cs="Times New Roman"/>
                        <w:color w:val="auto"/>
                        <w:sz w:val="24"/>
                      </w:rPr>
                      <m:t>L</m:t>
                    </m:r>
                    <m:ctrlPr>
                      <w:rPr>
                        <w:rFonts w:hint="default" w:ascii="Cambria Math" w:hAnsi="Cambria Math" w:cs="Times New Roman"/>
                        <w:i/>
                        <w:color w:val="auto"/>
                        <w:sz w:val="24"/>
                      </w:rPr>
                    </m:ctrlPr>
                  </m:e>
                  <m:sub>
                    <m:r>
                      <m:rPr/>
                      <w:rPr>
                        <w:rFonts w:hint="default" w:ascii="Cambria Math" w:hAnsi="Cambria Math" w:cs="Times New Roman"/>
                        <w:color w:val="auto"/>
                        <w:sz w:val="24"/>
                      </w:rPr>
                      <m:t>p</m:t>
                    </m:r>
                    <m:ctrlPr>
                      <w:rPr>
                        <w:rFonts w:hint="default" w:ascii="Cambria Math" w:hAnsi="Cambria Math" w:cs="Times New Roman"/>
                        <w:i/>
                        <w:color w:val="auto"/>
                        <w:sz w:val="24"/>
                      </w:rPr>
                    </m:ctrlPr>
                  </m:sub>
                </m:sSub>
                <m:d>
                  <m:dPr>
                    <m:ctrlPr>
                      <w:rPr>
                        <w:rFonts w:hint="default" w:ascii="Cambria Math" w:hAnsi="Cambria Math" w:cs="Times New Roman"/>
                        <w:i/>
                        <w:color w:val="auto"/>
                        <w:sz w:val="24"/>
                      </w:rPr>
                    </m:ctrlPr>
                  </m:dPr>
                  <m:e>
                    <m:sSub>
                      <m:sSubPr>
                        <m:ctrlPr>
                          <w:rPr>
                            <w:rFonts w:hint="default" w:ascii="Cambria Math" w:hAnsi="Cambria Math" w:cs="Times New Roman"/>
                            <w:i/>
                            <w:color w:val="auto"/>
                            <w:sz w:val="24"/>
                          </w:rPr>
                        </m:ctrlPr>
                      </m:sSubPr>
                      <m:e>
                        <m:r>
                          <m:rPr/>
                          <w:rPr>
                            <w:rFonts w:hint="default" w:ascii="Cambria Math" w:hAnsi="Cambria Math" w:cs="Times New Roman"/>
                            <w:color w:val="auto"/>
                            <w:sz w:val="24"/>
                          </w:rPr>
                          <m:t>r</m:t>
                        </m:r>
                        <m:ctrlPr>
                          <w:rPr>
                            <w:rFonts w:hint="default" w:ascii="Cambria Math" w:hAnsi="Cambria Math" w:cs="Times New Roman"/>
                            <w:i/>
                            <w:color w:val="auto"/>
                            <w:sz w:val="24"/>
                          </w:rPr>
                        </m:ctrlPr>
                      </m:e>
                      <m:sub>
                        <m:r>
                          <m:rPr/>
                          <w:rPr>
                            <w:rFonts w:hint="default" w:ascii="Cambria Math" w:hAnsi="Cambria Math" w:cs="Times New Roman"/>
                            <w:color w:val="auto"/>
                            <w:sz w:val="24"/>
                          </w:rPr>
                          <m:t>0</m:t>
                        </m:r>
                        <m:ctrlPr>
                          <w:rPr>
                            <w:rFonts w:hint="default" w:ascii="Cambria Math" w:hAnsi="Cambria Math" w:cs="Times New Roman"/>
                            <w:i/>
                            <w:color w:val="auto"/>
                            <w:sz w:val="24"/>
                          </w:rPr>
                        </m:ctrlPr>
                      </m:sub>
                    </m:sSub>
                    <m:ctrlPr>
                      <w:rPr>
                        <w:rFonts w:hint="default" w:ascii="Cambria Math" w:hAnsi="Cambria Math" w:cs="Times New Roman"/>
                        <w:i/>
                        <w:color w:val="auto"/>
                        <w:sz w:val="24"/>
                      </w:rPr>
                    </m:ctrlPr>
                  </m:e>
                </m:d>
                <m:r>
                  <m:rPr/>
                  <w:rPr>
                    <w:rFonts w:hint="default" w:ascii="Cambria Math" w:hAnsi="Cambria Math" w:cs="Times New Roman"/>
                    <w:color w:val="auto"/>
                    <w:sz w:val="24"/>
                  </w:rPr>
                  <m:t>−20lg</m:t>
                </m:r>
                <m:d>
                  <m:dPr>
                    <m:ctrlPr>
                      <w:rPr>
                        <w:rFonts w:hint="default" w:ascii="Cambria Math" w:hAnsi="Cambria Math" w:cs="Times New Roman"/>
                        <w:i/>
                        <w:color w:val="auto"/>
                        <w:sz w:val="24"/>
                      </w:rPr>
                    </m:ctrlPr>
                  </m:dPr>
                  <m:e>
                    <m:f>
                      <m:fPr>
                        <m:ctrlPr>
                          <w:rPr>
                            <w:rFonts w:hint="default" w:ascii="Cambria Math" w:hAnsi="Cambria Math" w:cs="Times New Roman"/>
                            <w:i/>
                            <w:color w:val="auto"/>
                            <w:sz w:val="24"/>
                          </w:rPr>
                        </m:ctrlPr>
                      </m:fPr>
                      <m:num>
                        <m:r>
                          <m:rPr/>
                          <w:rPr>
                            <w:rFonts w:hint="default" w:ascii="Cambria Math" w:hAnsi="Cambria Math" w:cs="Times New Roman"/>
                            <w:color w:val="auto"/>
                            <w:sz w:val="24"/>
                          </w:rPr>
                          <m:t>r</m:t>
                        </m:r>
                        <m:ctrlPr>
                          <w:rPr>
                            <w:rFonts w:hint="default" w:ascii="Cambria Math" w:hAnsi="Cambria Math" w:cs="Times New Roman"/>
                            <w:i/>
                            <w:color w:val="auto"/>
                            <w:sz w:val="24"/>
                          </w:rPr>
                        </m:ctrlPr>
                      </m:num>
                      <m:den>
                        <m:sSub>
                          <m:sSubPr>
                            <m:ctrlPr>
                              <w:rPr>
                                <w:rFonts w:hint="default" w:ascii="Cambria Math" w:hAnsi="Cambria Math" w:cs="Times New Roman"/>
                                <w:i/>
                                <w:color w:val="auto"/>
                                <w:sz w:val="24"/>
                              </w:rPr>
                            </m:ctrlPr>
                          </m:sSubPr>
                          <m:e>
                            <m:r>
                              <m:rPr/>
                              <w:rPr>
                                <w:rFonts w:hint="default" w:ascii="Cambria Math" w:hAnsi="Cambria Math" w:cs="Times New Roman"/>
                                <w:color w:val="auto"/>
                                <w:sz w:val="24"/>
                              </w:rPr>
                              <m:t>r</m:t>
                            </m:r>
                            <m:ctrlPr>
                              <w:rPr>
                                <w:rFonts w:hint="default" w:ascii="Cambria Math" w:hAnsi="Cambria Math" w:cs="Times New Roman"/>
                                <w:i/>
                                <w:color w:val="auto"/>
                                <w:sz w:val="24"/>
                              </w:rPr>
                            </m:ctrlPr>
                          </m:e>
                          <m:sub>
                            <m:r>
                              <m:rPr/>
                              <w:rPr>
                                <w:rFonts w:hint="default" w:ascii="Cambria Math" w:hAnsi="Cambria Math" w:cs="Times New Roman"/>
                                <w:color w:val="auto"/>
                                <w:sz w:val="24"/>
                              </w:rPr>
                              <m:t>0</m:t>
                            </m:r>
                            <m:ctrlPr>
                              <w:rPr>
                                <w:rFonts w:hint="default" w:ascii="Cambria Math" w:hAnsi="Cambria Math" w:cs="Times New Roman"/>
                                <w:i/>
                                <w:color w:val="auto"/>
                                <w:sz w:val="24"/>
                              </w:rPr>
                            </m:ctrlPr>
                          </m:sub>
                        </m:sSub>
                        <m:ctrlPr>
                          <w:rPr>
                            <w:rFonts w:hint="default" w:ascii="Cambria Math" w:hAnsi="Cambria Math" w:cs="Times New Roman"/>
                            <w:i/>
                            <w:color w:val="auto"/>
                            <w:sz w:val="24"/>
                          </w:rPr>
                        </m:ctrlPr>
                      </m:den>
                    </m:f>
                    <m:ctrlPr>
                      <w:rPr>
                        <w:rFonts w:hint="default" w:ascii="Cambria Math" w:hAnsi="Cambria Math" w:cs="Times New Roman"/>
                        <w:i/>
                        <w:color w:val="auto"/>
                        <w:sz w:val="24"/>
                      </w:rPr>
                    </m:ctrlPr>
                  </m:e>
                </m:d>
              </m:oMath>
            </m:oMathPara>
          </w:p>
          <w:p>
            <w:pPr>
              <w:keepNext w:val="0"/>
              <w:keepLines w:val="0"/>
              <w:suppressLineNumbers w:val="0"/>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式中：L</w:t>
            </w:r>
            <w:r>
              <w:rPr>
                <w:rFonts w:hint="default" w:ascii="Times New Roman" w:hAnsi="Times New Roman" w:cs="Times New Roman"/>
                <w:color w:val="auto"/>
                <w:sz w:val="24"/>
                <w:vertAlign w:val="subscript"/>
              </w:rPr>
              <w:t>p</w:t>
            </w:r>
            <w:r>
              <w:rPr>
                <w:rFonts w:hint="default" w:ascii="Times New Roman" w:hAnsi="Times New Roman" w:cs="Times New Roman"/>
                <w:color w:val="auto"/>
                <w:sz w:val="24"/>
              </w:rPr>
              <w:t>（r）--距声源r处的施工噪声预测值，dB(A)；</w:t>
            </w:r>
          </w:p>
          <w:p>
            <w:pPr>
              <w:keepNext w:val="0"/>
              <w:keepLines w:val="0"/>
              <w:suppressLineNumbers w:val="0"/>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color w:val="auto"/>
                <w:sz w:val="24"/>
              </w:rPr>
              <w:t>L</w:t>
            </w:r>
            <w:r>
              <w:rPr>
                <w:rFonts w:hint="default" w:ascii="Times New Roman" w:hAnsi="Times New Roman" w:cs="Times New Roman"/>
                <w:color w:val="auto"/>
                <w:sz w:val="24"/>
                <w:vertAlign w:val="subscript"/>
              </w:rPr>
              <w:t>p</w:t>
            </w:r>
            <w:r>
              <w:rPr>
                <w:rFonts w:hint="default" w:ascii="Times New Roman" w:hAnsi="Times New Roman" w:cs="Times New Roman"/>
                <w:color w:val="auto"/>
                <w:sz w:val="24"/>
              </w:rPr>
              <w:t>（r</w:t>
            </w:r>
            <w:r>
              <w:rPr>
                <w:rFonts w:hint="default" w:ascii="Times New Roman" w:hAnsi="Times New Roman" w:cs="Times New Roman"/>
                <w:color w:val="auto"/>
                <w:sz w:val="24"/>
                <w:vertAlign w:val="subscript"/>
              </w:rPr>
              <w:t>0</w:t>
            </w:r>
            <w:r>
              <w:rPr>
                <w:rFonts w:hint="default" w:ascii="Times New Roman" w:hAnsi="Times New Roman" w:cs="Times New Roman"/>
                <w:color w:val="auto"/>
                <w:sz w:val="24"/>
              </w:rPr>
              <w:t>）--距声源r0处的参考声压级，dB(A)；</w:t>
            </w:r>
          </w:p>
          <w:p>
            <w:pPr>
              <w:keepNext w:val="0"/>
              <w:keepLines w:val="0"/>
              <w:suppressLineNumbers w:val="0"/>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color w:val="auto"/>
                <w:sz w:val="24"/>
              </w:rPr>
              <w:t>r－预测点距声源的距离，m；</w:t>
            </w:r>
          </w:p>
          <w:p>
            <w:pPr>
              <w:keepNext w:val="0"/>
              <w:keepLines w:val="0"/>
              <w:suppressLineNumbers w:val="0"/>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color w:val="auto"/>
                <w:sz w:val="24"/>
              </w:rPr>
              <w:t>r</w:t>
            </w:r>
            <w:r>
              <w:rPr>
                <w:rFonts w:hint="default" w:ascii="Times New Roman" w:hAnsi="Times New Roman" w:cs="Times New Roman"/>
                <w:color w:val="auto"/>
                <w:sz w:val="24"/>
                <w:vertAlign w:val="subscript"/>
              </w:rPr>
              <w:t>0</w:t>
            </w:r>
            <w:r>
              <w:rPr>
                <w:rFonts w:hint="default" w:ascii="Times New Roman" w:hAnsi="Times New Roman" w:cs="Times New Roman"/>
                <w:color w:val="auto"/>
                <w:sz w:val="24"/>
              </w:rPr>
              <w:t>—参考点距声源的距离，m。</w:t>
            </w:r>
          </w:p>
          <w:p>
            <w:pPr>
              <w:keepNext w:val="0"/>
              <w:keepLines w:val="0"/>
              <w:suppressLineNumbers w:val="0"/>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根据噪声衰减模式，各施工机具声源在不同距离处的噪声影响值参见下表</w:t>
            </w:r>
            <w:r>
              <w:rPr>
                <w:rFonts w:hint="default" w:ascii="Times New Roman" w:hAnsi="Times New Roman" w:cs="Times New Roman"/>
                <w:color w:val="auto"/>
                <w:spacing w:val="-4"/>
                <w:sz w:val="24"/>
              </w:rPr>
              <w:t>。</w:t>
            </w:r>
          </w:p>
          <w:p>
            <w:pPr>
              <w:keepNext w:val="0"/>
              <w:keepLines w:val="0"/>
              <w:suppressLineNumbers w:val="0"/>
              <w:autoSpaceDE w:val="0"/>
              <w:autoSpaceDN w:val="0"/>
              <w:spacing w:before="0" w:beforeAutospacing="0" w:after="0" w:afterAutospacing="0" w:line="360" w:lineRule="auto"/>
              <w:ind w:left="0" w:right="0"/>
              <w:contextualSpacing/>
              <w:jc w:val="center"/>
              <w:rPr>
                <w:rFonts w:hint="default" w:ascii="Times New Roman" w:hAnsi="Times New Roman" w:cs="Times New Roman"/>
                <w:b/>
                <w:color w:val="auto"/>
                <w:sz w:val="24"/>
              </w:rPr>
            </w:pPr>
            <w:r>
              <w:rPr>
                <w:rFonts w:hint="default" w:ascii="Times New Roman" w:hAnsi="Times New Roman" w:cs="Times New Roman"/>
                <w:b/>
                <w:color w:val="auto"/>
                <w:sz w:val="24"/>
              </w:rPr>
              <w:t>表4-2 主要施工机械在不同距离的噪声值  单位： dB(A)</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11"/>
              <w:gridCol w:w="1065"/>
              <w:gridCol w:w="743"/>
              <w:gridCol w:w="787"/>
              <w:gridCol w:w="787"/>
              <w:gridCol w:w="787"/>
              <w:gridCol w:w="768"/>
              <w:gridCol w:w="768"/>
              <w:gridCol w:w="868"/>
              <w:gridCol w:w="83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40" w:type="dxa"/>
                  <w:vMerge w:val="restar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序号</w:t>
                  </w:r>
                </w:p>
              </w:tc>
              <w:tc>
                <w:tcPr>
                  <w:tcW w:w="1117" w:type="dxa"/>
                  <w:vMerge w:val="restart"/>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施工</w:t>
                  </w:r>
                </w:p>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机具</w:t>
                  </w:r>
                </w:p>
              </w:tc>
              <w:tc>
                <w:tcPr>
                  <w:tcW w:w="6602" w:type="dxa"/>
                  <w:gridSpan w:val="8"/>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预测距离（m）</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764" w:type="dxa"/>
                  <w:vMerge w:val="continue"/>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p>
              </w:tc>
              <w:tc>
                <w:tcPr>
                  <w:tcW w:w="1155" w:type="dxa"/>
                  <w:vMerge w:val="continue"/>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p>
              </w:tc>
              <w:tc>
                <w:tcPr>
                  <w:tcW w:w="772"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szCs w:val="21"/>
                    </w:rPr>
                    <w:t>10</w:t>
                  </w:r>
                </w:p>
              </w:tc>
              <w:tc>
                <w:tcPr>
                  <w:tcW w:w="820"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szCs w:val="21"/>
                    </w:rPr>
                    <w:t>40</w:t>
                  </w:r>
                </w:p>
              </w:tc>
              <w:tc>
                <w:tcPr>
                  <w:tcW w:w="820"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szCs w:val="21"/>
                    </w:rPr>
                    <w:t>50</w:t>
                  </w:r>
                </w:p>
              </w:tc>
              <w:tc>
                <w:tcPr>
                  <w:tcW w:w="820"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szCs w:val="21"/>
                    </w:rPr>
                    <w:t>100</w:t>
                  </w:r>
                </w:p>
              </w:tc>
              <w:tc>
                <w:tcPr>
                  <w:tcW w:w="799"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szCs w:val="21"/>
                    </w:rPr>
                    <w:t>150</w:t>
                  </w:r>
                </w:p>
              </w:tc>
              <w:tc>
                <w:tcPr>
                  <w:tcW w:w="799"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szCs w:val="21"/>
                    </w:rPr>
                    <w:t>200</w:t>
                  </w:r>
                </w:p>
              </w:tc>
              <w:tc>
                <w:tcPr>
                  <w:tcW w:w="906"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szCs w:val="21"/>
                    </w:rPr>
                    <w:t>250</w:t>
                  </w:r>
                </w:p>
              </w:tc>
              <w:tc>
                <w:tcPr>
                  <w:tcW w:w="866"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szCs w:val="21"/>
                    </w:rPr>
                    <w:t>280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740"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1</w:t>
                  </w:r>
                </w:p>
              </w:tc>
              <w:tc>
                <w:tcPr>
                  <w:tcW w:w="1117"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szCs w:val="21"/>
                    </w:rPr>
                    <w:t>推土机</w:t>
                  </w:r>
                </w:p>
              </w:tc>
              <w:tc>
                <w:tcPr>
                  <w:tcW w:w="772"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82.0</w:t>
                  </w:r>
                </w:p>
              </w:tc>
              <w:tc>
                <w:tcPr>
                  <w:tcW w:w="820"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69.9</w:t>
                  </w:r>
                </w:p>
              </w:tc>
              <w:tc>
                <w:tcPr>
                  <w:tcW w:w="820"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68.0</w:t>
                  </w:r>
                </w:p>
              </w:tc>
              <w:tc>
                <w:tcPr>
                  <w:tcW w:w="820"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62.0</w:t>
                  </w:r>
                </w:p>
              </w:tc>
              <w:tc>
                <w:tcPr>
                  <w:tcW w:w="799"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58.5</w:t>
                  </w:r>
                </w:p>
              </w:tc>
              <w:tc>
                <w:tcPr>
                  <w:tcW w:w="799"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56.0</w:t>
                  </w:r>
                </w:p>
              </w:tc>
              <w:tc>
                <w:tcPr>
                  <w:tcW w:w="906"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54.0</w:t>
                  </w:r>
                </w:p>
              </w:tc>
              <w:tc>
                <w:tcPr>
                  <w:tcW w:w="866"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53.0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740"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2</w:t>
                  </w:r>
                </w:p>
              </w:tc>
              <w:tc>
                <w:tcPr>
                  <w:tcW w:w="1117"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szCs w:val="21"/>
                    </w:rPr>
                    <w:t>挖掘机</w:t>
                  </w:r>
                </w:p>
              </w:tc>
              <w:tc>
                <w:tcPr>
                  <w:tcW w:w="772"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84.0</w:t>
                  </w:r>
                </w:p>
              </w:tc>
              <w:tc>
                <w:tcPr>
                  <w:tcW w:w="820"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71.9</w:t>
                  </w:r>
                </w:p>
              </w:tc>
              <w:tc>
                <w:tcPr>
                  <w:tcW w:w="820"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70.0</w:t>
                  </w:r>
                </w:p>
              </w:tc>
              <w:tc>
                <w:tcPr>
                  <w:tcW w:w="820"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64.0</w:t>
                  </w:r>
                </w:p>
              </w:tc>
              <w:tc>
                <w:tcPr>
                  <w:tcW w:w="799"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60.5</w:t>
                  </w:r>
                </w:p>
              </w:tc>
              <w:tc>
                <w:tcPr>
                  <w:tcW w:w="799"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58.0</w:t>
                  </w:r>
                </w:p>
              </w:tc>
              <w:tc>
                <w:tcPr>
                  <w:tcW w:w="906"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56.0</w:t>
                  </w:r>
                </w:p>
              </w:tc>
              <w:tc>
                <w:tcPr>
                  <w:tcW w:w="866"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55.0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740"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3</w:t>
                  </w:r>
                </w:p>
              </w:tc>
              <w:tc>
                <w:tcPr>
                  <w:tcW w:w="1117"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szCs w:val="21"/>
                    </w:rPr>
                    <w:t>载重机车</w:t>
                  </w:r>
                </w:p>
              </w:tc>
              <w:tc>
                <w:tcPr>
                  <w:tcW w:w="772"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79.0</w:t>
                  </w:r>
                </w:p>
              </w:tc>
              <w:tc>
                <w:tcPr>
                  <w:tcW w:w="820"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66.9</w:t>
                  </w:r>
                </w:p>
              </w:tc>
              <w:tc>
                <w:tcPr>
                  <w:tcW w:w="820"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65.0</w:t>
                  </w:r>
                </w:p>
              </w:tc>
              <w:tc>
                <w:tcPr>
                  <w:tcW w:w="820"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59.0</w:t>
                  </w:r>
                </w:p>
              </w:tc>
              <w:tc>
                <w:tcPr>
                  <w:tcW w:w="799"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55.5</w:t>
                  </w:r>
                </w:p>
              </w:tc>
              <w:tc>
                <w:tcPr>
                  <w:tcW w:w="799"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53.0</w:t>
                  </w:r>
                </w:p>
              </w:tc>
              <w:tc>
                <w:tcPr>
                  <w:tcW w:w="906"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51.0</w:t>
                  </w:r>
                </w:p>
              </w:tc>
              <w:tc>
                <w:tcPr>
                  <w:tcW w:w="866"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740"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4</w:t>
                  </w:r>
                </w:p>
              </w:tc>
              <w:tc>
                <w:tcPr>
                  <w:tcW w:w="1117"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szCs w:val="21"/>
                    </w:rPr>
                    <w:t>空压机</w:t>
                  </w:r>
                </w:p>
              </w:tc>
              <w:tc>
                <w:tcPr>
                  <w:tcW w:w="772"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82.0</w:t>
                  </w:r>
                </w:p>
              </w:tc>
              <w:tc>
                <w:tcPr>
                  <w:tcW w:w="820"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69.9</w:t>
                  </w:r>
                </w:p>
              </w:tc>
              <w:tc>
                <w:tcPr>
                  <w:tcW w:w="820"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68.0</w:t>
                  </w:r>
                </w:p>
              </w:tc>
              <w:tc>
                <w:tcPr>
                  <w:tcW w:w="820"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62.0</w:t>
                  </w:r>
                </w:p>
              </w:tc>
              <w:tc>
                <w:tcPr>
                  <w:tcW w:w="799"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58.5</w:t>
                  </w:r>
                </w:p>
              </w:tc>
              <w:tc>
                <w:tcPr>
                  <w:tcW w:w="799"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56.0</w:t>
                  </w:r>
                </w:p>
              </w:tc>
              <w:tc>
                <w:tcPr>
                  <w:tcW w:w="906"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54.0</w:t>
                  </w:r>
                </w:p>
              </w:tc>
              <w:tc>
                <w:tcPr>
                  <w:tcW w:w="866" w:type="dxa"/>
                  <w:noWrap w:val="0"/>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53.0</w:t>
                  </w:r>
                </w:p>
              </w:tc>
            </w:tr>
          </w:tbl>
          <w:p>
            <w:pPr>
              <w:keepNext w:val="0"/>
              <w:keepLines w:val="0"/>
              <w:suppressLineNumbers w:val="0"/>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本项目施工期仅昼间施工，由上表可知，距施工机具100m外昼间可满足《声环境质量标准》（GB3096-2008）2类标准。本项目使用的机械设备种类较少，施工期较短，施工噪声将随施工结束而消失，施工噪声对周边环境的影响可以接受。</w:t>
            </w:r>
          </w:p>
          <w:p>
            <w:pPr>
              <w:keepNext w:val="0"/>
              <w:keepLines w:val="0"/>
              <w:suppressLineNumbers w:val="0"/>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w:t>
            </w:r>
            <w:r>
              <w:rPr>
                <w:rFonts w:hint="eastAsia" w:cs="Times New Roman"/>
                <w:color w:val="auto"/>
                <w:sz w:val="24"/>
                <w:lang w:val="en-US" w:eastAsia="zh-CN"/>
              </w:rPr>
              <w:t>3</w:t>
            </w:r>
            <w:r>
              <w:rPr>
                <w:rFonts w:hint="default" w:ascii="Times New Roman" w:hAnsi="Times New Roman" w:cs="Times New Roman"/>
                <w:color w:val="auto"/>
                <w:sz w:val="24"/>
              </w:rPr>
              <w:t>）施工期噪声对敏感点的影响分析</w:t>
            </w:r>
          </w:p>
          <w:p>
            <w:pPr>
              <w:keepNext w:val="0"/>
              <w:keepLines w:val="0"/>
              <w:suppressLineNumbers w:val="0"/>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按《声环境质量标准》（GB3096-2008）2类标准评价（昼间小于等于60分贝），昼间距离施工区约150m可满足标准要求，夜间不施工。</w:t>
            </w:r>
          </w:p>
          <w:p>
            <w:pPr>
              <w:keepNext w:val="0"/>
              <w:keepLines w:val="0"/>
              <w:suppressLineNumbers w:val="0"/>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项目周边150m范围内存在声环境敏感点</w:t>
            </w:r>
            <w:r>
              <w:rPr>
                <w:rFonts w:hint="default" w:ascii="Times New Roman" w:hAnsi="Times New Roman" w:cs="Times New Roman"/>
                <w:color w:val="auto"/>
                <w:sz w:val="24"/>
                <w:lang w:val="en-US" w:eastAsia="zh-CN"/>
              </w:rPr>
              <w:t>主要为南侧1#居民点（距场界</w:t>
            </w:r>
            <w:r>
              <w:rPr>
                <w:rFonts w:hint="eastAsia" w:cs="Times New Roman"/>
                <w:color w:val="auto"/>
                <w:sz w:val="24"/>
                <w:lang w:val="en-US" w:eastAsia="zh-CN"/>
              </w:rPr>
              <w:t>115</w:t>
            </w:r>
            <w:r>
              <w:rPr>
                <w:rFonts w:hint="default" w:ascii="Times New Roman" w:hAnsi="Times New Roman" w:cs="Times New Roman"/>
                <w:color w:val="auto"/>
                <w:sz w:val="24"/>
                <w:lang w:val="en-US" w:eastAsia="zh-CN"/>
              </w:rPr>
              <w:t>m）</w:t>
            </w:r>
            <w:r>
              <w:rPr>
                <w:rFonts w:hint="default" w:ascii="Times New Roman" w:hAnsi="Times New Roman" w:cs="Times New Roman"/>
                <w:color w:val="auto"/>
                <w:sz w:val="24"/>
              </w:rPr>
              <w:t>，</w:t>
            </w:r>
            <w:r>
              <w:rPr>
                <w:rFonts w:hint="default" w:ascii="Times New Roman" w:hAnsi="Times New Roman" w:cs="Times New Roman"/>
                <w:color w:val="auto"/>
                <w:sz w:val="24"/>
                <w:lang w:val="en-US" w:eastAsia="zh-CN"/>
              </w:rPr>
              <w:t>根据计算，施工机械产生的噪声在南侧1#居民点处噪声预测值约为</w:t>
            </w:r>
            <w:r>
              <w:rPr>
                <w:rFonts w:hint="eastAsia" w:cs="Times New Roman"/>
                <w:color w:val="auto"/>
                <w:sz w:val="24"/>
                <w:lang w:val="en-US" w:eastAsia="zh-CN"/>
              </w:rPr>
              <w:t>67.1</w:t>
            </w:r>
            <w:r>
              <w:rPr>
                <w:rFonts w:hint="default" w:ascii="Times New Roman" w:hAnsi="Times New Roman" w:cs="Times New Roman"/>
                <w:color w:val="auto"/>
                <w:sz w:val="24"/>
                <w:lang w:val="en-US" w:eastAsia="zh-CN"/>
              </w:rPr>
              <w:t>dB（A），不满足《声环境质量标准》（GB3096-2008）2类标准评价。</w:t>
            </w:r>
            <w:r>
              <w:rPr>
                <w:rFonts w:hint="default" w:ascii="Times New Roman" w:hAnsi="Times New Roman" w:cs="Times New Roman"/>
                <w:color w:val="auto"/>
                <w:sz w:val="24"/>
              </w:rPr>
              <w:t>因此钻前工程施工对周边保护目标有一定的影响。因此，评价建议工程在施工时，应选择合理的施工时间，仅在白天作业，夜晚10点后不施工；白天施工时尽量避开居民午休时间，以此来降低噪声对附近居民的影响；同时尽量采取低噪声施工设施，加强设备维护和保养，进一步降低对周边居民的影响。由于</w:t>
            </w:r>
            <w:r>
              <w:rPr>
                <w:rFonts w:hint="default" w:ascii="Times New Roman" w:hAnsi="Times New Roman" w:cs="Times New Roman"/>
                <w:color w:val="auto"/>
                <w:sz w:val="24"/>
                <w:lang w:val="en-US" w:eastAsia="zh-CN"/>
              </w:rPr>
              <w:t>钻前工程</w:t>
            </w:r>
            <w:r>
              <w:rPr>
                <w:rFonts w:hint="default" w:ascii="Times New Roman" w:hAnsi="Times New Roman" w:cs="Times New Roman"/>
                <w:color w:val="auto"/>
                <w:sz w:val="24"/>
              </w:rPr>
              <w:t>该工序持续时间短，且施工机械</w:t>
            </w:r>
            <w:r>
              <w:rPr>
                <w:rFonts w:hint="default" w:ascii="Times New Roman" w:hAnsi="Times New Roman" w:cs="Times New Roman"/>
                <w:color w:val="auto"/>
                <w:sz w:val="24"/>
                <w:lang w:val="en-US" w:eastAsia="zh-CN"/>
              </w:rPr>
              <w:t>非固定、</w:t>
            </w:r>
            <w:r>
              <w:rPr>
                <w:rFonts w:hint="default" w:ascii="Times New Roman" w:hAnsi="Times New Roman" w:cs="Times New Roman"/>
                <w:color w:val="auto"/>
                <w:sz w:val="24"/>
              </w:rPr>
              <w:t>非持续性噪声，经采取以上措施后，对周边敏感目标的影响较小</w:t>
            </w:r>
            <w:r>
              <w:rPr>
                <w:rFonts w:hint="eastAsia" w:cs="Times New Roman"/>
                <w:color w:val="auto"/>
                <w:sz w:val="24"/>
                <w:lang w:eastAsia="zh-CN"/>
              </w:rPr>
              <w:t>。</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4.1.4固废</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项目施工期主要固废污染物包括建筑垃圾及生活垃圾。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①建筑垃圾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在项目施工过程中，产生的建筑垃圾（如水泥袋、铁质废料、木材弃料等）等。根据同类施工统计资料，项目施工期产生的建筑垃圾产生量约为2t。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工地建筑垃圾中的一部分如建筑废模块、建筑材料下脚料、破钢管、断残钢筋头、包装袋以及废旧设备等基本上可以回收；而另一部分如弃土、废砂石等建筑材料废弃物等没有回收价值，若随意倾倒和堆放，将造成土地占用，而且可能造成周围环境污染，影响周围环境的景观。因此无回收价值的建筑废料必须统一分类收集后，作为填充材料充垫场地、便道、路堤等。</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②生活垃圾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项目按照生活垃圾产生系数0.5kg/人·d计算，钻前工程生活垃圾产生总量为10kg/d。生活垃圾集中收集后，定期交由环卫部门统一清运、处理。</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4.2钻井工程污染源强核算及环境影响分析</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4.2.1废气环境影响分析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（1）废气排放情况</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本项目为钻井期间的废气主要包括</w:t>
            </w:r>
            <w:r>
              <w:rPr>
                <w:rFonts w:hint="eastAsia" w:cs="Times New Roman"/>
                <w:bCs/>
                <w:color w:val="auto"/>
                <w:sz w:val="24"/>
                <w:lang w:val="en-US" w:eastAsia="zh-CN"/>
              </w:rPr>
              <w:t>气体钻粉尘、</w:t>
            </w:r>
            <w:r>
              <w:rPr>
                <w:rFonts w:hint="default" w:ascii="Times New Roman" w:hAnsi="Times New Roman" w:cs="Times New Roman"/>
                <w:bCs/>
                <w:color w:val="auto"/>
                <w:sz w:val="24"/>
              </w:rPr>
              <w:t>柴油发电机组燃烧废气、非正常生产时事故放喷天然气经点燃后排放废气等。</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fldChar w:fldCharType="begin"/>
            </w:r>
            <w:r>
              <w:rPr>
                <w:rFonts w:hint="default" w:ascii="Times New Roman" w:hAnsi="Times New Roman" w:cs="Times New Roman"/>
                <w:bCs/>
                <w:color w:val="auto"/>
                <w:sz w:val="24"/>
              </w:rPr>
              <w:instrText xml:space="preserve"> = 1 \* GB3 \* MERGEFORMAT </w:instrText>
            </w:r>
            <w:r>
              <w:rPr>
                <w:rFonts w:hint="default" w:ascii="Times New Roman" w:hAnsi="Times New Roman" w:cs="Times New Roman"/>
                <w:bCs/>
                <w:color w:val="auto"/>
                <w:sz w:val="24"/>
              </w:rPr>
              <w:fldChar w:fldCharType="separate"/>
            </w:r>
            <w:r>
              <w:rPr>
                <w:rFonts w:hint="default" w:ascii="Times New Roman" w:hAnsi="Times New Roman" w:cs="Times New Roman"/>
                <w:bCs/>
                <w:color w:val="auto"/>
                <w:sz w:val="24"/>
              </w:rPr>
              <w:t>①</w:t>
            </w:r>
            <w:r>
              <w:rPr>
                <w:rFonts w:hint="default" w:ascii="Times New Roman" w:hAnsi="Times New Roman" w:cs="Times New Roman"/>
                <w:bCs/>
                <w:color w:val="auto"/>
                <w:sz w:val="24"/>
              </w:rPr>
              <w:fldChar w:fldCharType="end"/>
            </w:r>
            <w:r>
              <w:rPr>
                <w:rFonts w:hint="default" w:ascii="Times New Roman" w:hAnsi="Times New Roman" w:cs="Times New Roman"/>
                <w:bCs/>
                <w:color w:val="auto"/>
                <w:sz w:val="24"/>
              </w:rPr>
              <w:t>气体钻粉尘</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根据井身结构设计，二开上部井段采用气体钻井方式，在气体钻阶段，压缩气体将井底岩屑等带出地面过程中，会产生一定的粉尘。本次钻井采用气体钻深度约为2</w:t>
            </w:r>
            <w:r>
              <w:rPr>
                <w:rFonts w:hint="eastAsia" w:cs="Times New Roman"/>
                <w:bCs/>
                <w:color w:val="auto"/>
                <w:sz w:val="24"/>
                <w:lang w:val="en-US" w:eastAsia="zh-CN"/>
              </w:rPr>
              <w:t>4</w:t>
            </w:r>
            <w:r>
              <w:rPr>
                <w:rFonts w:hint="default" w:ascii="Times New Roman" w:hAnsi="Times New Roman" w:cs="Times New Roman"/>
                <w:bCs/>
                <w:color w:val="auto"/>
                <w:sz w:val="24"/>
              </w:rPr>
              <w:t>00m，预计钻速15m/h，气体钻时间约16</w:t>
            </w:r>
            <w:r>
              <w:rPr>
                <w:rFonts w:hint="eastAsia" w:cs="Times New Roman"/>
                <w:bCs/>
                <w:color w:val="auto"/>
                <w:sz w:val="24"/>
                <w:lang w:val="en-US" w:eastAsia="zh-CN"/>
              </w:rPr>
              <w:t>0</w:t>
            </w:r>
            <w:r>
              <w:rPr>
                <w:rFonts w:hint="default" w:ascii="Times New Roman" w:hAnsi="Times New Roman" w:cs="Times New Roman"/>
                <w:bCs/>
                <w:color w:val="auto"/>
                <w:sz w:val="24"/>
              </w:rPr>
              <w:t>h。根据工艺设计，在压缩空气将携带的岩屑带入岩屑罐前，通过向排砂管内加水降尘，以降低粉尘排放量，极少量粉尘由压缩空气带入环境中。根据类比调查，排放废气中粉尘含量低于28mg/m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，废气量约7000m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/h，则钻井期间粉尘排放速率为196g/h、排放量为3</w:t>
            </w:r>
            <w:r>
              <w:rPr>
                <w:rFonts w:hint="eastAsia" w:cs="Times New Roman"/>
                <w:bCs/>
                <w:color w:val="auto"/>
                <w:sz w:val="24"/>
                <w:lang w:val="en-US" w:eastAsia="zh-CN"/>
              </w:rPr>
              <w:t>1.4</w:t>
            </w:r>
            <w:r>
              <w:rPr>
                <w:rFonts w:hint="default" w:ascii="Times New Roman" w:hAnsi="Times New Roman" w:cs="Times New Roman"/>
                <w:bCs/>
                <w:color w:val="auto"/>
                <w:sz w:val="24"/>
              </w:rPr>
              <w:t>kg。气体钻钻井期间产生的粉尘极少，不会对周边大气环境造成明显不利影响。</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fldChar w:fldCharType="begin"/>
            </w:r>
            <w:r>
              <w:rPr>
                <w:rFonts w:hint="default" w:ascii="Times New Roman" w:hAnsi="Times New Roman" w:cs="Times New Roman"/>
                <w:bCs/>
                <w:color w:val="auto"/>
                <w:sz w:val="24"/>
              </w:rPr>
              <w:instrText xml:space="preserve"> = 2 \* GB3 \* MERGEFORMAT </w:instrText>
            </w:r>
            <w:r>
              <w:rPr>
                <w:rFonts w:hint="default" w:ascii="Times New Roman" w:hAnsi="Times New Roman" w:cs="Times New Roman"/>
                <w:bCs/>
                <w:color w:val="auto"/>
                <w:sz w:val="24"/>
              </w:rPr>
              <w:fldChar w:fldCharType="separate"/>
            </w:r>
            <w:r>
              <w:rPr>
                <w:rFonts w:hint="default" w:ascii="Times New Roman" w:hAnsi="Times New Roman" w:cs="Times New Roman"/>
                <w:bCs/>
                <w:color w:val="auto"/>
                <w:sz w:val="24"/>
              </w:rPr>
              <w:t>②</w:t>
            </w:r>
            <w:r>
              <w:rPr>
                <w:rFonts w:hint="default" w:ascii="Times New Roman" w:hAnsi="Times New Roman" w:cs="Times New Roman"/>
                <w:bCs/>
                <w:color w:val="auto"/>
                <w:sz w:val="24"/>
              </w:rPr>
              <w:fldChar w:fldCharType="end"/>
            </w:r>
            <w:r>
              <w:rPr>
                <w:rFonts w:hint="default" w:ascii="Times New Roman" w:hAnsi="Times New Roman" w:cs="Times New Roman"/>
                <w:bCs/>
                <w:color w:val="auto"/>
                <w:sz w:val="24"/>
              </w:rPr>
              <w:t>正常生产时柴油发电机组燃烧排放废气</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本项目优先采用网电钻井，在停电情况下采用柴油发电机组进行发电，并给钻机上的各种设备如泥浆泵、天车、转盘等提供动力，钻井柴油发电机组燃烧排放的废气主要污染物为NOx，其次还有少量CO、CO</w:t>
            </w:r>
            <w:r>
              <w:rPr>
                <w:rFonts w:hint="default" w:ascii="Times New Roman" w:hAnsi="Times New Roman" w:cs="Times New Roman"/>
                <w:bCs/>
                <w:color w:val="auto"/>
                <w:sz w:val="24"/>
                <w:vertAlign w:val="subscript"/>
              </w:rPr>
              <w:t>2</w:t>
            </w:r>
            <w:r>
              <w:rPr>
                <w:rFonts w:hint="default" w:ascii="Times New Roman" w:hAnsi="Times New Roman" w:cs="Times New Roman"/>
                <w:bCs/>
                <w:color w:val="auto"/>
                <w:sz w:val="24"/>
              </w:rPr>
              <w:t>、HC和烟尘等。由于柴油发电机组自带排气筒排气，烟气释放到环境空气中后将很快被稀释，加之其影响的持续时间较短，钻井期间的大气污染物将随钻井工程的结束而消除，因此钻井工程的实施不会对环境空气造成长期明显不利影响。</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③非正常生产时事故放喷天然气经点燃后排放废气</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钻井进入气层后，有可能遇到异常高压气流，如果井内泥浆密度值过低，达不到平衡井内压力要求，就可能发生井喷。此时利用防喷器迅速封闭井口，若井口压力过高，则打开防喷管线阀门泄压，即事故放喷。事故放喷一般时间较短，约2～4h，属于临时排放，放喷的天然气经专用放喷管线引至放喷池后点火燃烧，其燃烧主要产物为NOx、CO</w:t>
            </w:r>
            <w:r>
              <w:rPr>
                <w:rFonts w:hint="default" w:ascii="Times New Roman" w:hAnsi="Times New Roman" w:cs="Times New Roman"/>
                <w:bCs/>
                <w:color w:val="auto"/>
                <w:sz w:val="24"/>
                <w:vertAlign w:val="subscript"/>
              </w:rPr>
              <w:t>2</w:t>
            </w:r>
            <w:r>
              <w:rPr>
                <w:rFonts w:hint="default" w:ascii="Times New Roman" w:hAnsi="Times New Roman" w:cs="Times New Roman"/>
                <w:bCs/>
                <w:color w:val="auto"/>
                <w:sz w:val="24"/>
              </w:rPr>
              <w:t>和水。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fldChar w:fldCharType="begin"/>
            </w:r>
            <w:r>
              <w:rPr>
                <w:rFonts w:hint="default" w:ascii="Times New Roman" w:hAnsi="Times New Roman" w:cs="Times New Roman"/>
                <w:color w:val="auto"/>
                <w:sz w:val="24"/>
              </w:rPr>
              <w:instrText xml:space="preserve"> = 1 \* GB3 </w:instrText>
            </w:r>
            <w:r>
              <w:rPr>
                <w:rFonts w:hint="default" w:ascii="Times New Roman" w:hAnsi="Times New Roman" w:cs="Times New Roman"/>
                <w:color w:val="auto"/>
                <w:sz w:val="24"/>
              </w:rPr>
              <w:fldChar w:fldCharType="separate"/>
            </w:r>
            <w:r>
              <w:rPr>
                <w:rFonts w:hint="default" w:ascii="Times New Roman" w:hAnsi="Times New Roman" w:cs="Times New Roman"/>
                <w:color w:val="auto"/>
                <w:sz w:val="24"/>
              </w:rPr>
              <w:t>①</w:t>
            </w:r>
            <w:r>
              <w:rPr>
                <w:rFonts w:hint="default" w:ascii="Times New Roman" w:hAnsi="Times New Roman" w:cs="Times New Roman"/>
                <w:color w:val="auto"/>
                <w:sz w:val="24"/>
              </w:rPr>
              <w:fldChar w:fldCharType="end"/>
            </w:r>
            <w:r>
              <w:rPr>
                <w:rFonts w:hint="default" w:ascii="Times New Roman" w:hAnsi="Times New Roman" w:cs="Times New Roman"/>
                <w:color w:val="auto"/>
                <w:sz w:val="24"/>
              </w:rPr>
              <w:t>气体钻粉尘</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钻井过程中，使用气体钻时会返出一定量的粉尘，从而导致周围空气粉尘量增加。本项目在气体钻的排屑管处喷淋降尘，同时产生的污水及泥砂进入污水及</w:t>
            </w:r>
            <w:r>
              <w:rPr>
                <w:rFonts w:hint="eastAsia" w:cs="Times New Roman"/>
                <w:color w:val="auto"/>
                <w:sz w:val="24"/>
                <w:lang w:val="en-US" w:eastAsia="zh-CN"/>
              </w:rPr>
              <w:t>泥浆不落地平台</w:t>
            </w:r>
            <w:r>
              <w:rPr>
                <w:rFonts w:hint="default" w:ascii="Times New Roman" w:hAnsi="Times New Roman" w:cs="Times New Roman"/>
                <w:color w:val="auto"/>
                <w:sz w:val="24"/>
              </w:rPr>
              <w:t>。由于产生的粉尘量小，因此对周围环境影响较小。</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fldChar w:fldCharType="begin"/>
            </w:r>
            <w:r>
              <w:rPr>
                <w:rFonts w:hint="default" w:ascii="Times New Roman" w:hAnsi="Times New Roman" w:cs="Times New Roman"/>
                <w:color w:val="auto"/>
                <w:sz w:val="24"/>
              </w:rPr>
              <w:instrText xml:space="preserve"> = 2 \* GB3 </w:instrText>
            </w:r>
            <w:r>
              <w:rPr>
                <w:rFonts w:hint="default" w:ascii="Times New Roman" w:hAnsi="Times New Roman" w:cs="Times New Roman"/>
                <w:color w:val="auto"/>
                <w:sz w:val="24"/>
              </w:rPr>
              <w:fldChar w:fldCharType="separate"/>
            </w:r>
            <w:r>
              <w:rPr>
                <w:rFonts w:hint="default" w:ascii="Times New Roman" w:hAnsi="Times New Roman" w:cs="Times New Roman"/>
                <w:color w:val="auto"/>
                <w:sz w:val="24"/>
              </w:rPr>
              <w:t>②</w:t>
            </w:r>
            <w:r>
              <w:rPr>
                <w:rFonts w:hint="default" w:ascii="Times New Roman" w:hAnsi="Times New Roman" w:cs="Times New Roman"/>
                <w:color w:val="auto"/>
                <w:sz w:val="24"/>
              </w:rPr>
              <w:fldChar w:fldCharType="end"/>
            </w:r>
            <w:r>
              <w:rPr>
                <w:rFonts w:hint="default" w:ascii="Times New Roman" w:hAnsi="Times New Roman" w:cs="Times New Roman"/>
                <w:color w:val="auto"/>
                <w:sz w:val="24"/>
              </w:rPr>
              <w:t>钻井工程</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停电情况下使用柴油发电机燃烧排放的废气主要污染物为NOx，其次还有少量CO、CO</w:t>
            </w:r>
            <w:r>
              <w:rPr>
                <w:rFonts w:hint="default" w:ascii="Times New Roman" w:hAnsi="Times New Roman" w:cs="Times New Roman"/>
                <w:color w:val="auto"/>
                <w:sz w:val="24"/>
                <w:vertAlign w:val="subscript"/>
              </w:rPr>
              <w:t>2</w:t>
            </w:r>
            <w:r>
              <w:rPr>
                <w:rFonts w:hint="default" w:ascii="Times New Roman" w:hAnsi="Times New Roman" w:cs="Times New Roman"/>
                <w:color w:val="auto"/>
                <w:sz w:val="24"/>
              </w:rPr>
              <w:t>、HC和少量烟尘等。由于柴油发电机组烟气释放到环境空气中后将很快被稀释，加之其影响的持续时间较短，钻井期间的大气污染物将随钻井工程的结束而消除，因此钻井工程的实施不会对环境空气造成长期明显不利影响。</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③非正常生产、事故放喷天然气经点燃后排放废气</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非正常生产、事故放喷的天然气经点火燃烧，其主要污染物为SO</w:t>
            </w:r>
            <w:r>
              <w:rPr>
                <w:rFonts w:hint="default" w:ascii="Times New Roman" w:hAnsi="Times New Roman" w:cs="Times New Roman"/>
                <w:color w:val="auto"/>
                <w:sz w:val="24"/>
                <w:vertAlign w:val="subscript"/>
              </w:rPr>
              <w:t>2</w:t>
            </w:r>
            <w:r>
              <w:rPr>
                <w:rFonts w:hint="default" w:ascii="Times New Roman" w:hAnsi="Times New Roman" w:cs="Times New Roman"/>
                <w:color w:val="auto"/>
                <w:sz w:val="24"/>
              </w:rPr>
              <w:t>、CO</w:t>
            </w:r>
            <w:r>
              <w:rPr>
                <w:rFonts w:hint="default" w:ascii="Times New Roman" w:hAnsi="Times New Roman" w:cs="Times New Roman"/>
                <w:color w:val="auto"/>
                <w:sz w:val="24"/>
                <w:vertAlign w:val="subscript"/>
              </w:rPr>
              <w:t>2</w:t>
            </w:r>
            <w:r>
              <w:rPr>
                <w:rFonts w:hint="default" w:ascii="Times New Roman" w:hAnsi="Times New Roman" w:cs="Times New Roman"/>
                <w:color w:val="auto"/>
                <w:sz w:val="24"/>
              </w:rPr>
              <w:t>。对周边环境造成影响较小。</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4.2.2废水环境影响分析</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（1）废水源强分析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拟建项目井场采用清污分流制，井场四周设置污水截流沟。</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钻井期间产生的废水主要包括钻井废水、洗井废水、方井雨水、压裂返排废水和生活污水。本项目产生的钻井废水、洗井废水、方井雨水汇至井场泥浆不落地平台处理后优先回用于本井站压裂液配制</w:t>
            </w:r>
            <w:r>
              <w:rPr>
                <w:rFonts w:hint="default" w:ascii="Times New Roman" w:hAnsi="Times New Roman" w:cs="Times New Roman"/>
                <w:bCs/>
                <w:color w:val="auto"/>
                <w:sz w:val="24"/>
                <w:lang w:eastAsia="zh-CN"/>
              </w:rPr>
              <w:t>，</w:t>
            </w:r>
            <w:r>
              <w:rPr>
                <w:rFonts w:hint="default" w:ascii="Times New Roman" w:hAnsi="Times New Roman" w:cs="Times New Roman"/>
                <w:bCs/>
                <w:color w:val="auto"/>
                <w:sz w:val="24"/>
                <w:lang w:val="en-US" w:eastAsia="zh-CN"/>
              </w:rPr>
              <w:t>不能回用时用密闭罐车定期拉运至</w:t>
            </w:r>
            <w:r>
              <w:rPr>
                <w:rFonts w:hint="eastAsia" w:cs="Times New Roman"/>
                <w:bCs/>
                <w:color w:val="auto"/>
                <w:sz w:val="24"/>
                <w:lang w:val="en-US" w:eastAsia="zh-CN"/>
              </w:rPr>
              <w:t>赵家坝污水处理站</w:t>
            </w:r>
            <w:r>
              <w:rPr>
                <w:rFonts w:hint="default" w:ascii="Times New Roman" w:hAnsi="Times New Roman" w:cs="Times New Roman"/>
                <w:bCs/>
                <w:color w:val="auto"/>
                <w:sz w:val="24"/>
                <w:lang w:val="en-US" w:eastAsia="zh-CN"/>
              </w:rPr>
              <w:t>处理达标后</w:t>
            </w:r>
            <w:r>
              <w:rPr>
                <w:rFonts w:hint="eastAsia" w:cs="Times New Roman"/>
                <w:bCs/>
                <w:color w:val="auto"/>
                <w:sz w:val="24"/>
                <w:lang w:val="en-US" w:eastAsia="zh-CN"/>
              </w:rPr>
              <w:t>由罐车拉运至普光3井等</w:t>
            </w:r>
            <w:r>
              <w:rPr>
                <w:rFonts w:hint="default" w:ascii="Times New Roman" w:hAnsi="Times New Roman" w:cs="Times New Roman"/>
                <w:bCs/>
                <w:color w:val="auto"/>
                <w:sz w:val="24"/>
                <w:lang w:val="en-US" w:eastAsia="zh-CN"/>
              </w:rPr>
              <w:t>回注站回注</w:t>
            </w:r>
            <w:r>
              <w:rPr>
                <w:rFonts w:hint="default" w:ascii="Times New Roman" w:hAnsi="Times New Roman" w:cs="Times New Roman"/>
                <w:bCs/>
                <w:color w:val="auto"/>
                <w:sz w:val="24"/>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fldChar w:fldCharType="begin"/>
            </w:r>
            <w:r>
              <w:rPr>
                <w:rFonts w:hint="default" w:ascii="Times New Roman" w:hAnsi="Times New Roman" w:cs="Times New Roman"/>
                <w:bCs/>
                <w:color w:val="auto"/>
                <w:sz w:val="24"/>
              </w:rPr>
              <w:instrText xml:space="preserve"> = 1 \* GB3 </w:instrText>
            </w:r>
            <w:r>
              <w:rPr>
                <w:rFonts w:hint="default" w:ascii="Times New Roman" w:hAnsi="Times New Roman" w:cs="Times New Roman"/>
                <w:bCs/>
                <w:color w:val="auto"/>
                <w:sz w:val="24"/>
              </w:rPr>
              <w:fldChar w:fldCharType="separate"/>
            </w:r>
            <w:r>
              <w:rPr>
                <w:rFonts w:hint="default" w:ascii="Times New Roman" w:hAnsi="Times New Roman" w:cs="Times New Roman"/>
                <w:bCs/>
                <w:color w:val="auto"/>
                <w:sz w:val="24"/>
              </w:rPr>
              <w:t>①</w:t>
            </w:r>
            <w:r>
              <w:rPr>
                <w:rFonts w:hint="default" w:ascii="Times New Roman" w:hAnsi="Times New Roman" w:cs="Times New Roman"/>
                <w:bCs/>
                <w:color w:val="auto"/>
                <w:sz w:val="24"/>
              </w:rPr>
              <w:fldChar w:fldCharType="end"/>
            </w:r>
            <w:r>
              <w:rPr>
                <w:rFonts w:hint="default" w:ascii="Times New Roman" w:hAnsi="Times New Roman" w:cs="Times New Roman"/>
                <w:bCs/>
                <w:color w:val="auto"/>
                <w:sz w:val="24"/>
              </w:rPr>
              <w:t>场地雨水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井场内四周设排水边沟，井场雨水随四周排水边沟汇至排放口，排放口设监控池，初期雨水收集泵入泥浆不落地平台处理回用，现场不外排。</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初期雨水量按照如下公式计算：</w:t>
            </w:r>
          </w:p>
          <w:p>
            <w:pPr>
              <w:keepNext w:val="0"/>
              <w:keepLines w:val="0"/>
              <w:suppressLineNumbers w:val="0"/>
              <w:spacing w:before="0" w:beforeAutospacing="0" w:after="0" w:afterAutospacing="0" w:line="360" w:lineRule="auto"/>
              <w:ind w:left="0" w:right="0" w:firstLine="480" w:firstLineChars="200"/>
              <w:jc w:val="center"/>
              <w:rPr>
                <w:rFonts w:hint="default" w:ascii="Times New Roman" w:hAnsi="Times New Roman" w:cs="Times New Roman"/>
                <w:bCs/>
                <w:color w:val="auto"/>
                <w:sz w:val="24"/>
              </w:rPr>
            </w:pPr>
            <w:r>
              <w:rPr>
                <w:rFonts w:hint="default" w:ascii="Times New Roman" w:hAnsi="Times New Roman" w:cs="Times New Roman"/>
                <w:bCs/>
                <w:color w:val="auto"/>
                <w:sz w:val="24"/>
              </w:rPr>
              <w:t>V=q×ψ×F×t×60÷1000</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式中：V-初期雨水最大量，m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t-降雨历时，min；</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ψ－径流系数，取0.85；</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F－汇水面积，hm</w:t>
            </w:r>
            <w:r>
              <w:rPr>
                <w:rFonts w:hint="default" w:ascii="Times New Roman" w:hAnsi="Times New Roman" w:cs="Times New Roman"/>
                <w:bCs/>
                <w:color w:val="auto"/>
                <w:sz w:val="24"/>
                <w:vertAlign w:val="superscript"/>
              </w:rPr>
              <w:t>2</w:t>
            </w:r>
            <w:r>
              <w:rPr>
                <w:rFonts w:hint="default" w:ascii="Times New Roman" w:hAnsi="Times New Roman" w:cs="Times New Roman"/>
                <w:bCs/>
                <w:color w:val="auto"/>
                <w:sz w:val="24"/>
              </w:rPr>
              <w:t>，本次计算井架区域占地面积，合计按4000m</w:t>
            </w:r>
            <w:r>
              <w:rPr>
                <w:rFonts w:hint="default" w:ascii="Times New Roman" w:hAnsi="Times New Roman" w:cs="Times New Roman"/>
                <w:bCs/>
                <w:color w:val="auto"/>
                <w:sz w:val="24"/>
                <w:vertAlign w:val="superscript"/>
              </w:rPr>
              <w:t>2</w:t>
            </w:r>
            <w:r>
              <w:rPr>
                <w:rFonts w:hint="default" w:ascii="Times New Roman" w:hAnsi="Times New Roman" w:cs="Times New Roman"/>
                <w:bCs/>
                <w:color w:val="auto"/>
                <w:sz w:val="24"/>
              </w:rPr>
              <w:t>计，即0.4hm</w:t>
            </w:r>
            <w:r>
              <w:rPr>
                <w:rFonts w:hint="default" w:ascii="Times New Roman" w:hAnsi="Times New Roman" w:cs="Times New Roman"/>
                <w:bCs/>
                <w:color w:val="auto"/>
                <w:sz w:val="24"/>
                <w:vertAlign w:val="superscript"/>
              </w:rPr>
              <w:t>2</w:t>
            </w:r>
            <w:r>
              <w:rPr>
                <w:rFonts w:hint="default" w:ascii="Times New Roman" w:hAnsi="Times New Roman" w:cs="Times New Roman"/>
                <w:bCs/>
                <w:color w:val="auto"/>
                <w:sz w:val="24"/>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q－设计暴雨强度，L/（s·hm</w:t>
            </w:r>
            <w:r>
              <w:rPr>
                <w:rFonts w:hint="default" w:ascii="Times New Roman" w:hAnsi="Times New Roman" w:cs="Times New Roman"/>
                <w:bCs/>
                <w:color w:val="auto"/>
                <w:sz w:val="24"/>
                <w:vertAlign w:val="superscript"/>
              </w:rPr>
              <w:t>2</w:t>
            </w:r>
            <w:r>
              <w:rPr>
                <w:rFonts w:hint="default" w:ascii="Times New Roman" w:hAnsi="Times New Roman" w:cs="Times New Roman"/>
                <w:bCs/>
                <w:color w:val="auto"/>
                <w:sz w:val="24"/>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设计暴雨强度公式如下：</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m:oMathPara>
              <m:oMath>
                <m:r>
                  <m:rPr>
                    <m:sty m:val="p"/>
                  </m:rPr>
                  <w:rPr>
                    <w:rFonts w:hint="default" w:ascii="Cambria Math" w:hAnsi="Cambria Math" w:cs="Times New Roman"/>
                    <w:color w:val="auto"/>
                    <w:sz w:val="24"/>
                  </w:rPr>
                  <m:t>q=</m:t>
                </m:r>
                <m:f>
                  <m:fPr>
                    <m:ctrlPr>
                      <w:rPr>
                        <w:rFonts w:hint="default" w:ascii="Cambria Math" w:hAnsi="Cambria Math" w:cs="Times New Roman"/>
                        <w:bCs/>
                        <w:color w:val="auto"/>
                        <w:sz w:val="24"/>
                      </w:rPr>
                    </m:ctrlPr>
                  </m:fPr>
                  <m:num>
                    <m:r>
                      <m:rPr>
                        <m:sty m:val="p"/>
                      </m:rPr>
                      <w:rPr>
                        <w:rFonts w:hint="default" w:ascii="Cambria Math" w:hAnsi="Cambria Math" w:cs="Times New Roman"/>
                        <w:color w:val="auto"/>
                        <w:sz w:val="24"/>
                      </w:rPr>
                      <m:t>928.799(1+0.818LgP)</m:t>
                    </m:r>
                    <m:ctrlPr>
                      <w:rPr>
                        <w:rFonts w:hint="default" w:ascii="Cambria Math" w:hAnsi="Cambria Math" w:cs="Times New Roman"/>
                        <w:bCs/>
                        <w:color w:val="auto"/>
                        <w:sz w:val="24"/>
                      </w:rPr>
                    </m:ctrlPr>
                  </m:num>
                  <m:den>
                    <m:r>
                      <m:rPr>
                        <m:sty m:val="p"/>
                      </m:rPr>
                      <w:rPr>
                        <w:rFonts w:hint="default" w:ascii="Cambria Math" w:hAnsi="Cambria Math" w:cs="Times New Roman"/>
                        <w:color w:val="auto"/>
                        <w:sz w:val="24"/>
                      </w:rPr>
                      <m:t>(t+5.788</m:t>
                    </m:r>
                    <m:sSup>
                      <m:sSupPr>
                        <m:ctrlPr>
                          <w:rPr>
                            <w:rFonts w:hint="default" w:ascii="Cambria Math" w:hAnsi="Cambria Math" w:cs="Times New Roman"/>
                            <w:bCs/>
                            <w:color w:val="auto"/>
                            <w:sz w:val="24"/>
                          </w:rPr>
                        </m:ctrlPr>
                      </m:sSupPr>
                      <m:e>
                        <m:r>
                          <m:rPr>
                            <m:sty m:val="p"/>
                          </m:rPr>
                          <w:rPr>
                            <w:rFonts w:hint="default" w:ascii="Cambria Math" w:hAnsi="Cambria Math" w:cs="Times New Roman"/>
                            <w:color w:val="auto"/>
                            <w:sz w:val="24"/>
                          </w:rPr>
                          <m:t>)</m:t>
                        </m:r>
                        <m:ctrlPr>
                          <w:rPr>
                            <w:rFonts w:hint="default" w:ascii="Cambria Math" w:hAnsi="Cambria Math" w:cs="Times New Roman"/>
                            <w:bCs/>
                            <w:color w:val="auto"/>
                            <w:sz w:val="24"/>
                          </w:rPr>
                        </m:ctrlPr>
                      </m:e>
                      <m:sup>
                        <m:r>
                          <m:rPr>
                            <m:sty m:val="p"/>
                          </m:rPr>
                          <w:rPr>
                            <w:rFonts w:hint="default" w:ascii="Cambria Math" w:hAnsi="Cambria Math" w:cs="Times New Roman"/>
                            <w:color w:val="auto"/>
                            <w:sz w:val="24"/>
                          </w:rPr>
                          <m:t>0.565</m:t>
                        </m:r>
                        <m:ctrlPr>
                          <w:rPr>
                            <w:rFonts w:hint="default" w:ascii="Cambria Math" w:hAnsi="Cambria Math" w:cs="Times New Roman"/>
                            <w:bCs/>
                            <w:color w:val="auto"/>
                            <w:sz w:val="24"/>
                          </w:rPr>
                        </m:ctrlPr>
                      </m:sup>
                    </m:sSup>
                    <m:ctrlPr>
                      <w:rPr>
                        <w:rFonts w:hint="default" w:ascii="Cambria Math" w:hAnsi="Cambria Math" w:cs="Times New Roman"/>
                        <w:bCs/>
                        <w:color w:val="auto"/>
                        <w:sz w:val="24"/>
                      </w:rPr>
                    </m:ctrlPr>
                  </m:den>
                </m:f>
              </m:oMath>
            </m:oMathPara>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式中：</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q—设计暴雨强度，L/（s·hm</w:t>
            </w:r>
            <w:r>
              <w:rPr>
                <w:rFonts w:hint="default" w:ascii="Times New Roman" w:hAnsi="Times New Roman" w:cs="Times New Roman"/>
                <w:bCs/>
                <w:color w:val="auto"/>
                <w:sz w:val="24"/>
                <w:vertAlign w:val="superscript"/>
              </w:rPr>
              <w:t>2</w:t>
            </w:r>
            <w:r>
              <w:rPr>
                <w:rFonts w:hint="default" w:ascii="Times New Roman" w:hAnsi="Times New Roman" w:cs="Times New Roman"/>
                <w:bCs/>
                <w:color w:val="auto"/>
                <w:sz w:val="24"/>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p—设计暴雨重现期（年）：本次取值为2年；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t—降雨历时（min）：取15min。</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经计算，本项目15min初期雨水产生量约为64.1m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井场实行雨污分流，井场外四周设排水边沟，井外雨水不得进入井场，井场内四周设内排水边，井场雨水随内排水沟汇至排放口，排放口设监控池，初期雨水收集后泵入泥浆不落地平台处理回用，现场不外排。</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fldChar w:fldCharType="begin"/>
            </w:r>
            <w:r>
              <w:rPr>
                <w:rFonts w:hint="default" w:ascii="Times New Roman" w:hAnsi="Times New Roman" w:cs="Times New Roman"/>
                <w:bCs/>
                <w:color w:val="auto"/>
                <w:sz w:val="24"/>
              </w:rPr>
              <w:instrText xml:space="preserve"> = 2 \* GB3 </w:instrText>
            </w:r>
            <w:r>
              <w:rPr>
                <w:rFonts w:hint="default" w:ascii="Times New Roman" w:hAnsi="Times New Roman" w:cs="Times New Roman"/>
                <w:bCs/>
                <w:color w:val="auto"/>
                <w:sz w:val="24"/>
              </w:rPr>
              <w:fldChar w:fldCharType="separate"/>
            </w:r>
            <w:r>
              <w:rPr>
                <w:rFonts w:hint="default" w:ascii="Times New Roman" w:hAnsi="Times New Roman" w:cs="Times New Roman"/>
                <w:bCs/>
                <w:color w:val="auto"/>
                <w:sz w:val="24"/>
              </w:rPr>
              <w:t>②</w:t>
            </w:r>
            <w:r>
              <w:rPr>
                <w:rFonts w:hint="default" w:ascii="Times New Roman" w:hAnsi="Times New Roman" w:cs="Times New Roman"/>
                <w:bCs/>
                <w:color w:val="auto"/>
                <w:sz w:val="24"/>
              </w:rPr>
              <w:fldChar w:fldCharType="end"/>
            </w:r>
            <w:r>
              <w:rPr>
                <w:rFonts w:hint="default" w:ascii="Times New Roman" w:hAnsi="Times New Roman" w:cs="Times New Roman"/>
                <w:bCs/>
                <w:color w:val="auto"/>
                <w:sz w:val="24"/>
              </w:rPr>
              <w:t>钻井废水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钻井过程中产生的钻井废水主要包括水基泥浆钻井阶段产生的废水，钻台及钻具等冲洗水。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水基钻井液钻阶段：在水基钻井作业的配浆过程中会根据泥浆的不同配比要求加入不等量的水，这些水随钻井泥浆进入井底协助钻井作业，在钻井泥浆返回地面后，大部分水随泥浆进入泥浆循环系统回用，小部分水随振动筛、离心机和除砂除泥器分离出的钻屑进入泥浆不落地平台，经固液分离后回用于配制压裂液。</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根据宣汉地区大量钻井数据的统计分析，常规钻井阶段钻进1000m废水产生量约为500m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钻井废水，本项目若全部考虑清水钻井+常规水基钻井，</w:t>
            </w:r>
            <w:r>
              <w:rPr>
                <w:rFonts w:hint="eastAsia" w:cs="Times New Roman"/>
                <w:bCs/>
                <w:color w:val="auto"/>
                <w:sz w:val="24"/>
                <w:lang w:val="en-US" w:eastAsia="zh-CN"/>
              </w:rPr>
              <w:t>导眼井及水平井</w:t>
            </w:r>
            <w:r>
              <w:rPr>
                <w:rFonts w:hint="default" w:ascii="Times New Roman" w:hAnsi="Times New Roman" w:cs="Times New Roman"/>
                <w:bCs/>
                <w:color w:val="auto"/>
                <w:sz w:val="24"/>
              </w:rPr>
              <w:t>设计</w:t>
            </w:r>
            <w:r>
              <w:rPr>
                <w:rFonts w:hint="eastAsia" w:cs="Times New Roman"/>
                <w:bCs/>
                <w:color w:val="auto"/>
                <w:sz w:val="24"/>
                <w:lang w:val="en-US" w:eastAsia="zh-CN"/>
              </w:rPr>
              <w:t>钻井总</w:t>
            </w:r>
            <w:r>
              <w:rPr>
                <w:rFonts w:hint="default" w:ascii="Times New Roman" w:hAnsi="Times New Roman" w:cs="Times New Roman"/>
                <w:bCs/>
                <w:color w:val="auto"/>
                <w:sz w:val="24"/>
              </w:rPr>
              <w:t>井深约</w:t>
            </w:r>
            <w:r>
              <w:rPr>
                <w:rFonts w:hint="eastAsia" w:cs="Times New Roman"/>
                <w:bCs/>
                <w:color w:val="auto"/>
                <w:sz w:val="24"/>
                <w:lang w:val="en-US" w:eastAsia="zh-CN"/>
              </w:rPr>
              <w:t>6880.7</w:t>
            </w:r>
            <w:r>
              <w:rPr>
                <w:rFonts w:hint="default" w:ascii="Times New Roman" w:hAnsi="Times New Roman" w:cs="Times New Roman"/>
                <w:bCs/>
                <w:color w:val="auto"/>
                <w:sz w:val="24"/>
              </w:rPr>
              <w:t>m，因此本项目钻井废水产生量约为</w:t>
            </w:r>
            <w:r>
              <w:rPr>
                <w:rFonts w:hint="eastAsia" w:cs="Times New Roman"/>
                <w:bCs/>
                <w:color w:val="auto"/>
                <w:sz w:val="24"/>
                <w:lang w:eastAsia="zh-CN"/>
              </w:rPr>
              <w:t>3440.4</w:t>
            </w:r>
            <w:r>
              <w:rPr>
                <w:rFonts w:hint="default" w:ascii="Times New Roman" w:hAnsi="Times New Roman" w:cs="Times New Roman"/>
                <w:bCs/>
                <w:color w:val="auto"/>
                <w:sz w:val="24"/>
              </w:rPr>
              <w:t>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，钻井过程中产生的废水经处理后回用于水基钻井液的配制。钻井废水回用率约为90%以上，循环过程中的新鲜水损耗量约为5%。因此钻井废水回用量为</w:t>
            </w:r>
            <w:r>
              <w:rPr>
                <w:rFonts w:hint="eastAsia" w:cs="Times New Roman"/>
                <w:bCs/>
                <w:color w:val="auto"/>
                <w:sz w:val="24"/>
                <w:lang w:val="en-US" w:eastAsia="zh-CN"/>
              </w:rPr>
              <w:t>3096</w:t>
            </w:r>
            <w:r>
              <w:rPr>
                <w:rFonts w:hint="default" w:ascii="Times New Roman" w:hAnsi="Times New Roman" w:cs="Times New Roman"/>
                <w:bCs/>
                <w:color w:val="auto"/>
                <w:sz w:val="24"/>
              </w:rPr>
              <w:t>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，剩余废水量为</w:t>
            </w:r>
            <w:r>
              <w:rPr>
                <w:rFonts w:hint="eastAsia" w:cs="Times New Roman"/>
                <w:bCs/>
                <w:color w:val="auto"/>
                <w:sz w:val="24"/>
                <w:lang w:eastAsia="zh-CN"/>
              </w:rPr>
              <w:t>172</w:t>
            </w:r>
            <w:r>
              <w:rPr>
                <w:rFonts w:hint="default" w:ascii="Times New Roman" w:hAnsi="Times New Roman" w:cs="Times New Roman"/>
                <w:bCs/>
                <w:color w:val="auto"/>
                <w:sz w:val="24"/>
              </w:rPr>
              <w:t>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。由于钻井用水量相对较少，因此钻井用水通过罐车取自井场附近的河流，然后通过罐车拉运至井场；本评价建议建设单位或施工单位在项目施工前办理相关取水许可</w:t>
            </w:r>
            <w:r>
              <w:rPr>
                <w:rFonts w:hint="default" w:ascii="Times New Roman" w:hAnsi="Times New Roman" w:cs="Times New Roman"/>
                <w:bCs/>
                <w:color w:val="auto"/>
                <w:sz w:val="24"/>
                <w:lang w:eastAsia="zh-CN"/>
              </w:rPr>
              <w:t>，</w:t>
            </w:r>
            <w:r>
              <w:rPr>
                <w:rFonts w:hint="default" w:ascii="Times New Roman" w:hAnsi="Times New Roman" w:cs="Times New Roman"/>
                <w:bCs/>
                <w:color w:val="auto"/>
                <w:sz w:val="24"/>
                <w:lang w:val="en-US" w:eastAsia="zh-CN"/>
              </w:rPr>
              <w:t>并节约用水</w:t>
            </w:r>
            <w:r>
              <w:rPr>
                <w:rFonts w:hint="default" w:ascii="Times New Roman" w:hAnsi="Times New Roman" w:cs="Times New Roman"/>
                <w:bCs/>
                <w:color w:val="auto"/>
                <w:sz w:val="24"/>
              </w:rPr>
              <w:t>。钻井过程中产生的废水经</w:t>
            </w:r>
            <w:r>
              <w:rPr>
                <w:rFonts w:hint="default" w:ascii="Times New Roman" w:hAnsi="Times New Roman" w:cs="Times New Roman"/>
                <w:bCs/>
                <w:color w:val="auto"/>
                <w:sz w:val="24"/>
                <w:lang w:val="en-US" w:eastAsia="zh-CN"/>
              </w:rPr>
              <w:t>泥浆不落地平台</w:t>
            </w:r>
            <w:r>
              <w:rPr>
                <w:rFonts w:hint="default" w:ascii="Times New Roman" w:hAnsi="Times New Roman" w:cs="Times New Roman"/>
                <w:bCs/>
                <w:color w:val="auto"/>
                <w:sz w:val="24"/>
              </w:rPr>
              <w:t>处理后</w:t>
            </w:r>
            <w:r>
              <w:rPr>
                <w:rFonts w:hint="default" w:ascii="Times New Roman" w:hAnsi="Times New Roman" w:cs="Times New Roman"/>
                <w:bCs/>
                <w:color w:val="auto"/>
                <w:sz w:val="24"/>
                <w:lang w:val="en-US" w:eastAsia="zh-CN"/>
              </w:rPr>
              <w:t>大部分</w:t>
            </w:r>
            <w:r>
              <w:rPr>
                <w:rFonts w:hint="default" w:ascii="Times New Roman" w:hAnsi="Times New Roman" w:cs="Times New Roman"/>
                <w:bCs/>
                <w:color w:val="auto"/>
                <w:sz w:val="24"/>
              </w:rPr>
              <w:t>回用于配制钻井液</w:t>
            </w:r>
            <w:r>
              <w:rPr>
                <w:rFonts w:hint="default" w:ascii="Times New Roman" w:hAnsi="Times New Roman" w:cs="Times New Roman"/>
                <w:bCs/>
                <w:color w:val="auto"/>
                <w:sz w:val="24"/>
                <w:lang w:eastAsia="zh-CN"/>
              </w:rPr>
              <w:t>，</w:t>
            </w:r>
            <w:r>
              <w:rPr>
                <w:rFonts w:hint="default" w:ascii="Times New Roman" w:hAnsi="Times New Roman" w:cs="Times New Roman"/>
                <w:bCs/>
                <w:color w:val="auto"/>
                <w:sz w:val="24"/>
                <w:lang w:val="en-US" w:eastAsia="zh-CN"/>
              </w:rPr>
              <w:t>若不能回用，则拉运至</w:t>
            </w:r>
            <w:r>
              <w:rPr>
                <w:rFonts w:hint="eastAsia" w:cs="Times New Roman"/>
                <w:bCs/>
                <w:color w:val="auto"/>
                <w:sz w:val="24"/>
                <w:lang w:val="en-US" w:eastAsia="zh-CN"/>
              </w:rPr>
              <w:t>赵家坝污水处理站</w:t>
            </w:r>
            <w:r>
              <w:rPr>
                <w:rFonts w:hint="default" w:ascii="Times New Roman" w:hAnsi="Times New Roman" w:cs="Times New Roman"/>
                <w:bCs/>
                <w:color w:val="auto"/>
                <w:sz w:val="24"/>
                <w:lang w:val="en-US" w:eastAsia="zh-CN"/>
              </w:rPr>
              <w:t>处理达标后由罐车拉运至普光3井等回注站回注，现场不外排</w:t>
            </w:r>
            <w:r>
              <w:rPr>
                <w:rFonts w:hint="default" w:ascii="Times New Roman" w:hAnsi="Times New Roman" w:cs="Times New Roman"/>
                <w:bCs/>
                <w:color w:val="auto"/>
                <w:sz w:val="24"/>
                <w:lang w:eastAsia="zh-CN"/>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本项目钻井废水主要污染物浓度根据普光气田钻井工程钻井废水类比，钻井工程废水水质情况见表4-4。</w:t>
            </w:r>
          </w:p>
          <w:p>
            <w:pPr>
              <w:keepNext w:val="0"/>
              <w:keepLines w:val="0"/>
              <w:suppressLineNumbers w:val="0"/>
              <w:spacing w:before="0" w:beforeAutospacing="0" w:after="0" w:afterAutospacing="0" w:line="360" w:lineRule="auto"/>
              <w:ind w:left="0" w:right="0" w:firstLine="422" w:firstLineChars="200"/>
              <w:jc w:val="center"/>
              <w:rPr>
                <w:rFonts w:hint="default" w:ascii="Times New Roman" w:hAnsi="Times New Roman" w:cs="Times New Roman"/>
                <w:bCs/>
                <w:color w:val="auto"/>
                <w:szCs w:val="21"/>
              </w:rPr>
            </w:pPr>
            <w:r>
              <w:rPr>
                <w:rFonts w:hint="default" w:ascii="Times New Roman" w:hAnsi="Times New Roman" w:cs="Times New Roman"/>
                <w:b/>
                <w:bCs/>
                <w:color w:val="auto"/>
                <w:szCs w:val="21"/>
              </w:rPr>
              <w:t>表4-4 钻井废水水质情况</w:t>
            </w:r>
          </w:p>
          <w:tbl>
            <w:tblPr>
              <w:tblStyle w:val="45"/>
              <w:tblW w:w="8137"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560"/>
              <w:gridCol w:w="2042"/>
              <w:gridCol w:w="1985"/>
              <w:gridCol w:w="155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560"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废水种类</w:t>
                  </w:r>
                </w:p>
              </w:tc>
              <w:tc>
                <w:tcPr>
                  <w:tcW w:w="5577" w:type="dxa"/>
                  <w:gridSpan w:val="3"/>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主要污染物浓度（单位mg/L，pH无量纲）</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560"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204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pH</w:t>
                  </w:r>
                </w:p>
              </w:tc>
              <w:tc>
                <w:tcPr>
                  <w:tcW w:w="198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石油类</w:t>
                  </w:r>
                </w:p>
              </w:tc>
              <w:tc>
                <w:tcPr>
                  <w:tcW w:w="15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SS</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256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水基钻井液钻井后废水</w:t>
                  </w:r>
                </w:p>
              </w:tc>
              <w:tc>
                <w:tcPr>
                  <w:tcW w:w="204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8.3</w:t>
                  </w:r>
                  <w:r>
                    <w:rPr>
                      <w:rFonts w:hint="eastAsia" w:cs="Times New Roman"/>
                      <w:bCs/>
                      <w:color w:val="auto"/>
                      <w:szCs w:val="21"/>
                      <w:lang w:eastAsia="zh-CN"/>
                    </w:rPr>
                    <w:t>~</w:t>
                  </w:r>
                  <w:r>
                    <w:rPr>
                      <w:rFonts w:hint="default" w:ascii="Times New Roman" w:hAnsi="Times New Roman" w:cs="Times New Roman"/>
                      <w:bCs/>
                      <w:color w:val="auto"/>
                      <w:szCs w:val="21"/>
                    </w:rPr>
                    <w:t>12.5</w:t>
                  </w:r>
                </w:p>
              </w:tc>
              <w:tc>
                <w:tcPr>
                  <w:tcW w:w="198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≤200</w:t>
                  </w:r>
                </w:p>
              </w:tc>
              <w:tc>
                <w:tcPr>
                  <w:tcW w:w="155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≤7500</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fldChar w:fldCharType="begin"/>
            </w:r>
            <w:r>
              <w:rPr>
                <w:rFonts w:hint="default" w:ascii="Times New Roman" w:hAnsi="Times New Roman" w:cs="Times New Roman"/>
                <w:bCs/>
                <w:color w:val="auto"/>
                <w:sz w:val="24"/>
              </w:rPr>
              <w:instrText xml:space="preserve"> = 3 \* GB3 </w:instrText>
            </w:r>
            <w:r>
              <w:rPr>
                <w:rFonts w:hint="default" w:ascii="Times New Roman" w:hAnsi="Times New Roman" w:cs="Times New Roman"/>
                <w:bCs/>
                <w:color w:val="auto"/>
                <w:sz w:val="24"/>
              </w:rPr>
              <w:fldChar w:fldCharType="separate"/>
            </w:r>
            <w:r>
              <w:rPr>
                <w:rFonts w:hint="default" w:ascii="Times New Roman" w:hAnsi="Times New Roman" w:cs="Times New Roman"/>
                <w:bCs/>
                <w:color w:val="auto"/>
                <w:sz w:val="24"/>
              </w:rPr>
              <w:t>③</w:t>
            </w:r>
            <w:r>
              <w:rPr>
                <w:rFonts w:hint="default" w:ascii="Times New Roman" w:hAnsi="Times New Roman" w:cs="Times New Roman"/>
                <w:bCs/>
                <w:color w:val="auto"/>
                <w:sz w:val="24"/>
              </w:rPr>
              <w:fldChar w:fldCharType="end"/>
            </w:r>
            <w:r>
              <w:rPr>
                <w:rFonts w:hint="default" w:ascii="Times New Roman" w:hAnsi="Times New Roman" w:cs="Times New Roman"/>
                <w:bCs/>
                <w:color w:val="auto"/>
                <w:sz w:val="24"/>
              </w:rPr>
              <w:t>生活污水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eastAsia" w:cs="Times New Roman"/>
                <w:bCs/>
                <w:color w:val="auto"/>
                <w:sz w:val="24"/>
                <w:lang w:eastAsia="zh-CN"/>
              </w:rPr>
              <w:t>普陆12HF井</w:t>
            </w:r>
            <w:r>
              <w:rPr>
                <w:rFonts w:hint="default" w:ascii="Times New Roman" w:hAnsi="Times New Roman" w:cs="Times New Roman"/>
                <w:bCs/>
                <w:color w:val="auto"/>
                <w:sz w:val="24"/>
              </w:rPr>
              <w:t>井队人员为40人，类比其他井钻井情况，钻井期间施工人员生活用水按200L/d*人计，整个钻井周期约为</w:t>
            </w:r>
            <w:r>
              <w:rPr>
                <w:rFonts w:hint="eastAsia" w:cs="Times New Roman"/>
                <w:bCs/>
                <w:color w:val="auto"/>
                <w:sz w:val="24"/>
                <w:lang w:val="en-US" w:eastAsia="zh-CN"/>
              </w:rPr>
              <w:t>94</w:t>
            </w:r>
            <w:r>
              <w:rPr>
                <w:rFonts w:hint="default" w:ascii="Times New Roman" w:hAnsi="Times New Roman" w:cs="Times New Roman"/>
                <w:bCs/>
                <w:color w:val="auto"/>
                <w:sz w:val="24"/>
              </w:rPr>
              <w:t>天，因此生活用水量约为</w:t>
            </w:r>
            <w:r>
              <w:rPr>
                <w:rFonts w:hint="eastAsia" w:cs="Times New Roman"/>
                <w:bCs/>
                <w:color w:val="auto"/>
                <w:sz w:val="24"/>
                <w:lang w:val="en-US" w:eastAsia="zh-CN"/>
              </w:rPr>
              <w:t>752</w:t>
            </w:r>
            <w:r>
              <w:rPr>
                <w:rFonts w:hint="default" w:ascii="Times New Roman" w:hAnsi="Times New Roman" w:cs="Times New Roman"/>
                <w:bCs/>
                <w:color w:val="auto"/>
                <w:sz w:val="24"/>
              </w:rPr>
              <w:t>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，污水按用水量的90%计，则整个钻井工程期间生活污水产生量共计</w:t>
            </w:r>
            <w:r>
              <w:rPr>
                <w:rFonts w:hint="eastAsia" w:cs="Times New Roman"/>
                <w:bCs/>
                <w:color w:val="auto"/>
                <w:sz w:val="24"/>
                <w:lang w:eastAsia="zh-CN"/>
              </w:rPr>
              <w:t>676.8</w:t>
            </w:r>
            <w:r>
              <w:rPr>
                <w:rFonts w:hint="default" w:ascii="Times New Roman" w:hAnsi="Times New Roman" w:cs="Times New Roman"/>
                <w:bCs/>
                <w:color w:val="auto"/>
                <w:sz w:val="24"/>
              </w:rPr>
              <w:t>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（约7.2m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/d），生活污水产生量较少，主要污染物为：SS、COD、BOD</w:t>
            </w:r>
            <w:r>
              <w:rPr>
                <w:rFonts w:hint="default" w:ascii="Times New Roman" w:hAnsi="Times New Roman" w:cs="Times New Roman"/>
                <w:bCs/>
                <w:color w:val="auto"/>
                <w:sz w:val="24"/>
                <w:vertAlign w:val="subscript"/>
              </w:rPr>
              <w:t>5</w:t>
            </w:r>
            <w:r>
              <w:rPr>
                <w:rFonts w:hint="default" w:ascii="Times New Roman" w:hAnsi="Times New Roman" w:cs="Times New Roman"/>
                <w:bCs/>
                <w:color w:val="auto"/>
                <w:sz w:val="24"/>
              </w:rPr>
              <w:t>、NH</w:t>
            </w:r>
            <w:r>
              <w:rPr>
                <w:rFonts w:hint="default" w:ascii="Times New Roman" w:hAnsi="Times New Roman" w:cs="Times New Roman"/>
                <w:bCs/>
                <w:color w:val="auto"/>
                <w:sz w:val="24"/>
                <w:vertAlign w:val="subscript"/>
              </w:rPr>
              <w:t>3</w:t>
            </w:r>
            <w:r>
              <w:rPr>
                <w:rFonts w:hint="default" w:ascii="Times New Roman" w:hAnsi="Times New Roman" w:cs="Times New Roman"/>
                <w:bCs/>
                <w:color w:val="auto"/>
                <w:sz w:val="24"/>
              </w:rPr>
              <w:t>-N。主要污染物COD约为400mg/L，BOD</w:t>
            </w:r>
            <w:r>
              <w:rPr>
                <w:rFonts w:hint="default" w:ascii="Times New Roman" w:hAnsi="Times New Roman" w:cs="Times New Roman"/>
                <w:bCs/>
                <w:color w:val="auto"/>
                <w:sz w:val="24"/>
                <w:vertAlign w:val="subscript"/>
              </w:rPr>
              <w:t>5</w:t>
            </w:r>
            <w:r>
              <w:rPr>
                <w:rFonts w:hint="default" w:ascii="Times New Roman" w:hAnsi="Times New Roman" w:cs="Times New Roman"/>
                <w:bCs/>
                <w:color w:val="auto"/>
                <w:sz w:val="24"/>
              </w:rPr>
              <w:t>约为200mg/L，SS约为250mg/L、NH</w:t>
            </w:r>
            <w:r>
              <w:rPr>
                <w:rFonts w:hint="default" w:ascii="Times New Roman" w:hAnsi="Times New Roman" w:cs="Times New Roman"/>
                <w:bCs/>
                <w:color w:val="auto"/>
                <w:sz w:val="24"/>
                <w:vertAlign w:val="subscript"/>
              </w:rPr>
              <w:t>3</w:t>
            </w:r>
            <w:r>
              <w:rPr>
                <w:rFonts w:hint="default" w:ascii="Times New Roman" w:hAnsi="Times New Roman" w:cs="Times New Roman"/>
                <w:bCs/>
                <w:color w:val="auto"/>
                <w:sz w:val="24"/>
              </w:rPr>
              <w:t>-N约为25mg/L。</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井场旁新建生态一体化厕所1座，生活污水经生态一体化厕所收集后由吸污车转运至</w:t>
            </w:r>
            <w:r>
              <w:rPr>
                <w:rFonts w:hint="eastAsia" w:cs="Times New Roman"/>
                <w:bCs/>
                <w:color w:val="auto"/>
                <w:sz w:val="24"/>
                <w:lang w:eastAsia="zh-CN"/>
              </w:rPr>
              <w:t>普光镇</w:t>
            </w:r>
            <w:r>
              <w:rPr>
                <w:rFonts w:hint="default" w:ascii="Times New Roman" w:hAnsi="Times New Roman" w:cs="Times New Roman"/>
                <w:bCs/>
                <w:color w:val="auto"/>
                <w:sz w:val="24"/>
              </w:rPr>
              <w:t>污水处理厂处理，现场不外排；生活区设1座污水隔油池处理后同生活污水处理，不外排。</w:t>
            </w:r>
          </w:p>
          <w:p>
            <w:pPr>
              <w:pStyle w:val="19"/>
              <w:keepNext w:val="0"/>
              <w:keepLines w:val="0"/>
              <w:suppressLineNumbers w:val="0"/>
              <w:tabs>
                <w:tab w:val="left" w:pos="0"/>
                <w:tab w:val="left" w:pos="833"/>
              </w:tabs>
              <w:spacing w:before="0" w:beforeAutospacing="0" w:after="0" w:afterAutospacing="0" w:line="360" w:lineRule="auto"/>
              <w:ind w:left="420" w:right="0"/>
              <w:jc w:val="center"/>
              <w:rPr>
                <w:rFonts w:hint="default" w:ascii="Times New Roman" w:hAnsi="Times New Roman" w:cs="Times New Roman"/>
                <w:b/>
                <w:bCs/>
                <w:color w:val="auto"/>
                <w:sz w:val="21"/>
                <w:szCs w:val="21"/>
              </w:rPr>
            </w:pPr>
            <w:r>
              <w:rPr>
                <w:rFonts w:hint="default" w:ascii="Times New Roman" w:hAnsi="Times New Roman" w:cs="Times New Roman"/>
                <w:b/>
                <w:bCs/>
                <w:color w:val="auto"/>
                <w:sz w:val="21"/>
                <w:szCs w:val="21"/>
              </w:rPr>
              <w:t>表4-5 生活污水产生量情况一览表    单位：mg/L，pH无量纲</w:t>
            </w:r>
          </w:p>
          <w:tbl>
            <w:tblPr>
              <w:tblStyle w:val="44"/>
              <w:tblW w:w="8131"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172"/>
              <w:gridCol w:w="1277"/>
              <w:gridCol w:w="992"/>
              <w:gridCol w:w="1134"/>
              <w:gridCol w:w="1277"/>
              <w:gridCol w:w="1277"/>
              <w:gridCol w:w="100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172"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污染物</w:t>
                  </w:r>
                </w:p>
              </w:tc>
              <w:tc>
                <w:tcPr>
                  <w:tcW w:w="1277"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污水量m</w:t>
                  </w:r>
                  <w:r>
                    <w:rPr>
                      <w:rFonts w:hint="default" w:ascii="Times New Roman" w:hAnsi="Times New Roman" w:cs="Times New Roman"/>
                      <w:color w:val="auto"/>
                      <w:sz w:val="21"/>
                      <w:szCs w:val="21"/>
                      <w:vertAlign w:val="superscript"/>
                    </w:rPr>
                    <w:t>3</w:t>
                  </w:r>
                </w:p>
              </w:tc>
              <w:tc>
                <w:tcPr>
                  <w:tcW w:w="992"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pH</w:t>
                  </w:r>
                </w:p>
              </w:tc>
              <w:tc>
                <w:tcPr>
                  <w:tcW w:w="1134"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COD</w:t>
                  </w:r>
                </w:p>
              </w:tc>
              <w:tc>
                <w:tcPr>
                  <w:tcW w:w="1277"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BOD</w:t>
                  </w:r>
                  <w:r>
                    <w:rPr>
                      <w:rFonts w:hint="default" w:ascii="Times New Roman" w:hAnsi="Times New Roman" w:cs="Times New Roman"/>
                      <w:color w:val="auto"/>
                      <w:sz w:val="21"/>
                      <w:szCs w:val="21"/>
                      <w:vertAlign w:val="subscript"/>
                    </w:rPr>
                    <w:t>5</w:t>
                  </w:r>
                </w:p>
              </w:tc>
              <w:tc>
                <w:tcPr>
                  <w:tcW w:w="1277"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NH</w:t>
                  </w:r>
                  <w:r>
                    <w:rPr>
                      <w:rFonts w:hint="default" w:ascii="Times New Roman" w:hAnsi="Times New Roman" w:cs="Times New Roman"/>
                      <w:color w:val="auto"/>
                      <w:sz w:val="21"/>
                      <w:szCs w:val="21"/>
                      <w:vertAlign w:val="subscript"/>
                    </w:rPr>
                    <w:t>3</w:t>
                  </w:r>
                  <w:r>
                    <w:rPr>
                      <w:rFonts w:hint="default" w:ascii="Times New Roman" w:hAnsi="Times New Roman" w:cs="Times New Roman"/>
                      <w:color w:val="auto"/>
                      <w:sz w:val="21"/>
                      <w:szCs w:val="21"/>
                    </w:rPr>
                    <w:t>-N</w:t>
                  </w:r>
                </w:p>
              </w:tc>
              <w:tc>
                <w:tcPr>
                  <w:tcW w:w="1002"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SS</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172"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生活污水</w:t>
                  </w:r>
                </w:p>
              </w:tc>
              <w:tc>
                <w:tcPr>
                  <w:tcW w:w="1277"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eastAsia" w:ascii="Times New Roman" w:hAnsi="Times New Roman" w:eastAsia="宋体" w:cs="Times New Roman"/>
                      <w:color w:val="auto"/>
                      <w:sz w:val="21"/>
                      <w:szCs w:val="21"/>
                      <w:lang w:eastAsia="zh-CN"/>
                    </w:rPr>
                  </w:pPr>
                  <w:r>
                    <w:rPr>
                      <w:rFonts w:hint="eastAsia" w:cs="Times New Roman"/>
                      <w:color w:val="auto"/>
                      <w:sz w:val="21"/>
                      <w:szCs w:val="21"/>
                      <w:lang w:eastAsia="zh-CN"/>
                    </w:rPr>
                    <w:t>676.8</w:t>
                  </w:r>
                </w:p>
              </w:tc>
              <w:tc>
                <w:tcPr>
                  <w:tcW w:w="992"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6~9</w:t>
                  </w:r>
                </w:p>
              </w:tc>
              <w:tc>
                <w:tcPr>
                  <w:tcW w:w="1134"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400</w:t>
                  </w:r>
                </w:p>
              </w:tc>
              <w:tc>
                <w:tcPr>
                  <w:tcW w:w="1277"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200</w:t>
                  </w:r>
                </w:p>
              </w:tc>
              <w:tc>
                <w:tcPr>
                  <w:tcW w:w="1277"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25</w:t>
                  </w:r>
                </w:p>
              </w:tc>
              <w:tc>
                <w:tcPr>
                  <w:tcW w:w="1002" w:type="dxa"/>
                  <w:tcBorders>
                    <w:tl2br w:val="nil"/>
                    <w:tr2bl w:val="nil"/>
                  </w:tcBorders>
                  <w:vAlign w:val="center"/>
                </w:tcPr>
                <w:p>
                  <w:pPr>
                    <w:pStyle w:val="26"/>
                    <w:keepNext w:val="0"/>
                    <w:keepLines w:val="0"/>
                    <w:suppressLineNumbers w:val="0"/>
                    <w:tabs>
                      <w:tab w:val="left" w:pos="2321"/>
                    </w:tabs>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250</w:t>
                  </w:r>
                </w:p>
              </w:tc>
            </w:tr>
          </w:tbl>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（2）环境影响分析</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本项目钻井阶段产生的废水主要包括钻井液钻进阶段产生的钻井废水、场地雨水及生活污水。</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fldChar w:fldCharType="begin"/>
            </w:r>
            <w:r>
              <w:rPr>
                <w:rFonts w:hint="default" w:ascii="Times New Roman" w:hAnsi="Times New Roman" w:cs="Times New Roman"/>
                <w:color w:val="auto"/>
                <w:sz w:val="24"/>
              </w:rPr>
              <w:instrText xml:space="preserve"> = 1 \* GB3 </w:instrText>
            </w:r>
            <w:r>
              <w:rPr>
                <w:rFonts w:hint="default" w:ascii="Times New Roman" w:hAnsi="Times New Roman" w:cs="Times New Roman"/>
                <w:color w:val="auto"/>
                <w:sz w:val="24"/>
              </w:rPr>
              <w:fldChar w:fldCharType="separate"/>
            </w:r>
            <w:r>
              <w:rPr>
                <w:rFonts w:hint="default" w:ascii="Times New Roman" w:hAnsi="Times New Roman" w:cs="Times New Roman"/>
                <w:color w:val="auto"/>
                <w:sz w:val="24"/>
              </w:rPr>
              <w:t>①</w:t>
            </w:r>
            <w:r>
              <w:rPr>
                <w:rFonts w:hint="default" w:ascii="Times New Roman" w:hAnsi="Times New Roman" w:cs="Times New Roman"/>
                <w:color w:val="auto"/>
                <w:sz w:val="24"/>
              </w:rPr>
              <w:fldChar w:fldCharType="end"/>
            </w:r>
            <w:r>
              <w:rPr>
                <w:rFonts w:hint="default" w:ascii="Times New Roman" w:hAnsi="Times New Roman" w:cs="Times New Roman"/>
                <w:color w:val="auto"/>
                <w:sz w:val="24"/>
              </w:rPr>
              <w:t>场地雨水</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本项目钻井期间井场方井区域产生的方井雨水约为6</w:t>
            </w:r>
            <w:r>
              <w:rPr>
                <w:rFonts w:hint="eastAsia" w:cs="Times New Roman"/>
                <w:color w:val="auto"/>
                <w:sz w:val="24"/>
                <w:lang w:val="en-US" w:eastAsia="zh-CN"/>
              </w:rPr>
              <w:t>4</w:t>
            </w:r>
            <w:r>
              <w:rPr>
                <w:rFonts w:hint="default" w:ascii="Times New Roman" w:hAnsi="Times New Roman" w:cs="Times New Roman"/>
                <w:color w:val="auto"/>
                <w:sz w:val="24"/>
              </w:rPr>
              <w:t>.1m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，主要污染物为石油类和SS。方井雨水定期泵入循环罐中，用于项目后期配制压裂液，不外排，因此不会对周边地表水环境造成影响。</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fldChar w:fldCharType="begin"/>
            </w:r>
            <w:r>
              <w:rPr>
                <w:rFonts w:hint="default" w:ascii="Times New Roman" w:hAnsi="Times New Roman" w:cs="Times New Roman"/>
                <w:color w:val="auto"/>
                <w:sz w:val="24"/>
              </w:rPr>
              <w:instrText xml:space="preserve"> = 2 \* GB3 </w:instrText>
            </w:r>
            <w:r>
              <w:rPr>
                <w:rFonts w:hint="default" w:ascii="Times New Roman" w:hAnsi="Times New Roman" w:cs="Times New Roman"/>
                <w:color w:val="auto"/>
                <w:sz w:val="24"/>
              </w:rPr>
              <w:fldChar w:fldCharType="separate"/>
            </w:r>
            <w:r>
              <w:rPr>
                <w:rFonts w:hint="default" w:ascii="Times New Roman" w:hAnsi="Times New Roman" w:cs="Times New Roman"/>
                <w:color w:val="auto"/>
                <w:sz w:val="24"/>
              </w:rPr>
              <w:t>②</w:t>
            </w:r>
            <w:r>
              <w:rPr>
                <w:rFonts w:hint="default" w:ascii="Times New Roman" w:hAnsi="Times New Roman" w:cs="Times New Roman"/>
                <w:color w:val="auto"/>
                <w:sz w:val="24"/>
              </w:rPr>
              <w:fldChar w:fldCharType="end"/>
            </w:r>
            <w:r>
              <w:rPr>
                <w:rFonts w:hint="default" w:ascii="Times New Roman" w:hAnsi="Times New Roman" w:cs="Times New Roman"/>
                <w:color w:val="auto"/>
                <w:sz w:val="24"/>
              </w:rPr>
              <w:t>钻井废水</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本项目钻井废水最终产生的量约</w:t>
            </w:r>
            <w:r>
              <w:rPr>
                <w:rFonts w:hint="eastAsia" w:cs="Times New Roman"/>
                <w:color w:val="auto"/>
                <w:sz w:val="24"/>
                <w:lang w:eastAsia="zh-CN"/>
              </w:rPr>
              <w:t>172</w:t>
            </w:r>
            <w:r>
              <w:rPr>
                <w:rFonts w:hint="default" w:ascii="Times New Roman" w:hAnsi="Times New Roman" w:cs="Times New Roman"/>
                <w:color w:val="auto"/>
                <w:sz w:val="24"/>
              </w:rPr>
              <w:t>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w:t>
            </w:r>
            <w:r>
              <w:rPr>
                <w:rFonts w:hint="default" w:ascii="Times New Roman" w:hAnsi="Times New Roman" w:cs="Times New Roman"/>
                <w:color w:val="auto"/>
                <w:sz w:val="24"/>
                <w:lang w:val="en-US" w:eastAsia="zh-CN"/>
              </w:rPr>
              <w:t>采用密闭罐车拉运至</w:t>
            </w:r>
            <w:r>
              <w:rPr>
                <w:rFonts w:hint="eastAsia" w:cs="Times New Roman"/>
                <w:color w:val="auto"/>
                <w:sz w:val="24"/>
                <w:lang w:val="en-US" w:eastAsia="zh-CN"/>
              </w:rPr>
              <w:t>赵家坝污水处理站</w:t>
            </w:r>
            <w:r>
              <w:rPr>
                <w:rFonts w:hint="default" w:ascii="Times New Roman" w:hAnsi="Times New Roman" w:cs="Times New Roman"/>
                <w:color w:val="auto"/>
                <w:sz w:val="24"/>
                <w:lang w:val="en-US" w:eastAsia="zh-CN"/>
              </w:rPr>
              <w:t>处理达标后由罐车拉运至普光3井等回注站回注</w:t>
            </w:r>
            <w:r>
              <w:rPr>
                <w:rFonts w:hint="default" w:ascii="Times New Roman" w:hAnsi="Times New Roman" w:cs="Times New Roman"/>
                <w:color w:val="auto"/>
                <w:sz w:val="24"/>
              </w:rPr>
              <w:t>，不外排，因此不会对周边地表水环境造成影响。</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fldChar w:fldCharType="begin"/>
            </w:r>
            <w:r>
              <w:rPr>
                <w:rFonts w:hint="default" w:ascii="Times New Roman" w:hAnsi="Times New Roman" w:cs="Times New Roman"/>
                <w:color w:val="auto"/>
                <w:sz w:val="24"/>
              </w:rPr>
              <w:instrText xml:space="preserve"> = 3 \* GB3 </w:instrText>
            </w:r>
            <w:r>
              <w:rPr>
                <w:rFonts w:hint="default" w:ascii="Times New Roman" w:hAnsi="Times New Roman" w:cs="Times New Roman"/>
                <w:color w:val="auto"/>
                <w:sz w:val="24"/>
              </w:rPr>
              <w:fldChar w:fldCharType="separate"/>
            </w:r>
            <w:r>
              <w:rPr>
                <w:rFonts w:hint="default" w:ascii="Times New Roman" w:hAnsi="Times New Roman" w:cs="Times New Roman"/>
                <w:color w:val="auto"/>
                <w:sz w:val="24"/>
              </w:rPr>
              <w:t>③</w:t>
            </w:r>
            <w:r>
              <w:rPr>
                <w:rFonts w:hint="default" w:ascii="Times New Roman" w:hAnsi="Times New Roman" w:cs="Times New Roman"/>
                <w:color w:val="auto"/>
                <w:sz w:val="24"/>
              </w:rPr>
              <w:fldChar w:fldCharType="end"/>
            </w:r>
            <w:r>
              <w:rPr>
                <w:rFonts w:hint="default" w:ascii="Times New Roman" w:hAnsi="Times New Roman" w:cs="Times New Roman"/>
                <w:color w:val="auto"/>
                <w:sz w:val="24"/>
              </w:rPr>
              <w:t>生活污水</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本项目井场及生活区设置生态一体化厕所，生活污水经生态一体化厕所收集后由吸污车运至</w:t>
            </w:r>
            <w:r>
              <w:rPr>
                <w:rFonts w:hint="eastAsia" w:cs="Times New Roman"/>
                <w:color w:val="auto"/>
                <w:sz w:val="24"/>
                <w:lang w:eastAsia="zh-CN"/>
              </w:rPr>
              <w:t>普光镇</w:t>
            </w:r>
            <w:r>
              <w:rPr>
                <w:rFonts w:hint="default" w:ascii="Times New Roman" w:hAnsi="Times New Roman" w:cs="Times New Roman"/>
                <w:color w:val="auto"/>
                <w:sz w:val="24"/>
              </w:rPr>
              <w:t>污水处理厂处理后排放，</w:t>
            </w:r>
            <w:r>
              <w:rPr>
                <w:rFonts w:hint="default" w:ascii="Times New Roman" w:hAnsi="Times New Roman" w:cs="Times New Roman"/>
                <w:bCs/>
                <w:color w:val="auto"/>
                <w:sz w:val="24"/>
              </w:rPr>
              <w:t>对地表水环境影响小。</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综上所述，采取以上措施后，废水对周边环境影响较小。</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4.2.3噪声环境影响分析</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（1）噪声源强</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工程噪声主要为钻井作业过程的钻机、振动筛、离心机等设备运行产生的机械噪声等，由于本项目钻井过程为24小时连续运行，钻井工程主要噪声源设备噪声值见下表。</w:t>
            </w:r>
          </w:p>
          <w:p>
            <w:pPr>
              <w:pStyle w:val="19"/>
              <w:keepNext w:val="0"/>
              <w:keepLines w:val="0"/>
              <w:suppressLineNumbers w:val="0"/>
              <w:tabs>
                <w:tab w:val="left" w:pos="0"/>
                <w:tab w:val="left" w:pos="833"/>
              </w:tabs>
              <w:spacing w:before="0" w:beforeAutospacing="0" w:after="0" w:afterAutospacing="0" w:line="360" w:lineRule="auto"/>
              <w:ind w:left="420" w:right="0"/>
              <w:jc w:val="center"/>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 xml:space="preserve">表4-6 </w:t>
            </w:r>
            <w:r>
              <w:rPr>
                <w:rFonts w:hint="eastAsia" w:cs="Times New Roman"/>
                <w:b/>
                <w:color w:val="auto"/>
                <w:sz w:val="21"/>
                <w:szCs w:val="21"/>
                <w:lang w:val="en-US" w:eastAsia="zh-CN"/>
              </w:rPr>
              <w:t xml:space="preserve">  </w:t>
            </w:r>
            <w:r>
              <w:rPr>
                <w:rFonts w:hint="default" w:ascii="Times New Roman" w:hAnsi="Times New Roman" w:cs="Times New Roman"/>
                <w:b/>
                <w:color w:val="auto"/>
                <w:sz w:val="21"/>
                <w:szCs w:val="21"/>
              </w:rPr>
              <w:t>钻井工程主要噪声源特性</w:t>
            </w:r>
          </w:p>
          <w:tbl>
            <w:tblPr>
              <w:tblStyle w:val="44"/>
              <w:tblW w:w="821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71"/>
              <w:gridCol w:w="504"/>
              <w:gridCol w:w="900"/>
              <w:gridCol w:w="654"/>
              <w:gridCol w:w="600"/>
              <w:gridCol w:w="653"/>
              <w:gridCol w:w="750"/>
              <w:gridCol w:w="1425"/>
              <w:gridCol w:w="1259"/>
              <w:gridCol w:w="80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0" w:hRule="atLeast"/>
                <w:tblHeader/>
                <w:jc w:val="center"/>
              </w:trPr>
              <w:tc>
                <w:tcPr>
                  <w:tcW w:w="671"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kern w:val="0"/>
                    </w:rPr>
                    <w:t>序号</w:t>
                  </w:r>
                </w:p>
              </w:tc>
              <w:tc>
                <w:tcPr>
                  <w:tcW w:w="1404" w:type="dxa"/>
                  <w:gridSpan w:val="2"/>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kern w:val="0"/>
                    </w:rPr>
                    <w:t>声源名称</w:t>
                  </w:r>
                </w:p>
              </w:tc>
              <w:tc>
                <w:tcPr>
                  <w:tcW w:w="654"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型号</w:t>
                  </w:r>
                </w:p>
              </w:tc>
              <w:tc>
                <w:tcPr>
                  <w:tcW w:w="2003" w:type="dxa"/>
                  <w:gridSpan w:val="3"/>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空间相对位置/m</w:t>
                  </w:r>
                </w:p>
              </w:tc>
              <w:tc>
                <w:tcPr>
                  <w:tcW w:w="1425"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声源源强</w:t>
                  </w:r>
                </w:p>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kern w:val="0"/>
                    </w:rPr>
                    <w:t>（声压级/距声源距离）/dBA/m</w:t>
                  </w:r>
                </w:p>
              </w:tc>
              <w:tc>
                <w:tcPr>
                  <w:tcW w:w="1259"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声源控制措施</w:t>
                  </w:r>
                </w:p>
              </w:tc>
              <w:tc>
                <w:tcPr>
                  <w:tcW w:w="802"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kern w:val="0"/>
                    </w:rPr>
                    <w:t>运行时间（h</w:t>
                  </w:r>
                  <w:r>
                    <w:rPr>
                      <w:rFonts w:hint="eastAsia" w:cs="Times New Roman"/>
                      <w:color w:val="auto"/>
                      <w:kern w:val="0"/>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25" w:hRule="atLeast"/>
                <w:tblHeader/>
                <w:jc w:val="center"/>
              </w:trPr>
              <w:tc>
                <w:tcPr>
                  <w:tcW w:w="671"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c>
                <w:tcPr>
                  <w:tcW w:w="1404" w:type="dxa"/>
                  <w:gridSpan w:val="2"/>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c>
                <w:tcPr>
                  <w:tcW w:w="654"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c>
                <w:tcPr>
                  <w:tcW w:w="60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X</w:t>
                  </w:r>
                </w:p>
              </w:tc>
              <w:tc>
                <w:tcPr>
                  <w:tcW w:w="653"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Y</w:t>
                  </w:r>
                </w:p>
              </w:tc>
              <w:tc>
                <w:tcPr>
                  <w:tcW w:w="75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Z</w:t>
                  </w:r>
                </w:p>
              </w:tc>
              <w:tc>
                <w:tcPr>
                  <w:tcW w:w="1425"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c>
                <w:tcPr>
                  <w:tcW w:w="1259"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c>
                <w:tcPr>
                  <w:tcW w:w="802"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67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1</w:t>
                  </w:r>
                </w:p>
              </w:tc>
              <w:tc>
                <w:tcPr>
                  <w:tcW w:w="50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钻井阶段</w:t>
                  </w:r>
                </w:p>
              </w:tc>
              <w:tc>
                <w:tcPr>
                  <w:tcW w:w="90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 w:val="20"/>
                      <w:szCs w:val="20"/>
                    </w:rPr>
                  </w:pPr>
                  <w:r>
                    <w:rPr>
                      <w:rFonts w:hint="default" w:ascii="Times New Roman" w:hAnsi="Times New Roman" w:cs="Times New Roman"/>
                      <w:bCs/>
                      <w:color w:val="auto"/>
                      <w:sz w:val="20"/>
                      <w:szCs w:val="20"/>
                    </w:rPr>
                    <w:t>钻井设备</w:t>
                  </w:r>
                </w:p>
              </w:tc>
              <w:tc>
                <w:tcPr>
                  <w:tcW w:w="654"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w:t>
                  </w:r>
                </w:p>
              </w:tc>
              <w:tc>
                <w:tcPr>
                  <w:tcW w:w="60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-9</w:t>
                  </w:r>
                </w:p>
              </w:tc>
              <w:tc>
                <w:tcPr>
                  <w:tcW w:w="653"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-2</w:t>
                  </w:r>
                </w:p>
              </w:tc>
              <w:tc>
                <w:tcPr>
                  <w:tcW w:w="7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15</w:t>
                  </w:r>
                </w:p>
              </w:tc>
              <w:tc>
                <w:tcPr>
                  <w:tcW w:w="142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lang w:val="en-US" w:eastAsia="zh-CN"/>
                    </w:rPr>
                    <w:t>95</w:t>
                  </w:r>
                  <w:r>
                    <w:rPr>
                      <w:rFonts w:hint="default" w:ascii="Times New Roman" w:hAnsi="Times New Roman" w:cs="Times New Roman"/>
                      <w:bCs/>
                      <w:color w:val="auto"/>
                      <w:szCs w:val="21"/>
                    </w:rPr>
                    <w:t>/1</w:t>
                  </w:r>
                </w:p>
              </w:tc>
              <w:tc>
                <w:tcPr>
                  <w:tcW w:w="1259"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基础减震</w:t>
                  </w:r>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选用低噪声设备</w:t>
                  </w:r>
                </w:p>
              </w:tc>
              <w:tc>
                <w:tcPr>
                  <w:tcW w:w="802"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720h</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67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2</w:t>
                  </w:r>
                </w:p>
              </w:tc>
              <w:tc>
                <w:tcPr>
                  <w:tcW w:w="5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90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 w:val="20"/>
                      <w:szCs w:val="20"/>
                    </w:rPr>
                  </w:pPr>
                  <w:r>
                    <w:rPr>
                      <w:rFonts w:hint="default" w:ascii="Times New Roman" w:hAnsi="Times New Roman" w:cs="Times New Roman"/>
                      <w:bCs/>
                      <w:color w:val="auto"/>
                      <w:sz w:val="20"/>
                      <w:szCs w:val="20"/>
                    </w:rPr>
                    <w:t>泥浆泵</w:t>
                  </w:r>
                </w:p>
              </w:tc>
              <w:tc>
                <w:tcPr>
                  <w:tcW w:w="654"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w:t>
                  </w:r>
                </w:p>
              </w:tc>
              <w:tc>
                <w:tcPr>
                  <w:tcW w:w="60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-27</w:t>
                  </w:r>
                </w:p>
              </w:tc>
              <w:tc>
                <w:tcPr>
                  <w:tcW w:w="653"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1</w:t>
                  </w:r>
                </w:p>
              </w:tc>
              <w:tc>
                <w:tcPr>
                  <w:tcW w:w="7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1.5</w:t>
                  </w:r>
                </w:p>
              </w:tc>
              <w:tc>
                <w:tcPr>
                  <w:tcW w:w="142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8</w:t>
                  </w:r>
                  <w:r>
                    <w:rPr>
                      <w:rFonts w:hint="default" w:ascii="Times New Roman" w:hAnsi="Times New Roman" w:cs="Times New Roman"/>
                      <w:bCs/>
                      <w:color w:val="auto"/>
                      <w:szCs w:val="21"/>
                      <w:lang w:val="en-US" w:eastAsia="zh-CN"/>
                    </w:rPr>
                    <w:t>5</w:t>
                  </w:r>
                  <w:r>
                    <w:rPr>
                      <w:rFonts w:hint="default" w:ascii="Times New Roman" w:hAnsi="Times New Roman" w:cs="Times New Roman"/>
                      <w:bCs/>
                      <w:color w:val="auto"/>
                      <w:szCs w:val="21"/>
                    </w:rPr>
                    <w:t>/1</w:t>
                  </w:r>
                </w:p>
              </w:tc>
              <w:tc>
                <w:tcPr>
                  <w:tcW w:w="1259"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eastAsia="宋体" w:cs="Times New Roman"/>
                      <w:color w:val="auto"/>
                      <w:lang w:val="en-US" w:eastAsia="zh-CN"/>
                    </w:rPr>
                  </w:pPr>
                  <w:r>
                    <w:rPr>
                      <w:rFonts w:hint="default" w:ascii="Times New Roman" w:hAnsi="Times New Roman" w:cs="Times New Roman"/>
                      <w:color w:val="auto"/>
                    </w:rPr>
                    <w:t>基础减震</w:t>
                  </w:r>
                  <w:r>
                    <w:rPr>
                      <w:rFonts w:hint="default" w:ascii="Times New Roman" w:hAnsi="Times New Roman" w:cs="Times New Roman"/>
                      <w:color w:val="auto"/>
                      <w:lang w:eastAsia="zh-CN"/>
                    </w:rPr>
                    <w:t>，</w:t>
                  </w:r>
                  <w:r>
                    <w:rPr>
                      <w:rFonts w:hint="default" w:ascii="Times New Roman" w:hAnsi="Times New Roman" w:cs="Times New Roman"/>
                      <w:color w:val="auto"/>
                      <w:lang w:val="en-US" w:eastAsia="zh-CN"/>
                    </w:rPr>
                    <w:t>置于泥浆不落地系统内</w:t>
                  </w:r>
                </w:p>
              </w:tc>
              <w:tc>
                <w:tcPr>
                  <w:tcW w:w="802"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720h</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67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3</w:t>
                  </w:r>
                </w:p>
              </w:tc>
              <w:tc>
                <w:tcPr>
                  <w:tcW w:w="5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90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 w:val="20"/>
                      <w:szCs w:val="20"/>
                    </w:rPr>
                  </w:pPr>
                  <w:r>
                    <w:rPr>
                      <w:rFonts w:hint="default" w:ascii="Times New Roman" w:hAnsi="Times New Roman" w:cs="Times New Roman"/>
                      <w:bCs/>
                      <w:color w:val="auto"/>
                      <w:sz w:val="20"/>
                      <w:szCs w:val="20"/>
                    </w:rPr>
                    <w:t>振动筛</w:t>
                  </w:r>
                </w:p>
              </w:tc>
              <w:tc>
                <w:tcPr>
                  <w:tcW w:w="654"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w:t>
                  </w:r>
                </w:p>
              </w:tc>
              <w:tc>
                <w:tcPr>
                  <w:tcW w:w="60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-24</w:t>
                  </w:r>
                </w:p>
              </w:tc>
              <w:tc>
                <w:tcPr>
                  <w:tcW w:w="653"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-9</w:t>
                  </w:r>
                </w:p>
              </w:tc>
              <w:tc>
                <w:tcPr>
                  <w:tcW w:w="7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1.5</w:t>
                  </w:r>
                </w:p>
              </w:tc>
              <w:tc>
                <w:tcPr>
                  <w:tcW w:w="142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8</w:t>
                  </w:r>
                  <w:r>
                    <w:rPr>
                      <w:rFonts w:hint="default" w:ascii="Times New Roman" w:hAnsi="Times New Roman" w:cs="Times New Roman"/>
                      <w:bCs/>
                      <w:color w:val="auto"/>
                      <w:szCs w:val="21"/>
                      <w:lang w:val="en-US" w:eastAsia="zh-CN"/>
                    </w:rPr>
                    <w:t>5</w:t>
                  </w:r>
                  <w:r>
                    <w:rPr>
                      <w:rFonts w:hint="default" w:ascii="Times New Roman" w:hAnsi="Times New Roman" w:cs="Times New Roman"/>
                      <w:bCs/>
                      <w:color w:val="auto"/>
                      <w:szCs w:val="21"/>
                    </w:rPr>
                    <w:t>/1</w:t>
                  </w:r>
                </w:p>
              </w:tc>
              <w:tc>
                <w:tcPr>
                  <w:tcW w:w="1259"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p>
              </w:tc>
              <w:tc>
                <w:tcPr>
                  <w:tcW w:w="802"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720h</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67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4</w:t>
                  </w:r>
                </w:p>
              </w:tc>
              <w:tc>
                <w:tcPr>
                  <w:tcW w:w="5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90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 w:val="20"/>
                      <w:szCs w:val="20"/>
                    </w:rPr>
                  </w:pPr>
                  <w:r>
                    <w:rPr>
                      <w:rFonts w:hint="default" w:ascii="Times New Roman" w:hAnsi="Times New Roman" w:cs="Times New Roman"/>
                      <w:bCs/>
                      <w:color w:val="auto"/>
                      <w:sz w:val="20"/>
                      <w:szCs w:val="20"/>
                    </w:rPr>
                    <w:t>离心机</w:t>
                  </w:r>
                </w:p>
              </w:tc>
              <w:tc>
                <w:tcPr>
                  <w:tcW w:w="65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kern w:val="0"/>
                    </w:rPr>
                    <w:t>/</w:t>
                  </w:r>
                </w:p>
              </w:tc>
              <w:tc>
                <w:tcPr>
                  <w:tcW w:w="60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-16</w:t>
                  </w:r>
                </w:p>
              </w:tc>
              <w:tc>
                <w:tcPr>
                  <w:tcW w:w="653"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6</w:t>
                  </w:r>
                </w:p>
              </w:tc>
              <w:tc>
                <w:tcPr>
                  <w:tcW w:w="7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1.5</w:t>
                  </w:r>
                </w:p>
              </w:tc>
              <w:tc>
                <w:tcPr>
                  <w:tcW w:w="142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8</w:t>
                  </w:r>
                  <w:r>
                    <w:rPr>
                      <w:rFonts w:hint="default" w:ascii="Times New Roman" w:hAnsi="Times New Roman" w:cs="Times New Roman"/>
                      <w:bCs/>
                      <w:color w:val="auto"/>
                      <w:szCs w:val="21"/>
                      <w:lang w:val="en-US" w:eastAsia="zh-CN"/>
                    </w:rPr>
                    <w:t>5</w:t>
                  </w:r>
                  <w:r>
                    <w:rPr>
                      <w:rFonts w:hint="default" w:ascii="Times New Roman" w:hAnsi="Times New Roman" w:cs="Times New Roman"/>
                      <w:bCs/>
                      <w:color w:val="auto"/>
                      <w:szCs w:val="21"/>
                    </w:rPr>
                    <w:t>/1</w:t>
                  </w:r>
                </w:p>
              </w:tc>
              <w:tc>
                <w:tcPr>
                  <w:tcW w:w="1259"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p>
              </w:tc>
              <w:tc>
                <w:tcPr>
                  <w:tcW w:w="802"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720h</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67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5</w:t>
                  </w:r>
                </w:p>
              </w:tc>
              <w:tc>
                <w:tcPr>
                  <w:tcW w:w="5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90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 w:val="20"/>
                      <w:szCs w:val="20"/>
                    </w:rPr>
                  </w:pPr>
                  <w:r>
                    <w:rPr>
                      <w:rFonts w:hint="default" w:ascii="Times New Roman" w:hAnsi="Times New Roman" w:cs="Times New Roman"/>
                      <w:bCs/>
                      <w:color w:val="auto"/>
                      <w:sz w:val="20"/>
                      <w:szCs w:val="20"/>
                    </w:rPr>
                    <w:t>搅拌机</w:t>
                  </w:r>
                </w:p>
              </w:tc>
              <w:tc>
                <w:tcPr>
                  <w:tcW w:w="65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kern w:val="0"/>
                    </w:rPr>
                  </w:pPr>
                  <w:r>
                    <w:rPr>
                      <w:rFonts w:hint="default" w:ascii="Times New Roman" w:hAnsi="Times New Roman" w:cs="Times New Roman"/>
                      <w:color w:val="auto"/>
                      <w:kern w:val="0"/>
                    </w:rPr>
                    <w:t>/</w:t>
                  </w:r>
                </w:p>
              </w:tc>
              <w:tc>
                <w:tcPr>
                  <w:tcW w:w="60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-7</w:t>
                  </w:r>
                </w:p>
              </w:tc>
              <w:tc>
                <w:tcPr>
                  <w:tcW w:w="653"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10</w:t>
                  </w:r>
                </w:p>
              </w:tc>
              <w:tc>
                <w:tcPr>
                  <w:tcW w:w="7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bCs/>
                      <w:color w:val="auto"/>
                      <w:szCs w:val="21"/>
                    </w:rPr>
                  </w:pPr>
                  <w:r>
                    <w:rPr>
                      <w:rFonts w:hint="default" w:ascii="Times New Roman" w:hAnsi="Times New Roman" w:cs="Times New Roman"/>
                      <w:bCs/>
                      <w:color w:val="auto"/>
                      <w:szCs w:val="21"/>
                    </w:rPr>
                    <w:t>1.5</w:t>
                  </w:r>
                </w:p>
              </w:tc>
              <w:tc>
                <w:tcPr>
                  <w:tcW w:w="142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8</w:t>
                  </w:r>
                  <w:r>
                    <w:rPr>
                      <w:rFonts w:hint="default" w:ascii="Times New Roman" w:hAnsi="Times New Roman" w:cs="Times New Roman"/>
                      <w:bCs/>
                      <w:color w:val="auto"/>
                      <w:szCs w:val="21"/>
                      <w:lang w:val="en-US" w:eastAsia="zh-CN"/>
                    </w:rPr>
                    <w:t>5</w:t>
                  </w:r>
                  <w:r>
                    <w:rPr>
                      <w:rFonts w:hint="default" w:ascii="Times New Roman" w:hAnsi="Times New Roman" w:cs="Times New Roman"/>
                      <w:bCs/>
                      <w:color w:val="auto"/>
                      <w:szCs w:val="21"/>
                    </w:rPr>
                    <w:t>/1</w:t>
                  </w:r>
                </w:p>
              </w:tc>
              <w:tc>
                <w:tcPr>
                  <w:tcW w:w="1259"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p>
              </w:tc>
              <w:tc>
                <w:tcPr>
                  <w:tcW w:w="802"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720h</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67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eastAsia="宋体" w:cs="Times New Roman"/>
                      <w:color w:val="auto"/>
                      <w:kern w:val="0"/>
                      <w:lang w:val="en-US" w:eastAsia="zh-CN"/>
                    </w:rPr>
                  </w:pPr>
                  <w:r>
                    <w:rPr>
                      <w:rFonts w:hint="default" w:ascii="Times New Roman" w:hAnsi="Times New Roman" w:cs="Times New Roman"/>
                      <w:color w:val="auto"/>
                      <w:kern w:val="0"/>
                      <w:lang w:val="en-US" w:eastAsia="zh-CN"/>
                    </w:rPr>
                    <w:t>6</w:t>
                  </w:r>
                </w:p>
              </w:tc>
              <w:tc>
                <w:tcPr>
                  <w:tcW w:w="5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90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sz w:val="20"/>
                      <w:szCs w:val="20"/>
                      <w:lang w:val="en-US" w:eastAsia="zh-CN"/>
                    </w:rPr>
                  </w:pPr>
                  <w:r>
                    <w:rPr>
                      <w:rFonts w:hint="default" w:ascii="Times New Roman" w:hAnsi="Times New Roman" w:cs="Times New Roman"/>
                      <w:bCs/>
                      <w:color w:val="auto"/>
                      <w:sz w:val="20"/>
                      <w:szCs w:val="20"/>
                      <w:lang w:val="en-US" w:eastAsia="zh-CN"/>
                    </w:rPr>
                    <w:t>柴油发电机（备用）</w:t>
                  </w:r>
                </w:p>
              </w:tc>
              <w:tc>
                <w:tcPr>
                  <w:tcW w:w="65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0"/>
                      <w:lang w:val="en-US" w:eastAsia="zh-CN"/>
                    </w:rPr>
                  </w:pPr>
                  <w:r>
                    <w:rPr>
                      <w:rFonts w:hint="default" w:ascii="Times New Roman" w:hAnsi="Times New Roman" w:cs="Times New Roman"/>
                      <w:color w:val="auto"/>
                      <w:kern w:val="0"/>
                      <w:lang w:val="en-US" w:eastAsia="zh-CN"/>
                    </w:rPr>
                    <w:t>/</w:t>
                  </w:r>
                </w:p>
              </w:tc>
              <w:tc>
                <w:tcPr>
                  <w:tcW w:w="60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Cs/>
                      <w:color w:val="auto"/>
                      <w:szCs w:val="21"/>
                      <w:lang w:val="en-US" w:eastAsia="zh-CN"/>
                    </w:rPr>
                  </w:pPr>
                  <w:r>
                    <w:rPr>
                      <w:rFonts w:hint="default" w:ascii="Times New Roman" w:hAnsi="Times New Roman" w:cs="Times New Roman"/>
                      <w:bCs/>
                      <w:color w:val="auto"/>
                      <w:szCs w:val="21"/>
                      <w:lang w:val="en-US" w:eastAsia="zh-CN"/>
                    </w:rPr>
                    <w:t>-11</w:t>
                  </w:r>
                </w:p>
              </w:tc>
              <w:tc>
                <w:tcPr>
                  <w:tcW w:w="653"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Cs/>
                      <w:color w:val="auto"/>
                      <w:szCs w:val="21"/>
                      <w:lang w:val="en-US" w:eastAsia="zh-CN"/>
                    </w:rPr>
                  </w:pPr>
                  <w:r>
                    <w:rPr>
                      <w:rFonts w:hint="default" w:ascii="Times New Roman" w:hAnsi="Times New Roman" w:cs="Times New Roman"/>
                      <w:bCs/>
                      <w:color w:val="auto"/>
                      <w:szCs w:val="21"/>
                      <w:lang w:val="en-US" w:eastAsia="zh-CN"/>
                    </w:rPr>
                    <w:t>15</w:t>
                  </w:r>
                </w:p>
              </w:tc>
              <w:tc>
                <w:tcPr>
                  <w:tcW w:w="7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Cs/>
                      <w:color w:val="auto"/>
                      <w:szCs w:val="21"/>
                      <w:lang w:val="en-US" w:eastAsia="zh-CN"/>
                    </w:rPr>
                  </w:pPr>
                  <w:r>
                    <w:rPr>
                      <w:rFonts w:hint="default" w:ascii="Times New Roman" w:hAnsi="Times New Roman" w:cs="Times New Roman"/>
                      <w:bCs/>
                      <w:color w:val="auto"/>
                      <w:szCs w:val="21"/>
                      <w:lang w:val="en-US" w:eastAsia="zh-CN"/>
                    </w:rPr>
                    <w:t>1.5</w:t>
                  </w:r>
                </w:p>
              </w:tc>
              <w:tc>
                <w:tcPr>
                  <w:tcW w:w="142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szCs w:val="21"/>
                      <w:lang w:val="en-US" w:eastAsia="zh-CN"/>
                    </w:rPr>
                  </w:pPr>
                  <w:r>
                    <w:rPr>
                      <w:rFonts w:hint="default" w:ascii="Times New Roman" w:hAnsi="Times New Roman" w:cs="Times New Roman"/>
                      <w:bCs/>
                      <w:color w:val="auto"/>
                      <w:szCs w:val="21"/>
                      <w:lang w:val="en-US" w:eastAsia="zh-CN"/>
                    </w:rPr>
                    <w:t>95/1</w:t>
                  </w:r>
                </w:p>
              </w:tc>
              <w:tc>
                <w:tcPr>
                  <w:tcW w:w="1259"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基础减震</w:t>
                  </w:r>
                </w:p>
              </w:tc>
              <w:tc>
                <w:tcPr>
                  <w:tcW w:w="802"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eastAsia="宋体" w:cs="Times New Roman"/>
                      <w:color w:val="auto"/>
                      <w:lang w:val="en-US" w:eastAsia="zh-CN"/>
                    </w:rPr>
                  </w:pPr>
                  <w:r>
                    <w:rPr>
                      <w:rFonts w:hint="default" w:ascii="Times New Roman" w:hAnsi="Times New Roman" w:cs="Times New Roman"/>
                      <w:color w:val="auto"/>
                      <w:lang w:val="en-US" w:eastAsia="zh-CN"/>
                    </w:rPr>
                    <w:t>停电时使用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67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eastAsia="宋体" w:cs="Times New Roman"/>
                      <w:color w:val="auto"/>
                      <w:kern w:val="0"/>
                      <w:lang w:val="en-US" w:eastAsia="zh-CN"/>
                    </w:rPr>
                  </w:pPr>
                  <w:r>
                    <w:rPr>
                      <w:rFonts w:hint="default" w:ascii="Times New Roman" w:hAnsi="Times New Roman" w:cs="Times New Roman"/>
                      <w:color w:val="auto"/>
                      <w:kern w:val="0"/>
                      <w:lang w:val="en-US" w:eastAsia="zh-CN"/>
                    </w:rPr>
                    <w:t>7</w:t>
                  </w:r>
                </w:p>
              </w:tc>
              <w:tc>
                <w:tcPr>
                  <w:tcW w:w="50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900"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sz w:val="20"/>
                      <w:szCs w:val="20"/>
                      <w:lang w:val="en-US" w:eastAsia="zh-CN"/>
                    </w:rPr>
                  </w:pPr>
                  <w:r>
                    <w:rPr>
                      <w:rFonts w:hint="default" w:ascii="Times New Roman" w:hAnsi="Times New Roman" w:cs="Times New Roman"/>
                      <w:bCs/>
                      <w:color w:val="auto"/>
                      <w:sz w:val="20"/>
                      <w:szCs w:val="20"/>
                      <w:lang w:val="en-US" w:eastAsia="zh-CN"/>
                    </w:rPr>
                    <w:t>柴油动力机（备用）</w:t>
                  </w:r>
                </w:p>
              </w:tc>
              <w:tc>
                <w:tcPr>
                  <w:tcW w:w="65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0"/>
                      <w:lang w:val="en-US" w:eastAsia="zh-CN"/>
                    </w:rPr>
                  </w:pPr>
                  <w:r>
                    <w:rPr>
                      <w:rFonts w:hint="default" w:ascii="Times New Roman" w:hAnsi="Times New Roman" w:cs="Times New Roman"/>
                      <w:color w:val="auto"/>
                      <w:kern w:val="0"/>
                      <w:lang w:val="en-US" w:eastAsia="zh-CN"/>
                    </w:rPr>
                    <w:t>/</w:t>
                  </w:r>
                </w:p>
              </w:tc>
              <w:tc>
                <w:tcPr>
                  <w:tcW w:w="60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Cs/>
                      <w:color w:val="auto"/>
                      <w:szCs w:val="21"/>
                      <w:lang w:val="en-US" w:eastAsia="zh-CN"/>
                    </w:rPr>
                  </w:pPr>
                  <w:r>
                    <w:rPr>
                      <w:rFonts w:hint="default" w:ascii="Times New Roman" w:hAnsi="Times New Roman" w:cs="Times New Roman"/>
                      <w:bCs/>
                      <w:color w:val="auto"/>
                      <w:szCs w:val="21"/>
                      <w:lang w:val="en-US" w:eastAsia="zh-CN"/>
                    </w:rPr>
                    <w:t>-13</w:t>
                  </w:r>
                </w:p>
              </w:tc>
              <w:tc>
                <w:tcPr>
                  <w:tcW w:w="653"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Cs/>
                      <w:color w:val="auto"/>
                      <w:szCs w:val="21"/>
                      <w:lang w:val="en-US" w:eastAsia="zh-CN"/>
                    </w:rPr>
                  </w:pPr>
                  <w:r>
                    <w:rPr>
                      <w:rFonts w:hint="default" w:ascii="Times New Roman" w:hAnsi="Times New Roman" w:cs="Times New Roman"/>
                      <w:bCs/>
                      <w:color w:val="auto"/>
                      <w:szCs w:val="21"/>
                      <w:lang w:val="en-US" w:eastAsia="zh-CN"/>
                    </w:rPr>
                    <w:t>17</w:t>
                  </w:r>
                </w:p>
              </w:tc>
              <w:tc>
                <w:tcPr>
                  <w:tcW w:w="75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Cs/>
                      <w:color w:val="auto"/>
                      <w:szCs w:val="21"/>
                      <w:lang w:val="en-US" w:eastAsia="zh-CN"/>
                    </w:rPr>
                  </w:pPr>
                  <w:r>
                    <w:rPr>
                      <w:rFonts w:hint="default" w:ascii="Times New Roman" w:hAnsi="Times New Roman" w:cs="Times New Roman"/>
                      <w:bCs/>
                      <w:color w:val="auto"/>
                      <w:szCs w:val="21"/>
                      <w:lang w:val="en-US" w:eastAsia="zh-CN"/>
                    </w:rPr>
                    <w:t>1.5</w:t>
                  </w:r>
                </w:p>
              </w:tc>
              <w:tc>
                <w:tcPr>
                  <w:tcW w:w="142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szCs w:val="21"/>
                      <w:lang w:val="en-US" w:eastAsia="zh-CN"/>
                    </w:rPr>
                  </w:pPr>
                  <w:r>
                    <w:rPr>
                      <w:rFonts w:hint="default" w:ascii="Times New Roman" w:hAnsi="Times New Roman" w:cs="Times New Roman"/>
                      <w:bCs/>
                      <w:color w:val="auto"/>
                      <w:szCs w:val="21"/>
                      <w:lang w:val="en-US" w:eastAsia="zh-CN"/>
                    </w:rPr>
                    <w:t>95/1</w:t>
                  </w:r>
                </w:p>
              </w:tc>
              <w:tc>
                <w:tcPr>
                  <w:tcW w:w="1259"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基础减震</w:t>
                  </w:r>
                </w:p>
              </w:tc>
              <w:tc>
                <w:tcPr>
                  <w:tcW w:w="802"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eastAsia="宋体" w:cs="Times New Roman"/>
                      <w:color w:val="auto"/>
                      <w:lang w:val="en-US" w:eastAsia="zh-CN"/>
                    </w:rPr>
                  </w:pPr>
                  <w:r>
                    <w:rPr>
                      <w:rFonts w:hint="default" w:ascii="Times New Roman" w:hAnsi="Times New Roman" w:cs="Times New Roman"/>
                      <w:color w:val="auto"/>
                      <w:lang w:val="en-US" w:eastAsia="zh-CN"/>
                    </w:rPr>
                    <w:t>停电时使用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8218" w:type="dxa"/>
                  <w:gridSpan w:val="10"/>
                  <w:tcBorders>
                    <w:tl2br w:val="nil"/>
                    <w:tr2bl w:val="nil"/>
                  </w:tcBorders>
                  <w:vAlign w:val="center"/>
                </w:tcPr>
                <w:p>
                  <w:pPr>
                    <w:keepNext w:val="0"/>
                    <w:keepLines w:val="0"/>
                    <w:suppressLineNumbers w:val="0"/>
                    <w:spacing w:before="0" w:beforeAutospacing="0" w:after="0" w:afterAutospacing="0"/>
                    <w:ind w:left="0" w:right="0"/>
                    <w:contextualSpacing/>
                    <w:rPr>
                      <w:rFonts w:hint="default" w:ascii="Times New Roman" w:hAnsi="Times New Roman" w:cs="Times New Roman"/>
                      <w:b/>
                      <w:color w:val="auto"/>
                    </w:rPr>
                  </w:pPr>
                  <w:r>
                    <w:rPr>
                      <w:rFonts w:hint="default" w:ascii="Times New Roman" w:hAnsi="Times New Roman" w:cs="Times New Roman"/>
                      <w:b/>
                      <w:color w:val="auto"/>
                    </w:rPr>
                    <w:t>注：以井场中心为原点</w:t>
                  </w:r>
                </w:p>
              </w:tc>
            </w:tr>
          </w:tbl>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（2）环境影响分析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本项目主要为钻井作业过程的钻机、柴油发电机组、振动筛、离心机等设备运行产生的机械噪声等。</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①预测范围、预测点位</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井口周边200m范围的各居民点。</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②声源分析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根据各噪声设备的噪声级和布置，噪声源主要分布于井场井口周边30m内，钻井过程中采取相应噪声防治措施，同时在钻井过程中平稳操作，避免特种作业时产生非正常的噪声</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（3）预测模式</w:t>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bCs/>
                <w:color w:val="auto"/>
                <w:sz w:val="24"/>
              </w:rPr>
            </w:pPr>
            <w:r>
              <w:rPr>
                <w:rFonts w:hint="default" w:ascii="Times New Roman" w:hAnsi="Times New Roman" w:cs="Times New Roman"/>
                <w:bCs/>
                <w:color w:val="auto"/>
                <w:sz w:val="24"/>
              </w:rPr>
              <w:t>预测时</w:t>
            </w:r>
            <w:r>
              <w:rPr>
                <w:rFonts w:hint="default" w:ascii="Times New Roman" w:hAnsi="Times New Roman" w:cs="Times New Roman"/>
                <w:color w:val="auto"/>
                <w:sz w:val="24"/>
              </w:rPr>
              <w:t>考虑</w:t>
            </w:r>
            <w:r>
              <w:rPr>
                <w:rFonts w:hint="default" w:ascii="Times New Roman" w:hAnsi="Times New Roman" w:cs="Times New Roman"/>
                <w:bCs/>
                <w:color w:val="auto"/>
                <w:sz w:val="24"/>
              </w:rPr>
              <w:t>声源在传播过程中经过距离衰减，采用《环境影响评价技术导则 声环境》（HJ2.4-2021）中的“点声源的几何发散衰减”模式下的“无指向性点声源几何发散衰减”进行计算，预测模式如下：</w:t>
            </w:r>
          </w:p>
          <w:p>
            <w:pPr>
              <w:keepNext w:val="0"/>
              <w:keepLines w:val="0"/>
              <w:suppressLineNumbers w:val="0"/>
              <w:spacing w:before="0" w:beforeAutospacing="0" w:after="0" w:afterAutospacing="0" w:line="360" w:lineRule="auto"/>
              <w:ind w:left="0" w:right="0"/>
              <w:contextualSpacing/>
              <w:jc w:val="center"/>
              <w:rPr>
                <w:rFonts w:hint="default" w:ascii="Times New Roman" w:hAnsi="Times New Roman" w:cs="Times New Roman"/>
                <w:bCs/>
                <w:color w:val="auto"/>
                <w:sz w:val="24"/>
              </w:rPr>
            </w:pPr>
            <m:oMathPara>
              <m:oMath>
                <m:sSub>
                  <m:sSubPr>
                    <m:ctrlPr>
                      <w:rPr>
                        <w:rFonts w:hint="default" w:ascii="Cambria Math" w:hAnsi="Cambria Math" w:cs="Times New Roman"/>
                        <w:iCs/>
                        <w:color w:val="auto"/>
                        <w:sz w:val="24"/>
                      </w:rPr>
                    </m:ctrlPr>
                  </m:sSubPr>
                  <m:e>
                    <m:r>
                      <m:rPr>
                        <m:sty m:val="p"/>
                      </m:rPr>
                      <w:rPr>
                        <w:rFonts w:hint="default" w:ascii="Cambria Math" w:hAnsi="Cambria Math" w:cs="Times New Roman"/>
                        <w:color w:val="auto"/>
                        <w:sz w:val="24"/>
                      </w:rPr>
                      <m:t>L</m:t>
                    </m:r>
                    <m:ctrlPr>
                      <w:rPr>
                        <w:rFonts w:hint="default" w:ascii="Cambria Math" w:hAnsi="Cambria Math" w:cs="Times New Roman"/>
                        <w:iCs/>
                        <w:color w:val="auto"/>
                        <w:sz w:val="24"/>
                      </w:rPr>
                    </m:ctrlPr>
                  </m:e>
                  <m:sub>
                    <m:r>
                      <m:rPr>
                        <m:sty m:val="p"/>
                      </m:rPr>
                      <w:rPr>
                        <w:rFonts w:hint="default" w:ascii="Cambria Math" w:hAnsi="Cambria Math" w:cs="Times New Roman"/>
                        <w:color w:val="auto"/>
                        <w:sz w:val="24"/>
                      </w:rPr>
                      <m:t>P</m:t>
                    </m:r>
                    <m:ctrlPr>
                      <w:rPr>
                        <w:rFonts w:hint="default" w:ascii="Cambria Math" w:hAnsi="Cambria Math" w:cs="Times New Roman"/>
                        <w:iCs/>
                        <w:color w:val="auto"/>
                        <w:sz w:val="24"/>
                      </w:rPr>
                    </m:ctrlPr>
                  </m:sub>
                </m:sSub>
                <m:d>
                  <m:dPr>
                    <m:begChr m:val="（"/>
                    <m:endChr m:val="）"/>
                    <m:ctrlPr>
                      <w:rPr>
                        <w:rFonts w:hint="default" w:ascii="Cambria Math" w:hAnsi="Cambria Math" w:cs="Times New Roman"/>
                        <w:iCs/>
                        <w:color w:val="auto"/>
                        <w:sz w:val="24"/>
                      </w:rPr>
                    </m:ctrlPr>
                  </m:dPr>
                  <m:e>
                    <m:r>
                      <m:rPr>
                        <m:sty m:val="p"/>
                      </m:rPr>
                      <w:rPr>
                        <w:rFonts w:hint="default" w:ascii="Cambria Math" w:hAnsi="Cambria Math" w:cs="Times New Roman"/>
                        <w:color w:val="auto"/>
                        <w:sz w:val="24"/>
                      </w:rPr>
                      <m:t>r</m:t>
                    </m:r>
                    <m:ctrlPr>
                      <w:rPr>
                        <w:rFonts w:hint="default" w:ascii="Cambria Math" w:hAnsi="Cambria Math" w:cs="Times New Roman"/>
                        <w:iCs/>
                        <w:color w:val="auto"/>
                        <w:sz w:val="24"/>
                      </w:rPr>
                    </m:ctrlPr>
                  </m:e>
                </m:d>
                <m:r>
                  <m:rPr>
                    <m:sty m:val="p"/>
                  </m:rPr>
                  <w:rPr>
                    <w:rFonts w:hint="default" w:ascii="Cambria Math" w:hAnsi="Cambria Math" w:cs="Times New Roman"/>
                    <w:color w:val="auto"/>
                    <w:sz w:val="24"/>
                  </w:rPr>
                  <m:t>=</m:t>
                </m:r>
                <m:sSub>
                  <m:sSubPr>
                    <m:ctrlPr>
                      <w:rPr>
                        <w:rFonts w:hint="default" w:ascii="Cambria Math" w:hAnsi="Cambria Math" w:cs="Times New Roman"/>
                        <w:iCs/>
                        <w:color w:val="auto"/>
                        <w:sz w:val="24"/>
                      </w:rPr>
                    </m:ctrlPr>
                  </m:sSubPr>
                  <m:e>
                    <m:r>
                      <m:rPr>
                        <m:sty m:val="p"/>
                      </m:rPr>
                      <w:rPr>
                        <w:rFonts w:hint="default" w:ascii="Cambria Math" w:hAnsi="Cambria Math" w:cs="Times New Roman"/>
                        <w:color w:val="auto"/>
                        <w:sz w:val="24"/>
                      </w:rPr>
                      <m:t>L</m:t>
                    </m:r>
                    <m:ctrlPr>
                      <w:rPr>
                        <w:rFonts w:hint="default" w:ascii="Cambria Math" w:hAnsi="Cambria Math" w:cs="Times New Roman"/>
                        <w:iCs/>
                        <w:color w:val="auto"/>
                        <w:sz w:val="24"/>
                      </w:rPr>
                    </m:ctrlPr>
                  </m:e>
                  <m:sub>
                    <m:r>
                      <m:rPr>
                        <m:sty m:val="p"/>
                      </m:rPr>
                      <w:rPr>
                        <w:rFonts w:hint="default" w:ascii="Cambria Math" w:hAnsi="Cambria Math" w:cs="Times New Roman"/>
                        <w:color w:val="auto"/>
                        <w:sz w:val="24"/>
                      </w:rPr>
                      <m:t>p</m:t>
                    </m:r>
                    <m:ctrlPr>
                      <w:rPr>
                        <w:rFonts w:hint="default" w:ascii="Cambria Math" w:hAnsi="Cambria Math" w:cs="Times New Roman"/>
                        <w:iCs/>
                        <w:color w:val="auto"/>
                        <w:sz w:val="24"/>
                      </w:rPr>
                    </m:ctrlPr>
                  </m:sub>
                </m:sSub>
                <m:d>
                  <m:dPr>
                    <m:begChr m:val="（"/>
                    <m:endChr m:val="）"/>
                    <m:ctrlPr>
                      <w:rPr>
                        <w:rFonts w:hint="default" w:ascii="Cambria Math" w:hAnsi="Cambria Math" w:cs="Times New Roman"/>
                        <w:iCs/>
                        <w:color w:val="auto"/>
                        <w:sz w:val="24"/>
                      </w:rPr>
                    </m:ctrlPr>
                  </m:dPr>
                  <m:e>
                    <m:sSub>
                      <m:sSubPr>
                        <m:ctrlPr>
                          <w:rPr>
                            <w:rFonts w:hint="default" w:ascii="Cambria Math" w:hAnsi="Cambria Math" w:cs="Times New Roman"/>
                            <w:iCs/>
                            <w:color w:val="auto"/>
                            <w:sz w:val="24"/>
                          </w:rPr>
                        </m:ctrlPr>
                      </m:sSubPr>
                      <m:e>
                        <m:r>
                          <m:rPr>
                            <m:sty m:val="p"/>
                          </m:rPr>
                          <w:rPr>
                            <w:rFonts w:hint="default" w:ascii="Cambria Math" w:hAnsi="Cambria Math" w:cs="Times New Roman"/>
                            <w:color w:val="auto"/>
                            <w:sz w:val="24"/>
                          </w:rPr>
                          <m:t>r</m:t>
                        </m:r>
                        <m:ctrlPr>
                          <w:rPr>
                            <w:rFonts w:hint="default" w:ascii="Cambria Math" w:hAnsi="Cambria Math" w:cs="Times New Roman"/>
                            <w:iCs/>
                            <w:color w:val="auto"/>
                            <w:sz w:val="24"/>
                          </w:rPr>
                        </m:ctrlPr>
                      </m:e>
                      <m:sub>
                        <m:r>
                          <m:rPr>
                            <m:sty m:val="p"/>
                          </m:rPr>
                          <w:rPr>
                            <w:rFonts w:hint="default" w:ascii="Cambria Math" w:hAnsi="Cambria Math" w:cs="Times New Roman"/>
                            <w:color w:val="auto"/>
                            <w:sz w:val="24"/>
                          </w:rPr>
                          <m:t>0</m:t>
                        </m:r>
                        <m:ctrlPr>
                          <w:rPr>
                            <w:rFonts w:hint="default" w:ascii="Cambria Math" w:hAnsi="Cambria Math" w:cs="Times New Roman"/>
                            <w:iCs/>
                            <w:color w:val="auto"/>
                            <w:sz w:val="24"/>
                          </w:rPr>
                        </m:ctrlPr>
                      </m:sub>
                    </m:sSub>
                    <m:ctrlPr>
                      <w:rPr>
                        <w:rFonts w:hint="default" w:ascii="Cambria Math" w:hAnsi="Cambria Math" w:cs="Times New Roman"/>
                        <w:iCs/>
                        <w:color w:val="auto"/>
                        <w:sz w:val="24"/>
                      </w:rPr>
                    </m:ctrlPr>
                  </m:e>
                </m:d>
                <m:r>
                  <m:rPr>
                    <m:sty m:val="p"/>
                  </m:rPr>
                  <w:rPr>
                    <w:rFonts w:hint="default" w:ascii="Cambria Math" w:hAnsi="Cambria Math" w:cs="Times New Roman"/>
                    <w:color w:val="auto"/>
                    <w:sz w:val="24"/>
                  </w:rPr>
                  <m:t>−20lg⁡</m:t>
                </m:r>
                <m:r>
                  <m:rPr/>
                  <w:rPr>
                    <w:rFonts w:hint="eastAsia" w:hAnsi="Cambria Math" w:cs="Times New Roman"/>
                    <w:color w:val="auto"/>
                    <w:sz w:val="24"/>
                    <w:lang w:eastAsia="zh-CN"/>
                  </w:rPr>
                  <m:t>(</m:t>
                </m:r>
                <m:r>
                  <m:rPr>
                    <m:sty m:val="p"/>
                  </m:rPr>
                  <w:rPr>
                    <w:rFonts w:hint="default" w:ascii="Cambria Math" w:hAnsi="Cambria Math" w:cs="Times New Roman"/>
                    <w:color w:val="auto"/>
                    <w:sz w:val="24"/>
                  </w:rPr>
                  <m:t>r/</m:t>
                </m:r>
                <m:sSub>
                  <m:sSubPr>
                    <m:ctrlPr>
                      <w:rPr>
                        <w:rFonts w:hint="default" w:ascii="Cambria Math" w:hAnsi="Cambria Math" w:cs="Times New Roman"/>
                        <w:iCs/>
                        <w:color w:val="auto"/>
                        <w:sz w:val="24"/>
                      </w:rPr>
                    </m:ctrlPr>
                  </m:sSubPr>
                  <m:e>
                    <m:r>
                      <m:rPr>
                        <m:sty m:val="p"/>
                      </m:rPr>
                      <w:rPr>
                        <w:rFonts w:hint="default" w:ascii="Cambria Math" w:hAnsi="Cambria Math" w:cs="Times New Roman"/>
                        <w:color w:val="auto"/>
                        <w:sz w:val="24"/>
                      </w:rPr>
                      <m:t>r</m:t>
                    </m:r>
                    <m:ctrlPr>
                      <w:rPr>
                        <w:rFonts w:hint="default" w:ascii="Cambria Math" w:hAnsi="Cambria Math" w:cs="Times New Roman"/>
                        <w:iCs/>
                        <w:color w:val="auto"/>
                        <w:sz w:val="24"/>
                      </w:rPr>
                    </m:ctrlPr>
                  </m:e>
                  <m:sub>
                    <m:r>
                      <m:rPr>
                        <m:sty m:val="p"/>
                      </m:rPr>
                      <w:rPr>
                        <w:rFonts w:hint="default" w:ascii="Cambria Math" w:hAnsi="Cambria Math" w:cs="Times New Roman"/>
                        <w:color w:val="auto"/>
                        <w:sz w:val="24"/>
                      </w:rPr>
                      <m:t>0</m:t>
                    </m:r>
                    <m:ctrlPr>
                      <w:rPr>
                        <w:rFonts w:hint="default" w:ascii="Cambria Math" w:hAnsi="Cambria Math" w:cs="Times New Roman"/>
                        <w:iCs/>
                        <w:color w:val="auto"/>
                        <w:sz w:val="24"/>
                      </w:rPr>
                    </m:ctrlPr>
                  </m:sub>
                </m:sSub>
                <m:r>
                  <m:rPr/>
                  <w:rPr>
                    <w:rFonts w:hint="eastAsia" w:hAnsi="Cambria Math" w:cs="Times New Roman"/>
                    <w:color w:val="auto"/>
                    <w:sz w:val="24"/>
                    <w:lang w:eastAsia="zh-CN"/>
                  </w:rPr>
                  <m:t>)</m:t>
                </m:r>
              </m:oMath>
            </m:oMathPara>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lang w:val="pt-BR"/>
              </w:rPr>
            </w:pPr>
            <w:r>
              <w:rPr>
                <w:rFonts w:hint="default" w:ascii="Times New Roman" w:hAnsi="Times New Roman" w:cs="Times New Roman"/>
                <w:color w:val="auto"/>
                <w:sz w:val="24"/>
              </w:rPr>
              <w:t>式中</w:t>
            </w:r>
            <w:r>
              <w:rPr>
                <w:rFonts w:hint="default" w:ascii="Times New Roman" w:hAnsi="Times New Roman" w:cs="Times New Roman"/>
                <w:color w:val="auto"/>
                <w:sz w:val="24"/>
                <w:lang w:val="pt-BR"/>
              </w:rPr>
              <w:t>：</w:t>
            </w:r>
            <w:r>
              <w:rPr>
                <w:rFonts w:hint="default" w:ascii="Times New Roman" w:hAnsi="Times New Roman" w:cs="Times New Roman"/>
                <w:i/>
                <w:iCs/>
                <w:color w:val="auto"/>
                <w:sz w:val="24"/>
                <w:lang w:val="pt-BR"/>
              </w:rPr>
              <w:t>L</w:t>
            </w:r>
            <w:r>
              <w:rPr>
                <w:rFonts w:hint="default" w:ascii="Times New Roman" w:hAnsi="Times New Roman" w:cs="Times New Roman"/>
                <w:i/>
                <w:iCs/>
                <w:color w:val="auto"/>
                <w:sz w:val="24"/>
                <w:vertAlign w:val="subscript"/>
                <w:lang w:val="pt-BR"/>
              </w:rPr>
              <w:t>P</w:t>
            </w:r>
            <w:r>
              <w:rPr>
                <w:rFonts w:hint="default" w:ascii="Times New Roman" w:hAnsi="Times New Roman" w:cs="Times New Roman"/>
                <w:i/>
                <w:iCs/>
                <w:color w:val="auto"/>
                <w:sz w:val="24"/>
                <w:lang w:val="pt-BR"/>
              </w:rPr>
              <w:t>（r）</w:t>
            </w:r>
            <w:r>
              <w:rPr>
                <w:rFonts w:hint="default" w:ascii="Times New Roman" w:hAnsi="Times New Roman" w:cs="Times New Roman"/>
                <w:color w:val="auto"/>
                <w:sz w:val="24"/>
                <w:lang w:val="pt-BR"/>
              </w:rPr>
              <w:t>—预测点处声压级，dB；</w:t>
            </w:r>
          </w:p>
          <w:p>
            <w:pPr>
              <w:keepNext w:val="0"/>
              <w:keepLines w:val="0"/>
              <w:suppressLineNumbers w:val="0"/>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L</w:t>
            </w:r>
            <w:r>
              <w:rPr>
                <w:rFonts w:hint="default" w:ascii="Times New Roman" w:hAnsi="Times New Roman" w:cs="Times New Roman"/>
                <w:i/>
                <w:iCs/>
                <w:color w:val="auto"/>
                <w:sz w:val="24"/>
                <w:vertAlign w:val="subscript"/>
              </w:rPr>
              <w:t>P</w:t>
            </w:r>
            <w:r>
              <w:rPr>
                <w:rFonts w:hint="default" w:ascii="Times New Roman" w:hAnsi="Times New Roman" w:cs="Times New Roman"/>
                <w:i/>
                <w:iCs/>
                <w:color w:val="auto"/>
                <w:sz w:val="24"/>
              </w:rPr>
              <w:t>（r</w:t>
            </w:r>
            <w:r>
              <w:rPr>
                <w:rFonts w:hint="default" w:ascii="Times New Roman" w:hAnsi="Times New Roman" w:cs="Times New Roman"/>
                <w:i/>
                <w:iCs/>
                <w:color w:val="auto"/>
                <w:sz w:val="24"/>
                <w:vertAlign w:val="subscript"/>
              </w:rPr>
              <w:t>0</w:t>
            </w:r>
            <w:r>
              <w:rPr>
                <w:rFonts w:hint="default" w:ascii="Times New Roman" w:hAnsi="Times New Roman" w:cs="Times New Roman"/>
                <w:i/>
                <w:iCs/>
                <w:color w:val="auto"/>
                <w:sz w:val="24"/>
              </w:rPr>
              <w:t>）</w:t>
            </w:r>
            <w:r>
              <w:rPr>
                <w:rFonts w:hint="default" w:ascii="Times New Roman" w:hAnsi="Times New Roman" w:cs="Times New Roman"/>
                <w:color w:val="auto"/>
                <w:sz w:val="24"/>
              </w:rPr>
              <w:t>—参考点r</w:t>
            </w:r>
            <w:r>
              <w:rPr>
                <w:rFonts w:hint="default" w:ascii="Times New Roman" w:hAnsi="Times New Roman" w:cs="Times New Roman"/>
                <w:color w:val="auto"/>
                <w:sz w:val="24"/>
                <w:vertAlign w:val="subscript"/>
              </w:rPr>
              <w:t>0</w:t>
            </w:r>
            <w:r>
              <w:rPr>
                <w:rFonts w:hint="default" w:ascii="Times New Roman" w:hAnsi="Times New Roman" w:cs="Times New Roman"/>
                <w:color w:val="auto"/>
                <w:sz w:val="24"/>
              </w:rPr>
              <w:t>处的声压级，dB；</w:t>
            </w:r>
          </w:p>
          <w:p>
            <w:pPr>
              <w:keepNext w:val="0"/>
              <w:keepLines w:val="0"/>
              <w:suppressLineNumbers w:val="0"/>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 xml:space="preserve">r </w:t>
            </w:r>
            <w:r>
              <w:rPr>
                <w:rFonts w:hint="default" w:ascii="Times New Roman" w:hAnsi="Times New Roman" w:cs="Times New Roman"/>
                <w:color w:val="auto"/>
                <w:sz w:val="24"/>
              </w:rPr>
              <w:t>—预测点距声源的距离，m；</w:t>
            </w:r>
          </w:p>
          <w:p>
            <w:pPr>
              <w:keepNext w:val="0"/>
              <w:keepLines w:val="0"/>
              <w:suppressLineNumbers w:val="0"/>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r</w:t>
            </w:r>
            <w:r>
              <w:rPr>
                <w:rFonts w:hint="default" w:ascii="Times New Roman" w:hAnsi="Times New Roman" w:cs="Times New Roman"/>
                <w:i/>
                <w:iCs/>
                <w:color w:val="auto"/>
                <w:sz w:val="24"/>
                <w:vertAlign w:val="subscript"/>
              </w:rPr>
              <w:t>0</w:t>
            </w:r>
            <w:r>
              <w:rPr>
                <w:rFonts w:hint="default" w:ascii="Times New Roman" w:hAnsi="Times New Roman" w:cs="Times New Roman"/>
                <w:color w:val="auto"/>
                <w:sz w:val="24"/>
              </w:rPr>
              <w:t>—参考位置距声源的距离，m；</w:t>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多个声源发出的噪声在同一受声点的共同影响，噪声在预测点处产生的等效声级贡献值叠加的计算公式如下：</w:t>
            </w:r>
          </w:p>
          <w:p>
            <w:pPr>
              <w:keepNext w:val="0"/>
              <w:keepLines w:val="0"/>
              <w:suppressLineNumbers w:val="0"/>
              <w:spacing w:before="0" w:beforeAutospacing="0" w:after="0" w:afterAutospacing="0" w:line="360" w:lineRule="auto"/>
              <w:ind w:left="0" w:right="0" w:firstLine="480" w:firstLineChars="200"/>
              <w:contextualSpacing/>
              <w:jc w:val="center"/>
              <w:rPr>
                <w:rFonts w:hint="default" w:ascii="Times New Roman" w:hAnsi="Times New Roman" w:cs="Times New Roman"/>
                <w:color w:val="auto"/>
                <w:sz w:val="24"/>
              </w:rPr>
            </w:pPr>
            <w:r>
              <w:rPr>
                <w:rFonts w:hint="default" w:ascii="Times New Roman" w:hAnsi="Times New Roman" w:cs="Times New Roman"/>
                <w:color w:val="auto"/>
                <w:position w:val="-28"/>
                <w:sz w:val="24"/>
              </w:rPr>
              <w:drawing>
                <wp:inline distT="0" distB="0" distL="0" distR="0">
                  <wp:extent cx="1733550" cy="457200"/>
                  <wp:effectExtent l="0" t="0" r="0" b="0"/>
                  <wp:docPr id="3"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a:xfrm>
                            <a:off x="0" y="0"/>
                            <a:ext cx="1733550" cy="457200"/>
                          </a:xfrm>
                          <a:prstGeom prst="rect">
                            <a:avLst/>
                          </a:prstGeom>
                          <a:noFill/>
                          <a:ln>
                            <a:noFill/>
                          </a:ln>
                        </pic:spPr>
                      </pic:pic>
                    </a:graphicData>
                  </a:graphic>
                </wp:inline>
              </w:drawing>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式中：</w:t>
            </w:r>
            <w:r>
              <w:rPr>
                <w:rFonts w:hint="default" w:ascii="Times New Roman" w:hAnsi="Times New Roman" w:cs="Times New Roman"/>
                <w:i/>
                <w:iCs/>
                <w:color w:val="auto"/>
                <w:sz w:val="24"/>
              </w:rPr>
              <w:t>L</w:t>
            </w:r>
            <w:r>
              <w:rPr>
                <w:rFonts w:hint="default" w:ascii="Times New Roman" w:hAnsi="Times New Roman" w:cs="Times New Roman"/>
                <w:i/>
                <w:iCs/>
                <w:color w:val="auto"/>
                <w:sz w:val="24"/>
                <w:vertAlign w:val="subscript"/>
              </w:rPr>
              <w:t>eqg</w:t>
            </w:r>
            <w:r>
              <w:rPr>
                <w:rFonts w:hint="default" w:ascii="Times New Roman" w:hAnsi="Times New Roman" w:cs="Times New Roman"/>
                <w:color w:val="auto"/>
                <w:sz w:val="24"/>
              </w:rPr>
              <w:t>—建设项目在预测点的等效声级贡献值，dB；</w:t>
            </w:r>
          </w:p>
          <w:p>
            <w:pPr>
              <w:keepNext w:val="0"/>
              <w:keepLines w:val="0"/>
              <w:suppressLineNumbers w:val="0"/>
              <w:tabs>
                <w:tab w:val="left" w:pos="750"/>
              </w:tabs>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L</w:t>
            </w:r>
            <w:r>
              <w:rPr>
                <w:rFonts w:hint="default" w:ascii="Times New Roman" w:hAnsi="Times New Roman" w:cs="Times New Roman"/>
                <w:i/>
                <w:iCs/>
                <w:color w:val="auto"/>
                <w:sz w:val="24"/>
                <w:vertAlign w:val="subscript"/>
              </w:rPr>
              <w:t>Ai</w:t>
            </w:r>
            <w:r>
              <w:rPr>
                <w:rFonts w:hint="default" w:ascii="Times New Roman" w:hAnsi="Times New Roman" w:cs="Times New Roman"/>
                <w:color w:val="auto"/>
                <w:sz w:val="24"/>
              </w:rPr>
              <w:t>—</w:t>
            </w:r>
            <w:r>
              <w:rPr>
                <w:rFonts w:hint="default" w:ascii="Times New Roman" w:hAnsi="Times New Roman" w:cs="Times New Roman"/>
                <w:i/>
                <w:iCs/>
                <w:color w:val="auto"/>
                <w:sz w:val="24"/>
              </w:rPr>
              <w:t>i</w:t>
            </w:r>
            <w:r>
              <w:rPr>
                <w:rFonts w:hint="default" w:ascii="Times New Roman" w:hAnsi="Times New Roman" w:cs="Times New Roman"/>
                <w:color w:val="auto"/>
                <w:sz w:val="24"/>
              </w:rPr>
              <w:t>声源在预测点产生的A声级，dB；</w:t>
            </w:r>
          </w:p>
          <w:p>
            <w:pPr>
              <w:keepNext w:val="0"/>
              <w:keepLines w:val="0"/>
              <w:suppressLineNumbers w:val="0"/>
              <w:tabs>
                <w:tab w:val="left" w:pos="750"/>
              </w:tabs>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T</w:t>
            </w:r>
            <w:r>
              <w:rPr>
                <w:rFonts w:hint="default" w:ascii="Times New Roman" w:hAnsi="Times New Roman" w:cs="Times New Roman"/>
                <w:color w:val="auto"/>
                <w:sz w:val="24"/>
              </w:rPr>
              <w:t>—预测计算的时间段，s；</w:t>
            </w:r>
          </w:p>
          <w:p>
            <w:pPr>
              <w:keepNext w:val="0"/>
              <w:keepLines w:val="0"/>
              <w:suppressLineNumbers w:val="0"/>
              <w:tabs>
                <w:tab w:val="left" w:pos="750"/>
              </w:tabs>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t</w:t>
            </w:r>
            <w:r>
              <w:rPr>
                <w:rFonts w:hint="default" w:ascii="Times New Roman" w:hAnsi="Times New Roman" w:cs="Times New Roman"/>
                <w:i/>
                <w:iCs/>
                <w:color w:val="auto"/>
                <w:sz w:val="24"/>
                <w:vertAlign w:val="subscript"/>
              </w:rPr>
              <w:t>i</w:t>
            </w:r>
            <w:r>
              <w:rPr>
                <w:rFonts w:hint="default" w:ascii="Times New Roman" w:hAnsi="Times New Roman" w:cs="Times New Roman"/>
                <w:color w:val="auto"/>
                <w:sz w:val="24"/>
              </w:rPr>
              <w:t>—</w:t>
            </w:r>
            <w:r>
              <w:rPr>
                <w:rFonts w:hint="default" w:ascii="Times New Roman" w:hAnsi="Times New Roman" w:cs="Times New Roman"/>
                <w:i/>
                <w:iCs/>
                <w:color w:val="auto"/>
                <w:sz w:val="24"/>
              </w:rPr>
              <w:t>i</w:t>
            </w:r>
            <w:r>
              <w:rPr>
                <w:rFonts w:hint="default" w:ascii="Times New Roman" w:hAnsi="Times New Roman" w:cs="Times New Roman"/>
                <w:color w:val="auto"/>
                <w:sz w:val="24"/>
              </w:rPr>
              <w:t>声源在T时段内的运行时间，s。</w:t>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声源在敏感点处的贡献值叠加背景值即为该敏感点处噪声预测值，计算</w:t>
            </w:r>
            <w:r>
              <w:rPr>
                <w:rFonts w:hint="default" w:ascii="Times New Roman" w:hAnsi="Times New Roman" w:cs="Times New Roman"/>
                <w:bCs/>
                <w:color w:val="auto"/>
                <w:sz w:val="24"/>
              </w:rPr>
              <w:t>采用《环境影响评价技术导则 声环境》（HJ2.4-2021）</w:t>
            </w:r>
            <w:r>
              <w:rPr>
                <w:rFonts w:hint="default" w:ascii="Times New Roman" w:hAnsi="Times New Roman" w:cs="Times New Roman"/>
                <w:color w:val="auto"/>
                <w:sz w:val="24"/>
              </w:rPr>
              <w:t>3.11中（3）式，公式为：</w:t>
            </w:r>
          </w:p>
          <w:p>
            <w:pPr>
              <w:keepNext w:val="0"/>
              <w:keepLines w:val="0"/>
              <w:suppressLineNumbers w:val="0"/>
              <w:spacing w:before="0" w:beforeAutospacing="0" w:after="0" w:afterAutospacing="0" w:line="360" w:lineRule="auto"/>
              <w:ind w:left="0" w:right="0" w:firstLine="480" w:firstLineChars="200"/>
              <w:contextualSpacing/>
              <w:jc w:val="center"/>
              <w:rPr>
                <w:rFonts w:hint="default" w:ascii="Times New Roman" w:hAnsi="Times New Roman" w:cs="Times New Roman"/>
                <w:color w:val="auto"/>
                <w:sz w:val="24"/>
              </w:rPr>
            </w:pPr>
            <w:r>
              <w:rPr>
                <w:rFonts w:hint="default" w:ascii="Times New Roman" w:hAnsi="Times New Roman" w:cs="Times New Roman"/>
                <w:color w:val="auto"/>
                <w:position w:val="-12"/>
                <w:sz w:val="24"/>
              </w:rPr>
              <w:drawing>
                <wp:inline distT="0" distB="0" distL="0" distR="0">
                  <wp:extent cx="2286000" cy="279400"/>
                  <wp:effectExtent l="0" t="0" r="0" b="0"/>
                  <wp:docPr id="4"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0"/>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a:xfrm>
                            <a:off x="0" y="0"/>
                            <a:ext cx="2286000" cy="279400"/>
                          </a:xfrm>
                          <a:prstGeom prst="rect">
                            <a:avLst/>
                          </a:prstGeom>
                          <a:noFill/>
                          <a:ln>
                            <a:noFill/>
                          </a:ln>
                        </pic:spPr>
                      </pic:pic>
                    </a:graphicData>
                  </a:graphic>
                </wp:inline>
              </w:drawing>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式中：</w:t>
            </w:r>
            <w:r>
              <w:rPr>
                <w:rFonts w:hint="default" w:ascii="Times New Roman" w:hAnsi="Times New Roman" w:cs="Times New Roman"/>
                <w:i/>
                <w:iCs/>
                <w:color w:val="auto"/>
                <w:sz w:val="24"/>
              </w:rPr>
              <w:t>L</w:t>
            </w:r>
            <w:r>
              <w:rPr>
                <w:rFonts w:hint="default" w:ascii="Times New Roman" w:hAnsi="Times New Roman" w:cs="Times New Roman"/>
                <w:i/>
                <w:iCs/>
                <w:color w:val="auto"/>
                <w:sz w:val="24"/>
                <w:vertAlign w:val="subscript"/>
              </w:rPr>
              <w:t>eqg</w:t>
            </w:r>
            <w:r>
              <w:rPr>
                <w:rFonts w:hint="default" w:ascii="Times New Roman" w:hAnsi="Times New Roman" w:cs="Times New Roman"/>
                <w:i/>
                <w:iCs/>
                <w:color w:val="auto"/>
                <w:sz w:val="24"/>
              </w:rPr>
              <w:t xml:space="preserve"> </w:t>
            </w:r>
            <w:r>
              <w:rPr>
                <w:rFonts w:hint="default" w:ascii="Times New Roman" w:hAnsi="Times New Roman" w:cs="Times New Roman"/>
                <w:color w:val="auto"/>
                <w:sz w:val="24"/>
              </w:rPr>
              <w:t>— 建设项目声源在预测点的等效声级贡献值，dB；</w:t>
            </w:r>
          </w:p>
          <w:p>
            <w:pPr>
              <w:keepNext w:val="0"/>
              <w:keepLines w:val="0"/>
              <w:suppressLineNumbers w:val="0"/>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L</w:t>
            </w:r>
            <w:r>
              <w:rPr>
                <w:rFonts w:hint="default" w:ascii="Times New Roman" w:hAnsi="Times New Roman" w:cs="Times New Roman"/>
                <w:i/>
                <w:iCs/>
                <w:color w:val="auto"/>
                <w:sz w:val="24"/>
                <w:vertAlign w:val="subscript"/>
              </w:rPr>
              <w:t>eqb</w:t>
            </w:r>
            <w:r>
              <w:rPr>
                <w:rFonts w:hint="default" w:ascii="Times New Roman" w:hAnsi="Times New Roman" w:cs="Times New Roman"/>
                <w:color w:val="auto"/>
                <w:sz w:val="24"/>
              </w:rPr>
              <w:t xml:space="preserve"> — 预测点的背景值，dB。</w:t>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预测结果见下表。</w:t>
            </w:r>
          </w:p>
          <w:p>
            <w:pPr>
              <w:keepNext w:val="0"/>
              <w:keepLines w:val="0"/>
              <w:suppressLineNumbers w:val="0"/>
              <w:autoSpaceDE w:val="0"/>
              <w:autoSpaceDN w:val="0"/>
              <w:spacing w:before="0" w:beforeAutospacing="0" w:after="0" w:afterAutospacing="0" w:line="360" w:lineRule="auto"/>
              <w:ind w:left="0" w:right="0"/>
              <w:contextualSpacing/>
              <w:jc w:val="center"/>
              <w:rPr>
                <w:rFonts w:hint="default" w:ascii="Times New Roman" w:hAnsi="Times New Roman" w:cs="Times New Roman"/>
                <w:b/>
                <w:color w:val="auto"/>
                <w:sz w:val="24"/>
              </w:rPr>
            </w:pPr>
            <w:r>
              <w:rPr>
                <w:rFonts w:hint="default" w:ascii="Times New Roman" w:hAnsi="Times New Roman" w:cs="Times New Roman"/>
                <w:b/>
                <w:color w:val="auto"/>
                <w:sz w:val="24"/>
              </w:rPr>
              <w:t xml:space="preserve">表4-7 </w:t>
            </w:r>
            <w:r>
              <w:rPr>
                <w:rFonts w:hint="eastAsia" w:cs="Times New Roman"/>
                <w:b/>
                <w:color w:val="auto"/>
                <w:sz w:val="24"/>
                <w:lang w:val="en-US" w:eastAsia="zh-CN"/>
              </w:rPr>
              <w:t>使用网电情况下</w:t>
            </w:r>
            <w:r>
              <w:rPr>
                <w:rFonts w:hint="default" w:ascii="Times New Roman" w:hAnsi="Times New Roman" w:cs="Times New Roman"/>
                <w:b/>
                <w:color w:val="auto"/>
                <w:sz w:val="24"/>
              </w:rPr>
              <w:t>厂界噪声预测结果与达标分析表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1318"/>
              <w:gridCol w:w="1880"/>
              <w:gridCol w:w="1882"/>
              <w:gridCol w:w="157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9" w:hRule="exact"/>
                <w:jc w:val="center"/>
              </w:trPr>
              <w:tc>
                <w:tcPr>
                  <w:tcW w:w="1460"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预测方位</w:t>
                  </w:r>
                </w:p>
              </w:tc>
              <w:tc>
                <w:tcPr>
                  <w:tcW w:w="1318"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时段</w:t>
                  </w:r>
                </w:p>
              </w:tc>
              <w:tc>
                <w:tcPr>
                  <w:tcW w:w="1880"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厂界噪声贡献值（dB(A)）</w:t>
                  </w:r>
                </w:p>
              </w:tc>
              <w:tc>
                <w:tcPr>
                  <w:tcW w:w="1882"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标准限值（dB(A)）</w:t>
                  </w:r>
                </w:p>
              </w:tc>
              <w:tc>
                <w:tcPr>
                  <w:tcW w:w="1577"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达标情况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1460"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318"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80"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82"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577"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restart"/>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东侧</w:t>
                  </w:r>
                </w:p>
              </w:tc>
              <w:tc>
                <w:tcPr>
                  <w:tcW w:w="131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Cs w:val="21"/>
                      <w:lang w:val="en-US" w:eastAsia="zh-CN" w:bidi="ar"/>
                    </w:rPr>
                  </w:pPr>
                  <w:r>
                    <w:rPr>
                      <w:rFonts w:hint="eastAsia" w:cs="Times New Roman"/>
                      <w:color w:val="auto"/>
                      <w:kern w:val="0"/>
                      <w:szCs w:val="21"/>
                      <w:lang w:val="en-US" w:eastAsia="zh-CN" w:bidi="ar"/>
                    </w:rPr>
                    <w:t>64.8</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70</w:t>
                  </w:r>
                </w:p>
              </w:tc>
              <w:tc>
                <w:tcPr>
                  <w:tcW w:w="157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31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夜间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Cs w:val="21"/>
                      <w:lang w:val="en-US" w:eastAsia="zh-CN" w:bidi="ar"/>
                    </w:rPr>
                  </w:pPr>
                  <w:r>
                    <w:rPr>
                      <w:rFonts w:hint="eastAsia" w:cs="Times New Roman"/>
                      <w:color w:val="auto"/>
                      <w:kern w:val="0"/>
                      <w:szCs w:val="21"/>
                      <w:lang w:val="en-US" w:eastAsia="zh-CN" w:bidi="ar"/>
                    </w:rPr>
                    <w:t>64.8</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55</w:t>
                  </w:r>
                </w:p>
              </w:tc>
              <w:tc>
                <w:tcPr>
                  <w:tcW w:w="157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lang w:val="en-US" w:eastAsia="zh-CN"/>
                    </w:rPr>
                    <w:t>不</w:t>
                  </w:r>
                  <w:r>
                    <w:rPr>
                      <w:rFonts w:hint="default" w:ascii="Times New Roman" w:hAnsi="Times New Roman" w:cs="Times New Roman"/>
                      <w:color w:val="auto"/>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restart"/>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南侧</w:t>
                  </w:r>
                </w:p>
              </w:tc>
              <w:tc>
                <w:tcPr>
                  <w:tcW w:w="131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Cs w:val="21"/>
                      <w:lang w:val="en-US" w:eastAsia="zh-CN" w:bidi="ar"/>
                    </w:rPr>
                  </w:pPr>
                  <w:r>
                    <w:rPr>
                      <w:rFonts w:hint="eastAsia" w:cs="Times New Roman"/>
                      <w:color w:val="auto"/>
                      <w:kern w:val="0"/>
                      <w:szCs w:val="21"/>
                      <w:lang w:val="en-US" w:eastAsia="zh-CN" w:bidi="ar"/>
                    </w:rPr>
                    <w:t>61.0</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70</w:t>
                  </w:r>
                </w:p>
              </w:tc>
              <w:tc>
                <w:tcPr>
                  <w:tcW w:w="157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31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夜间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Cs w:val="21"/>
                      <w:lang w:val="en-US" w:eastAsia="zh-CN" w:bidi="ar"/>
                    </w:rPr>
                  </w:pPr>
                  <w:r>
                    <w:rPr>
                      <w:rFonts w:hint="eastAsia" w:cs="Times New Roman"/>
                      <w:color w:val="auto"/>
                      <w:kern w:val="0"/>
                      <w:szCs w:val="21"/>
                      <w:lang w:val="en-US" w:eastAsia="zh-CN" w:bidi="ar"/>
                    </w:rPr>
                    <w:t>61.0</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55</w:t>
                  </w:r>
                </w:p>
              </w:tc>
              <w:tc>
                <w:tcPr>
                  <w:tcW w:w="157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lang w:val="en-US" w:eastAsia="zh-CN"/>
                    </w:rPr>
                    <w:t>不</w:t>
                  </w:r>
                  <w:r>
                    <w:rPr>
                      <w:rFonts w:hint="default" w:ascii="Times New Roman" w:hAnsi="Times New Roman" w:cs="Times New Roman"/>
                      <w:color w:val="auto"/>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restart"/>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西侧</w:t>
                  </w:r>
                </w:p>
              </w:tc>
              <w:tc>
                <w:tcPr>
                  <w:tcW w:w="131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Cs w:val="21"/>
                      <w:lang w:val="en-US" w:eastAsia="zh-CN" w:bidi="ar"/>
                    </w:rPr>
                  </w:pPr>
                  <w:r>
                    <w:rPr>
                      <w:rFonts w:hint="eastAsia" w:cs="Times New Roman"/>
                      <w:color w:val="auto"/>
                      <w:kern w:val="0"/>
                      <w:szCs w:val="21"/>
                      <w:lang w:val="en-US" w:eastAsia="zh-CN" w:bidi="ar"/>
                    </w:rPr>
                    <w:t>67.7</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70</w:t>
                  </w:r>
                </w:p>
              </w:tc>
              <w:tc>
                <w:tcPr>
                  <w:tcW w:w="157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31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夜间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Cs w:val="21"/>
                      <w:lang w:val="en-US" w:eastAsia="zh-CN" w:bidi="ar"/>
                    </w:rPr>
                  </w:pPr>
                  <w:r>
                    <w:rPr>
                      <w:rFonts w:hint="eastAsia" w:cs="Times New Roman"/>
                      <w:color w:val="auto"/>
                      <w:kern w:val="0"/>
                      <w:szCs w:val="21"/>
                      <w:lang w:val="en-US" w:eastAsia="zh-CN" w:bidi="ar"/>
                    </w:rPr>
                    <w:t>67.7</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55</w:t>
                  </w:r>
                </w:p>
              </w:tc>
              <w:tc>
                <w:tcPr>
                  <w:tcW w:w="157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不达标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restart"/>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北侧</w:t>
                  </w:r>
                </w:p>
              </w:tc>
              <w:tc>
                <w:tcPr>
                  <w:tcW w:w="131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Cs w:val="21"/>
                      <w:lang w:val="en-US" w:eastAsia="zh-CN" w:bidi="ar"/>
                    </w:rPr>
                  </w:pPr>
                  <w:r>
                    <w:rPr>
                      <w:rFonts w:hint="eastAsia" w:cs="Times New Roman"/>
                      <w:color w:val="auto"/>
                      <w:kern w:val="0"/>
                      <w:szCs w:val="21"/>
                      <w:lang w:val="en-US" w:eastAsia="zh-CN" w:bidi="ar"/>
                    </w:rPr>
                    <w:t>61.9</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70</w:t>
                  </w:r>
                </w:p>
              </w:tc>
              <w:tc>
                <w:tcPr>
                  <w:tcW w:w="157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31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夜间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Cs w:val="21"/>
                      <w:lang w:val="en-US" w:eastAsia="zh-CN" w:bidi="ar"/>
                    </w:rPr>
                  </w:pPr>
                  <w:r>
                    <w:rPr>
                      <w:rFonts w:hint="eastAsia" w:cs="Times New Roman"/>
                      <w:color w:val="auto"/>
                      <w:kern w:val="0"/>
                      <w:szCs w:val="21"/>
                      <w:lang w:val="en-US" w:eastAsia="zh-CN" w:bidi="ar"/>
                    </w:rPr>
                    <w:t>61.9</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bidi="ar"/>
                    </w:rPr>
                  </w:pPr>
                  <w:r>
                    <w:rPr>
                      <w:rFonts w:hint="default" w:ascii="Times New Roman" w:hAnsi="Times New Roman" w:cs="Times New Roman"/>
                      <w:color w:val="auto"/>
                      <w:kern w:val="0"/>
                      <w:szCs w:val="21"/>
                      <w:lang w:bidi="ar"/>
                    </w:rPr>
                    <w:t>55</w:t>
                  </w:r>
                </w:p>
              </w:tc>
              <w:tc>
                <w:tcPr>
                  <w:tcW w:w="157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lang w:val="en-US" w:eastAsia="zh-CN"/>
                    </w:rPr>
                    <w:t>不</w:t>
                  </w:r>
                  <w:r>
                    <w:rPr>
                      <w:rFonts w:hint="default" w:ascii="Times New Roman" w:hAnsi="Times New Roman" w:cs="Times New Roman"/>
                      <w:color w:val="auto"/>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8117" w:type="dxa"/>
                  <w:gridSpan w:val="5"/>
                  <w:tcBorders>
                    <w:tl2br w:val="nil"/>
                    <w:tr2bl w:val="nil"/>
                  </w:tcBorders>
                  <w:shd w:val="clear" w:color="auto" w:fill="FFFFFF"/>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注：以</w:t>
                  </w:r>
                  <w:r>
                    <w:rPr>
                      <w:rFonts w:hint="eastAsia" w:cs="Times New Roman"/>
                      <w:color w:val="auto"/>
                      <w:szCs w:val="21"/>
                      <w:lang w:eastAsia="zh-CN"/>
                    </w:rPr>
                    <w:t>普陆12HF井为</w:t>
                  </w:r>
                  <w:r>
                    <w:rPr>
                      <w:rFonts w:hint="default" w:ascii="Times New Roman" w:hAnsi="Times New Roman" w:cs="Times New Roman"/>
                      <w:color w:val="auto"/>
                      <w:szCs w:val="21"/>
                    </w:rPr>
                    <w:t>中心。</w:t>
                  </w:r>
                </w:p>
              </w:tc>
            </w:tr>
          </w:tbl>
          <w:p>
            <w:pPr>
              <w:keepNext w:val="0"/>
              <w:keepLines w:val="0"/>
              <w:suppressLineNumbers w:val="0"/>
              <w:autoSpaceDE w:val="0"/>
              <w:autoSpaceDN w:val="0"/>
              <w:spacing w:before="0" w:beforeAutospacing="0" w:after="0" w:afterAutospacing="0" w:line="360" w:lineRule="auto"/>
              <w:ind w:left="0" w:right="0"/>
              <w:contextualSpacing/>
              <w:jc w:val="center"/>
              <w:rPr>
                <w:rFonts w:hint="default" w:ascii="Times New Roman" w:hAnsi="Times New Roman" w:cs="Times New Roman"/>
                <w:b/>
                <w:color w:val="auto"/>
                <w:sz w:val="24"/>
              </w:rPr>
            </w:pPr>
            <w:r>
              <w:rPr>
                <w:rFonts w:hint="default" w:ascii="Times New Roman" w:hAnsi="Times New Roman" w:cs="Times New Roman"/>
                <w:b/>
                <w:color w:val="auto"/>
                <w:sz w:val="24"/>
              </w:rPr>
              <w:t xml:space="preserve">表4-7 </w:t>
            </w:r>
            <w:r>
              <w:rPr>
                <w:rFonts w:hint="default" w:ascii="Times New Roman" w:hAnsi="Times New Roman" w:cs="Times New Roman"/>
                <w:b/>
                <w:color w:val="auto"/>
                <w:sz w:val="24"/>
                <w:lang w:val="en-US" w:eastAsia="zh-CN"/>
              </w:rPr>
              <w:t>使用柴油发电机</w:t>
            </w:r>
            <w:r>
              <w:rPr>
                <w:rFonts w:hint="default" w:ascii="Times New Roman" w:hAnsi="Times New Roman" w:cs="Times New Roman"/>
                <w:b/>
                <w:color w:val="auto"/>
                <w:sz w:val="24"/>
              </w:rPr>
              <w:t>设备厂界噪声预测结果与达标分析表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1318"/>
              <w:gridCol w:w="1880"/>
              <w:gridCol w:w="1882"/>
              <w:gridCol w:w="157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9" w:hRule="exact"/>
                <w:jc w:val="center"/>
              </w:trPr>
              <w:tc>
                <w:tcPr>
                  <w:tcW w:w="1460" w:type="dxa"/>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预测方位</w:t>
                  </w:r>
                </w:p>
              </w:tc>
              <w:tc>
                <w:tcPr>
                  <w:tcW w:w="1318" w:type="dxa"/>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时段</w:t>
                  </w:r>
                </w:p>
              </w:tc>
              <w:tc>
                <w:tcPr>
                  <w:tcW w:w="1880" w:type="dxa"/>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厂界噪声贡献值（dB(A)）</w:t>
                  </w:r>
                </w:p>
              </w:tc>
              <w:tc>
                <w:tcPr>
                  <w:tcW w:w="1882" w:type="dxa"/>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标准限值（dB(A)）</w:t>
                  </w:r>
                </w:p>
              </w:tc>
              <w:tc>
                <w:tcPr>
                  <w:tcW w:w="1577" w:type="dxa"/>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达标情况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1460" w:type="dxa"/>
                  <w:vMerge w:val="continue"/>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p>
              </w:tc>
              <w:tc>
                <w:tcPr>
                  <w:tcW w:w="1318" w:type="dxa"/>
                  <w:vMerge w:val="continue"/>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p>
              </w:tc>
              <w:tc>
                <w:tcPr>
                  <w:tcW w:w="1880" w:type="dxa"/>
                  <w:vMerge w:val="continue"/>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p>
              </w:tc>
              <w:tc>
                <w:tcPr>
                  <w:tcW w:w="1882" w:type="dxa"/>
                  <w:vMerge w:val="continue"/>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p>
              </w:tc>
              <w:tc>
                <w:tcPr>
                  <w:tcW w:w="1577" w:type="dxa"/>
                  <w:vMerge w:val="continue"/>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restart"/>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东侧</w:t>
                  </w:r>
                </w:p>
              </w:tc>
              <w:tc>
                <w:tcPr>
                  <w:tcW w:w="131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昼间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eastAsia" w:cs="Times New Roman"/>
                      <w:color w:val="auto"/>
                      <w:kern w:val="0"/>
                      <w:szCs w:val="21"/>
                      <w:lang w:val="en-US" w:eastAsia="zh-CN" w:bidi="ar"/>
                    </w:rPr>
                    <w:t>68.5</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70</w:t>
                  </w:r>
                </w:p>
              </w:tc>
              <w:tc>
                <w:tcPr>
                  <w:tcW w:w="157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continue"/>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p>
              </w:tc>
              <w:tc>
                <w:tcPr>
                  <w:tcW w:w="131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夜间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eastAsia" w:cs="Times New Roman"/>
                      <w:color w:val="auto"/>
                      <w:kern w:val="0"/>
                      <w:szCs w:val="21"/>
                      <w:lang w:val="en-US" w:eastAsia="zh-CN" w:bidi="ar"/>
                    </w:rPr>
                    <w:t>68.5</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55</w:t>
                  </w:r>
                </w:p>
              </w:tc>
              <w:tc>
                <w:tcPr>
                  <w:tcW w:w="157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不达标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restart"/>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南侧</w:t>
                  </w:r>
                </w:p>
              </w:tc>
              <w:tc>
                <w:tcPr>
                  <w:tcW w:w="131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昼间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eastAsia" w:cs="Times New Roman"/>
                      <w:color w:val="auto"/>
                      <w:kern w:val="0"/>
                      <w:szCs w:val="21"/>
                      <w:lang w:val="en-US" w:eastAsia="zh-CN" w:bidi="ar"/>
                    </w:rPr>
                    <w:t>64.0</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70</w:t>
                  </w:r>
                </w:p>
              </w:tc>
              <w:tc>
                <w:tcPr>
                  <w:tcW w:w="157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continue"/>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p>
              </w:tc>
              <w:tc>
                <w:tcPr>
                  <w:tcW w:w="131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夜间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eastAsia" w:cs="Times New Roman"/>
                      <w:color w:val="auto"/>
                      <w:kern w:val="0"/>
                      <w:szCs w:val="21"/>
                      <w:lang w:val="en-US" w:eastAsia="zh-CN" w:bidi="ar"/>
                    </w:rPr>
                    <w:t>64.0</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55</w:t>
                  </w:r>
                </w:p>
              </w:tc>
              <w:tc>
                <w:tcPr>
                  <w:tcW w:w="157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不达标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restart"/>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西侧</w:t>
                  </w:r>
                </w:p>
              </w:tc>
              <w:tc>
                <w:tcPr>
                  <w:tcW w:w="131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昼间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eastAsia" w:cs="Times New Roman"/>
                      <w:color w:val="auto"/>
                      <w:kern w:val="0"/>
                      <w:szCs w:val="21"/>
                      <w:lang w:val="en-US" w:eastAsia="zh-CN" w:bidi="ar"/>
                    </w:rPr>
                    <w:t>71.5</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70</w:t>
                  </w:r>
                </w:p>
              </w:tc>
              <w:tc>
                <w:tcPr>
                  <w:tcW w:w="157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continue"/>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p>
              </w:tc>
              <w:tc>
                <w:tcPr>
                  <w:tcW w:w="131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夜间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eastAsia" w:cs="Times New Roman"/>
                      <w:color w:val="auto"/>
                      <w:kern w:val="0"/>
                      <w:szCs w:val="21"/>
                      <w:lang w:val="en-US" w:eastAsia="zh-CN" w:bidi="ar"/>
                    </w:rPr>
                    <w:t>71.5</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55</w:t>
                  </w:r>
                </w:p>
              </w:tc>
              <w:tc>
                <w:tcPr>
                  <w:tcW w:w="157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不达标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restart"/>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北侧</w:t>
                  </w:r>
                </w:p>
              </w:tc>
              <w:tc>
                <w:tcPr>
                  <w:tcW w:w="131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昼间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eastAsia" w:cs="Times New Roman"/>
                      <w:color w:val="auto"/>
                      <w:kern w:val="0"/>
                      <w:szCs w:val="21"/>
                      <w:lang w:val="en-US" w:eastAsia="zh-CN" w:bidi="ar"/>
                    </w:rPr>
                    <w:t>67.2</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70</w:t>
                  </w:r>
                </w:p>
              </w:tc>
              <w:tc>
                <w:tcPr>
                  <w:tcW w:w="157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1460" w:type="dxa"/>
                  <w:vMerge w:val="continue"/>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p>
              </w:tc>
              <w:tc>
                <w:tcPr>
                  <w:tcW w:w="131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夜间</w:t>
                  </w:r>
                </w:p>
              </w:tc>
              <w:tc>
                <w:tcPr>
                  <w:tcW w:w="188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eastAsia" w:cs="Times New Roman"/>
                      <w:color w:val="auto"/>
                      <w:kern w:val="0"/>
                      <w:szCs w:val="21"/>
                      <w:lang w:val="en-US" w:eastAsia="zh-CN" w:bidi="ar"/>
                    </w:rPr>
                    <w:t>67.2</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55</w:t>
                  </w:r>
                </w:p>
              </w:tc>
              <w:tc>
                <w:tcPr>
                  <w:tcW w:w="157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不达标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07" w:hRule="exact"/>
                <w:jc w:val="center"/>
              </w:trPr>
              <w:tc>
                <w:tcPr>
                  <w:tcW w:w="8117" w:type="dxa"/>
                  <w:gridSpan w:val="5"/>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both"/>
                    <w:textAlignment w:val="center"/>
                    <w:rPr>
                      <w:rFonts w:hint="default" w:ascii="Times New Roman" w:hAnsi="Times New Roman" w:cs="Times New Roman"/>
                      <w:color w:val="auto"/>
                      <w:kern w:val="0"/>
                      <w:szCs w:val="21"/>
                      <w:lang w:val="en-US" w:eastAsia="zh-CN" w:bidi="ar"/>
                    </w:rPr>
                  </w:pPr>
                  <w:r>
                    <w:rPr>
                      <w:rFonts w:hint="default" w:ascii="Times New Roman" w:hAnsi="Times New Roman" w:cs="Times New Roman"/>
                      <w:color w:val="auto"/>
                      <w:kern w:val="0"/>
                      <w:szCs w:val="21"/>
                      <w:lang w:val="en-US" w:eastAsia="zh-CN" w:bidi="ar"/>
                    </w:rPr>
                    <w:t>注：以</w:t>
                  </w:r>
                  <w:r>
                    <w:rPr>
                      <w:rFonts w:hint="eastAsia" w:cs="Times New Roman"/>
                      <w:color w:val="auto"/>
                      <w:kern w:val="0"/>
                      <w:szCs w:val="21"/>
                      <w:lang w:val="en-US" w:eastAsia="zh-CN" w:bidi="ar"/>
                    </w:rPr>
                    <w:t>普陆12HF井为</w:t>
                  </w:r>
                  <w:r>
                    <w:rPr>
                      <w:rFonts w:hint="default" w:ascii="Times New Roman" w:hAnsi="Times New Roman" w:cs="Times New Roman"/>
                      <w:color w:val="auto"/>
                      <w:kern w:val="0"/>
                      <w:szCs w:val="21"/>
                      <w:lang w:val="en-US" w:eastAsia="zh-CN" w:bidi="ar"/>
                    </w:rPr>
                    <w:t>中心。</w:t>
                  </w:r>
                </w:p>
              </w:tc>
            </w:tr>
          </w:tbl>
          <w:p>
            <w:pPr>
              <w:keepNext w:val="0"/>
              <w:keepLines w:val="0"/>
              <w:suppressLineNumbers w:val="0"/>
              <w:tabs>
                <w:tab w:val="left" w:pos="750"/>
              </w:tabs>
              <w:spacing w:before="0" w:beforeAutospacing="0" w:after="0" w:afterAutospacing="0" w:line="360" w:lineRule="auto"/>
              <w:ind w:left="0" w:right="0"/>
              <w:contextualSpacing/>
              <w:rPr>
                <w:rFonts w:hint="default" w:ascii="Times New Roman" w:hAnsi="Times New Roman" w:cs="Times New Roman"/>
                <w:color w:val="auto"/>
                <w:sz w:val="24"/>
              </w:rPr>
            </w:pPr>
            <w:r>
              <w:rPr>
                <w:rFonts w:hint="default" w:ascii="Times New Roman" w:hAnsi="Times New Roman" w:cs="Times New Roman"/>
                <w:color w:val="auto"/>
                <w:sz w:val="24"/>
              </w:rPr>
              <w:drawing>
                <wp:inline distT="0" distB="0" distL="114300" distR="114300">
                  <wp:extent cx="5159375" cy="2849880"/>
                  <wp:effectExtent l="0" t="0" r="3175" b="7620"/>
                  <wp:docPr id="1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
                          <pic:cNvPicPr>
                            <a:picLocks noChangeAspect="1"/>
                          </pic:cNvPicPr>
                        </pic:nvPicPr>
                        <pic:blipFill>
                          <a:blip r:embed="rId20"/>
                          <a:stretch>
                            <a:fillRect/>
                          </a:stretch>
                        </pic:blipFill>
                        <pic:spPr>
                          <a:xfrm>
                            <a:off x="0" y="0"/>
                            <a:ext cx="5159375" cy="2849880"/>
                          </a:xfrm>
                          <a:prstGeom prst="rect">
                            <a:avLst/>
                          </a:prstGeom>
                          <a:noFill/>
                          <a:ln>
                            <a:noFill/>
                          </a:ln>
                        </pic:spPr>
                      </pic:pic>
                    </a:graphicData>
                  </a:graphic>
                </wp:inline>
              </w:drawing>
            </w:r>
          </w:p>
          <w:p>
            <w:pPr>
              <w:keepNext w:val="0"/>
              <w:keepLines w:val="0"/>
              <w:suppressLineNumbers w:val="0"/>
              <w:spacing w:before="0" w:beforeAutospacing="0" w:after="0" w:afterAutospacing="0" w:line="360" w:lineRule="auto"/>
              <w:ind w:left="0" w:right="0" w:firstLine="480" w:firstLineChars="200"/>
              <w:contextualSpacing/>
              <w:jc w:val="center"/>
              <w:rPr>
                <w:rFonts w:hint="eastAsia" w:cs="Times New Roman"/>
                <w:bCs/>
                <w:color w:val="auto"/>
                <w:sz w:val="24"/>
                <w:lang w:val="en-US" w:eastAsia="zh-CN"/>
              </w:rPr>
            </w:pPr>
            <w:r>
              <w:rPr>
                <w:rFonts w:hint="eastAsia" w:cs="Times New Roman"/>
                <w:bCs/>
                <w:color w:val="auto"/>
                <w:sz w:val="24"/>
                <w:lang w:val="en-US" w:eastAsia="zh-CN"/>
              </w:rPr>
              <w:t>图4-1 使用网电情况下噪声预测结果示意图</w:t>
            </w:r>
          </w:p>
          <w:p>
            <w:pPr>
              <w:keepNext w:val="0"/>
              <w:keepLines w:val="0"/>
              <w:suppressLineNumbers w:val="0"/>
              <w:spacing w:before="0" w:beforeAutospacing="0" w:after="0" w:afterAutospacing="0" w:line="360" w:lineRule="auto"/>
              <w:ind w:left="0" w:right="0"/>
              <w:contextualSpacing/>
              <w:jc w:val="both"/>
              <w:rPr>
                <w:rFonts w:hint="default" w:cs="Times New Roman"/>
                <w:bCs/>
                <w:color w:val="auto"/>
                <w:sz w:val="24"/>
                <w:lang w:val="en-US" w:eastAsia="zh-CN"/>
              </w:rPr>
            </w:pPr>
            <w:r>
              <w:rPr>
                <w:rFonts w:hint="default" w:cs="Times New Roman"/>
                <w:bCs/>
                <w:color w:val="auto"/>
                <w:sz w:val="24"/>
                <w:lang w:val="en-US" w:eastAsia="zh-CN"/>
              </w:rPr>
              <w:drawing>
                <wp:inline distT="0" distB="0" distL="114300" distR="114300">
                  <wp:extent cx="5172710" cy="2900680"/>
                  <wp:effectExtent l="0" t="0" r="8890" b="13970"/>
                  <wp:docPr id="2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
                          <pic:cNvPicPr>
                            <a:picLocks noChangeAspect="1"/>
                          </pic:cNvPicPr>
                        </pic:nvPicPr>
                        <pic:blipFill>
                          <a:blip r:embed="rId21"/>
                          <a:stretch>
                            <a:fillRect/>
                          </a:stretch>
                        </pic:blipFill>
                        <pic:spPr>
                          <a:xfrm>
                            <a:off x="0" y="0"/>
                            <a:ext cx="5172710" cy="2900680"/>
                          </a:xfrm>
                          <a:prstGeom prst="rect">
                            <a:avLst/>
                          </a:prstGeom>
                          <a:noFill/>
                          <a:ln>
                            <a:noFill/>
                          </a:ln>
                        </pic:spPr>
                      </pic:pic>
                    </a:graphicData>
                  </a:graphic>
                </wp:inline>
              </w:drawing>
            </w:r>
          </w:p>
          <w:p>
            <w:pPr>
              <w:keepNext w:val="0"/>
              <w:keepLines w:val="0"/>
              <w:suppressLineNumbers w:val="0"/>
              <w:spacing w:before="0" w:beforeAutospacing="0" w:after="0" w:afterAutospacing="0" w:line="360" w:lineRule="auto"/>
              <w:ind w:left="0" w:right="0" w:firstLine="480" w:firstLineChars="200"/>
              <w:contextualSpacing/>
              <w:jc w:val="center"/>
              <w:rPr>
                <w:rFonts w:hint="default" w:cs="Times New Roman"/>
                <w:bCs/>
                <w:color w:val="auto"/>
                <w:sz w:val="24"/>
                <w:lang w:val="en-US" w:eastAsia="zh-CN"/>
              </w:rPr>
            </w:pPr>
            <w:r>
              <w:rPr>
                <w:rFonts w:hint="default" w:cs="Times New Roman"/>
                <w:bCs/>
                <w:color w:val="auto"/>
                <w:sz w:val="24"/>
                <w:lang w:val="en-US" w:eastAsia="zh-CN"/>
              </w:rPr>
              <w:t>图4-</w:t>
            </w:r>
            <w:r>
              <w:rPr>
                <w:rFonts w:hint="eastAsia" w:cs="Times New Roman"/>
                <w:bCs/>
                <w:color w:val="auto"/>
                <w:sz w:val="24"/>
                <w:lang w:val="en-US" w:eastAsia="zh-CN"/>
              </w:rPr>
              <w:t>2</w:t>
            </w:r>
            <w:r>
              <w:rPr>
                <w:rFonts w:hint="default" w:cs="Times New Roman"/>
                <w:bCs/>
                <w:color w:val="auto"/>
                <w:sz w:val="24"/>
                <w:lang w:val="en-US" w:eastAsia="zh-CN"/>
              </w:rPr>
              <w:t xml:space="preserve"> 使用</w:t>
            </w:r>
            <w:r>
              <w:rPr>
                <w:rFonts w:hint="eastAsia" w:cs="Times New Roman"/>
                <w:bCs/>
                <w:color w:val="auto"/>
                <w:sz w:val="24"/>
                <w:lang w:val="en-US" w:eastAsia="zh-CN"/>
              </w:rPr>
              <w:t>柴油发电机</w:t>
            </w:r>
            <w:r>
              <w:rPr>
                <w:rFonts w:hint="default" w:cs="Times New Roman"/>
                <w:bCs/>
                <w:color w:val="auto"/>
                <w:sz w:val="24"/>
                <w:lang w:val="en-US" w:eastAsia="zh-CN"/>
              </w:rPr>
              <w:t>情况下噪声预测结果示意图</w:t>
            </w:r>
          </w:p>
          <w:p>
            <w:pPr>
              <w:keepNext w:val="0"/>
              <w:keepLines w:val="0"/>
              <w:suppressLineNumbers w:val="0"/>
              <w:spacing w:before="0" w:beforeAutospacing="0" w:after="0" w:afterAutospacing="0" w:line="360" w:lineRule="auto"/>
              <w:ind w:left="0" w:right="0" w:firstLine="480" w:firstLineChars="200"/>
              <w:contextualSpacing/>
              <w:rPr>
                <w:rFonts w:hint="default" w:ascii="Times New Roman" w:hAnsi="Times New Roman" w:cs="Times New Roman"/>
                <w:bCs/>
                <w:color w:val="auto"/>
                <w:sz w:val="24"/>
              </w:rPr>
            </w:pPr>
            <w:r>
              <w:rPr>
                <w:rFonts w:hint="default" w:ascii="Times New Roman" w:hAnsi="Times New Roman" w:cs="Times New Roman"/>
                <w:bCs/>
                <w:color w:val="auto"/>
                <w:sz w:val="24"/>
              </w:rPr>
              <w:t>本次噪声预测最近居民点，其预测结果如下所示：</w:t>
            </w:r>
          </w:p>
          <w:p>
            <w:pPr>
              <w:keepNext w:val="0"/>
              <w:keepLines w:val="0"/>
              <w:suppressLineNumbers w:val="0"/>
              <w:autoSpaceDE w:val="0"/>
              <w:autoSpaceDN w:val="0"/>
              <w:spacing w:before="0" w:beforeAutospacing="0" w:after="0" w:afterAutospacing="0" w:line="360" w:lineRule="auto"/>
              <w:ind w:left="0" w:right="0"/>
              <w:contextualSpacing/>
              <w:jc w:val="center"/>
              <w:rPr>
                <w:rFonts w:hint="default" w:ascii="Times New Roman" w:hAnsi="Times New Roman" w:cs="Times New Roman"/>
                <w:b/>
                <w:color w:val="auto"/>
                <w:sz w:val="24"/>
              </w:rPr>
            </w:pPr>
            <w:r>
              <w:rPr>
                <w:rFonts w:hint="default" w:ascii="Times New Roman" w:hAnsi="Times New Roman" w:cs="Times New Roman"/>
                <w:b/>
                <w:color w:val="auto"/>
                <w:sz w:val="24"/>
              </w:rPr>
              <w:t xml:space="preserve">表4-8 </w:t>
            </w:r>
            <w:r>
              <w:rPr>
                <w:rFonts w:hint="default" w:ascii="Times New Roman" w:hAnsi="Times New Roman" w:cs="Times New Roman"/>
                <w:b/>
                <w:color w:val="auto"/>
                <w:sz w:val="24"/>
                <w:lang w:val="en-US" w:eastAsia="zh-CN"/>
              </w:rPr>
              <w:t>网电情况下</w:t>
            </w:r>
            <w:r>
              <w:rPr>
                <w:rFonts w:hint="default" w:ascii="Times New Roman" w:hAnsi="Times New Roman" w:cs="Times New Roman"/>
                <w:b/>
                <w:color w:val="auto"/>
                <w:sz w:val="24"/>
              </w:rPr>
              <w:t>噪声对周围居民影响预测</w:t>
            </w:r>
          </w:p>
          <w:tbl>
            <w:tblPr>
              <w:tblStyle w:val="44"/>
              <w:tblW w:w="814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46"/>
              <w:gridCol w:w="1007"/>
              <w:gridCol w:w="506"/>
              <w:gridCol w:w="508"/>
              <w:gridCol w:w="507"/>
              <w:gridCol w:w="508"/>
              <w:gridCol w:w="436"/>
              <w:gridCol w:w="437"/>
              <w:gridCol w:w="507"/>
              <w:gridCol w:w="508"/>
              <w:gridCol w:w="507"/>
              <w:gridCol w:w="508"/>
              <w:gridCol w:w="491"/>
              <w:gridCol w:w="492"/>
              <w:gridCol w:w="439"/>
              <w:gridCol w:w="44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76" w:hRule="exact"/>
                <w:jc w:val="center"/>
              </w:trPr>
              <w:tc>
                <w:tcPr>
                  <w:tcW w:w="346"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序号</w:t>
                  </w:r>
                </w:p>
              </w:tc>
              <w:tc>
                <w:tcPr>
                  <w:tcW w:w="1007"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声环境保护目标名称</w:t>
                  </w:r>
                </w:p>
              </w:tc>
              <w:tc>
                <w:tcPr>
                  <w:tcW w:w="1014"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噪声背景值/dB(A)</w:t>
                  </w:r>
                </w:p>
              </w:tc>
              <w:tc>
                <w:tcPr>
                  <w:tcW w:w="1015"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噪声现状值/dB(A)</w:t>
                  </w:r>
                </w:p>
              </w:tc>
              <w:tc>
                <w:tcPr>
                  <w:tcW w:w="873"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噪声标准/dB(A)</w:t>
                  </w:r>
                </w:p>
              </w:tc>
              <w:tc>
                <w:tcPr>
                  <w:tcW w:w="1015"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噪声贡献值/dB(A)</w:t>
                  </w:r>
                </w:p>
              </w:tc>
              <w:tc>
                <w:tcPr>
                  <w:tcW w:w="1015"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噪声预测值/dB(A)</w:t>
                  </w:r>
                </w:p>
              </w:tc>
              <w:tc>
                <w:tcPr>
                  <w:tcW w:w="983"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较现状增量/dB(A)</w:t>
                  </w:r>
                </w:p>
              </w:tc>
              <w:tc>
                <w:tcPr>
                  <w:tcW w:w="879" w:type="dxa"/>
                  <w:gridSpan w:val="2"/>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超标和达标情况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346"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007"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506"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50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夜间</w:t>
                  </w:r>
                </w:p>
              </w:tc>
              <w:tc>
                <w:tcPr>
                  <w:tcW w:w="50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50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夜间</w:t>
                  </w:r>
                </w:p>
              </w:tc>
              <w:tc>
                <w:tcPr>
                  <w:tcW w:w="436"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43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夜间</w:t>
                  </w:r>
                </w:p>
              </w:tc>
              <w:tc>
                <w:tcPr>
                  <w:tcW w:w="50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50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夜间</w:t>
                  </w:r>
                </w:p>
              </w:tc>
              <w:tc>
                <w:tcPr>
                  <w:tcW w:w="50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508"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夜间</w:t>
                  </w:r>
                </w:p>
              </w:tc>
              <w:tc>
                <w:tcPr>
                  <w:tcW w:w="491"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492"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夜间</w:t>
                  </w:r>
                </w:p>
              </w:tc>
              <w:tc>
                <w:tcPr>
                  <w:tcW w:w="439"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440"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53" w:hRule="atLeast"/>
                <w:jc w:val="center"/>
              </w:trPr>
              <w:tc>
                <w:tcPr>
                  <w:tcW w:w="346" w:type="dxa"/>
                  <w:tcBorders>
                    <w:tl2br w:val="nil"/>
                    <w:tr2bl w:val="nil"/>
                  </w:tcBorders>
                  <w:shd w:val="clear" w:color="auto" w:fill="FFFFFF"/>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1</w:t>
                  </w:r>
                </w:p>
              </w:tc>
              <w:tc>
                <w:tcPr>
                  <w:tcW w:w="1007" w:type="dxa"/>
                  <w:tcBorders>
                    <w:tl2br w:val="nil"/>
                    <w:tr2bl w:val="nil"/>
                  </w:tcBorders>
                  <w:shd w:val="clear" w:color="auto" w:fill="FFFFFF"/>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1#居民点</w:t>
                  </w:r>
                </w:p>
              </w:tc>
              <w:tc>
                <w:tcPr>
                  <w:tcW w:w="506"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auto"/>
                      <w:kern w:val="0"/>
                      <w:sz w:val="21"/>
                      <w:szCs w:val="21"/>
                      <w:lang w:val="en-US" w:eastAsia="zh-CN" w:bidi="ar"/>
                    </w:rPr>
                  </w:pPr>
                  <w:r>
                    <w:rPr>
                      <w:rFonts w:hint="eastAsia" w:cs="Times New Roman"/>
                      <w:color w:val="auto"/>
                      <w:kern w:val="0"/>
                      <w:sz w:val="21"/>
                      <w:szCs w:val="21"/>
                      <w:lang w:val="en-US" w:eastAsia="zh-CN" w:bidi="ar"/>
                    </w:rPr>
                    <w:t>56</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auto"/>
                      <w:kern w:val="0"/>
                      <w:sz w:val="21"/>
                      <w:szCs w:val="21"/>
                      <w:lang w:val="en-US" w:eastAsia="zh-CN" w:bidi="ar"/>
                    </w:rPr>
                  </w:pPr>
                  <w:r>
                    <w:rPr>
                      <w:rFonts w:hint="eastAsia" w:cs="Times New Roman"/>
                      <w:color w:val="auto"/>
                      <w:kern w:val="0"/>
                      <w:sz w:val="21"/>
                      <w:szCs w:val="21"/>
                      <w:lang w:val="en-US" w:eastAsia="zh-CN" w:bidi="ar"/>
                    </w:rPr>
                    <w:t>46</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auto"/>
                      <w:kern w:val="0"/>
                      <w:sz w:val="21"/>
                      <w:szCs w:val="21"/>
                      <w:lang w:val="en-US" w:eastAsia="zh-CN" w:bidi="ar"/>
                    </w:rPr>
                  </w:pPr>
                  <w:r>
                    <w:rPr>
                      <w:rFonts w:hint="eastAsia" w:cs="Times New Roman"/>
                      <w:color w:val="auto"/>
                      <w:kern w:val="0"/>
                      <w:sz w:val="21"/>
                      <w:szCs w:val="21"/>
                      <w:lang w:val="en-US" w:eastAsia="zh-CN" w:bidi="ar"/>
                    </w:rPr>
                    <w:t>56</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auto"/>
                      <w:kern w:val="0"/>
                      <w:sz w:val="21"/>
                      <w:szCs w:val="21"/>
                      <w:lang w:val="en-US" w:eastAsia="zh-CN" w:bidi="ar"/>
                    </w:rPr>
                  </w:pPr>
                  <w:r>
                    <w:rPr>
                      <w:rFonts w:hint="eastAsia" w:cs="Times New Roman"/>
                      <w:color w:val="auto"/>
                      <w:kern w:val="0"/>
                      <w:sz w:val="21"/>
                      <w:szCs w:val="21"/>
                      <w:lang w:val="en-US" w:eastAsia="zh-CN" w:bidi="ar"/>
                    </w:rPr>
                    <w:t>46</w:t>
                  </w:r>
                </w:p>
              </w:tc>
              <w:tc>
                <w:tcPr>
                  <w:tcW w:w="436"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auto"/>
                      <w:kern w:val="0"/>
                      <w:sz w:val="21"/>
                      <w:szCs w:val="21"/>
                      <w:lang w:val="en-US" w:eastAsia="zh-CN" w:bidi="ar"/>
                    </w:rPr>
                  </w:pPr>
                  <w:r>
                    <w:rPr>
                      <w:rFonts w:hint="eastAsia" w:cs="Times New Roman"/>
                      <w:color w:val="auto"/>
                      <w:kern w:val="0"/>
                      <w:sz w:val="21"/>
                      <w:szCs w:val="21"/>
                      <w:lang w:val="en-US" w:eastAsia="zh-CN" w:bidi="ar"/>
                    </w:rPr>
                    <w:t>60</w:t>
                  </w:r>
                </w:p>
              </w:tc>
              <w:tc>
                <w:tcPr>
                  <w:tcW w:w="43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auto"/>
                      <w:kern w:val="0"/>
                      <w:sz w:val="21"/>
                      <w:szCs w:val="21"/>
                      <w:lang w:val="en-US" w:eastAsia="zh-CN" w:bidi="ar"/>
                    </w:rPr>
                  </w:pPr>
                  <w:r>
                    <w:rPr>
                      <w:rFonts w:hint="eastAsia" w:cs="Times New Roman"/>
                      <w:color w:val="auto"/>
                      <w:kern w:val="0"/>
                      <w:sz w:val="21"/>
                      <w:szCs w:val="21"/>
                      <w:lang w:val="en-US" w:eastAsia="zh-CN" w:bidi="ar"/>
                    </w:rPr>
                    <w:t>50</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2"/>
                      <w:sz w:val="22"/>
                      <w:szCs w:val="22"/>
                      <w:u w:val="none"/>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52.9 </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2"/>
                      <w:sz w:val="22"/>
                      <w:szCs w:val="22"/>
                      <w:u w:val="none"/>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52.9 </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2"/>
                      <w:sz w:val="22"/>
                      <w:szCs w:val="22"/>
                      <w:u w:val="none"/>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57.7 </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2"/>
                      <w:sz w:val="22"/>
                      <w:szCs w:val="22"/>
                      <w:u w:val="none"/>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53.7 </w:t>
                  </w:r>
                </w:p>
              </w:tc>
              <w:tc>
                <w:tcPr>
                  <w:tcW w:w="491"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2"/>
                      <w:sz w:val="22"/>
                      <w:szCs w:val="22"/>
                      <w:u w:val="none"/>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1.7 </w:t>
                  </w:r>
                </w:p>
              </w:tc>
              <w:tc>
                <w:tcPr>
                  <w:tcW w:w="49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i w:val="0"/>
                      <w:iCs w:val="0"/>
                      <w:color w:val="auto"/>
                      <w:kern w:val="2"/>
                      <w:sz w:val="22"/>
                      <w:szCs w:val="22"/>
                      <w:u w:val="none"/>
                      <w:lang w:val="en-US" w:eastAsia="zh-CN" w:bidi="ar-SA"/>
                    </w:rPr>
                  </w:pPr>
                  <w:r>
                    <w:rPr>
                      <w:rFonts w:hint="default" w:ascii="Times New Roman" w:hAnsi="Times New Roman" w:eastAsia="宋体" w:cs="Times New Roman"/>
                      <w:i w:val="0"/>
                      <w:iCs w:val="0"/>
                      <w:color w:val="auto"/>
                      <w:kern w:val="0"/>
                      <w:sz w:val="22"/>
                      <w:szCs w:val="22"/>
                      <w:u w:val="none"/>
                      <w:lang w:val="en-US" w:eastAsia="zh-CN" w:bidi="ar"/>
                    </w:rPr>
                    <w:t xml:space="preserve">7.7 </w:t>
                  </w:r>
                </w:p>
              </w:tc>
              <w:tc>
                <w:tcPr>
                  <w:tcW w:w="439"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left"/>
                    <w:textAlignment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达标</w:t>
                  </w:r>
                </w:p>
              </w:tc>
              <w:tc>
                <w:tcPr>
                  <w:tcW w:w="44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left"/>
                    <w:textAlignment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超标</w:t>
                  </w:r>
                </w:p>
              </w:tc>
            </w:tr>
          </w:tbl>
          <w:p>
            <w:pPr>
              <w:keepNext w:val="0"/>
              <w:keepLines w:val="0"/>
              <w:suppressLineNumbers w:val="0"/>
              <w:autoSpaceDE w:val="0"/>
              <w:autoSpaceDN w:val="0"/>
              <w:spacing w:before="0" w:beforeAutospacing="0" w:after="0" w:afterAutospacing="0" w:line="360" w:lineRule="auto"/>
              <w:ind w:left="0" w:right="0"/>
              <w:contextualSpacing/>
              <w:jc w:val="center"/>
              <w:rPr>
                <w:rFonts w:hint="default" w:ascii="Times New Roman" w:hAnsi="Times New Roman" w:eastAsia="宋体" w:cs="Times New Roman"/>
                <w:b/>
                <w:color w:val="auto"/>
                <w:sz w:val="24"/>
                <w:lang w:val="en-US" w:eastAsia="zh-CN"/>
              </w:rPr>
            </w:pPr>
            <w:r>
              <w:rPr>
                <w:rFonts w:hint="default" w:ascii="Times New Roman" w:hAnsi="Times New Roman" w:eastAsia="宋体" w:cs="Times New Roman"/>
                <w:b/>
                <w:color w:val="auto"/>
                <w:sz w:val="24"/>
                <w:lang w:val="en-US" w:eastAsia="zh-CN"/>
              </w:rPr>
              <w:t>表4-9 使用柴油发电机情况下噪声对周围居民影响预测</w:t>
            </w:r>
          </w:p>
          <w:tbl>
            <w:tblPr>
              <w:tblStyle w:val="44"/>
              <w:tblW w:w="814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46"/>
              <w:gridCol w:w="1007"/>
              <w:gridCol w:w="506"/>
              <w:gridCol w:w="508"/>
              <w:gridCol w:w="507"/>
              <w:gridCol w:w="508"/>
              <w:gridCol w:w="436"/>
              <w:gridCol w:w="437"/>
              <w:gridCol w:w="507"/>
              <w:gridCol w:w="508"/>
              <w:gridCol w:w="507"/>
              <w:gridCol w:w="508"/>
              <w:gridCol w:w="491"/>
              <w:gridCol w:w="492"/>
              <w:gridCol w:w="439"/>
              <w:gridCol w:w="44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76" w:hRule="exact"/>
                <w:jc w:val="center"/>
              </w:trPr>
              <w:tc>
                <w:tcPr>
                  <w:tcW w:w="346" w:type="dxa"/>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序号</w:t>
                  </w:r>
                </w:p>
              </w:tc>
              <w:tc>
                <w:tcPr>
                  <w:tcW w:w="1007" w:type="dxa"/>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声环境保护目标名称</w:t>
                  </w:r>
                </w:p>
              </w:tc>
              <w:tc>
                <w:tcPr>
                  <w:tcW w:w="1014" w:type="dxa"/>
                  <w:gridSpan w:val="2"/>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噪声背景值/dB(A)</w:t>
                  </w:r>
                </w:p>
              </w:tc>
              <w:tc>
                <w:tcPr>
                  <w:tcW w:w="1015" w:type="dxa"/>
                  <w:gridSpan w:val="2"/>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噪声现状值/dB(A)</w:t>
                  </w:r>
                </w:p>
              </w:tc>
              <w:tc>
                <w:tcPr>
                  <w:tcW w:w="873" w:type="dxa"/>
                  <w:gridSpan w:val="2"/>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噪声标准/dB(A)</w:t>
                  </w:r>
                </w:p>
              </w:tc>
              <w:tc>
                <w:tcPr>
                  <w:tcW w:w="1015" w:type="dxa"/>
                  <w:gridSpan w:val="2"/>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噪声贡献值/dB(A)</w:t>
                  </w:r>
                </w:p>
              </w:tc>
              <w:tc>
                <w:tcPr>
                  <w:tcW w:w="1015" w:type="dxa"/>
                  <w:gridSpan w:val="2"/>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噪声预测值/dB(A)</w:t>
                  </w:r>
                </w:p>
              </w:tc>
              <w:tc>
                <w:tcPr>
                  <w:tcW w:w="983" w:type="dxa"/>
                  <w:gridSpan w:val="2"/>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较现状增量/dB(A)</w:t>
                  </w:r>
                </w:p>
              </w:tc>
              <w:tc>
                <w:tcPr>
                  <w:tcW w:w="879" w:type="dxa"/>
                  <w:gridSpan w:val="2"/>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超标和达标情况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346" w:type="dxa"/>
                  <w:vMerge w:val="continue"/>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p>
              </w:tc>
              <w:tc>
                <w:tcPr>
                  <w:tcW w:w="1007" w:type="dxa"/>
                  <w:vMerge w:val="continue"/>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p>
              </w:tc>
              <w:tc>
                <w:tcPr>
                  <w:tcW w:w="506"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昼间</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夜间</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昼间</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夜间</w:t>
                  </w:r>
                </w:p>
              </w:tc>
              <w:tc>
                <w:tcPr>
                  <w:tcW w:w="436"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昼间</w:t>
                  </w:r>
                </w:p>
              </w:tc>
              <w:tc>
                <w:tcPr>
                  <w:tcW w:w="43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夜间</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昼间</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夜间</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昼间</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夜间</w:t>
                  </w:r>
                </w:p>
              </w:tc>
              <w:tc>
                <w:tcPr>
                  <w:tcW w:w="491"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昼间</w:t>
                  </w:r>
                </w:p>
              </w:tc>
              <w:tc>
                <w:tcPr>
                  <w:tcW w:w="49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夜间</w:t>
                  </w:r>
                </w:p>
              </w:tc>
              <w:tc>
                <w:tcPr>
                  <w:tcW w:w="439"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昼间</w:t>
                  </w:r>
                </w:p>
              </w:tc>
              <w:tc>
                <w:tcPr>
                  <w:tcW w:w="44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53" w:hRule="atLeast"/>
                <w:jc w:val="center"/>
              </w:trPr>
              <w:tc>
                <w:tcPr>
                  <w:tcW w:w="346"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1</w:t>
                  </w:r>
                </w:p>
              </w:tc>
              <w:tc>
                <w:tcPr>
                  <w:tcW w:w="10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1#居民点</w:t>
                  </w:r>
                </w:p>
              </w:tc>
              <w:tc>
                <w:tcPr>
                  <w:tcW w:w="506"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auto"/>
                      <w:kern w:val="0"/>
                      <w:sz w:val="21"/>
                      <w:szCs w:val="21"/>
                      <w:lang w:val="en-US" w:eastAsia="zh-CN" w:bidi="ar"/>
                    </w:rPr>
                  </w:pPr>
                  <w:r>
                    <w:rPr>
                      <w:rFonts w:hint="eastAsia" w:cs="Times New Roman"/>
                      <w:color w:val="auto"/>
                      <w:kern w:val="0"/>
                      <w:sz w:val="21"/>
                      <w:szCs w:val="21"/>
                      <w:lang w:val="en-US" w:eastAsia="zh-CN" w:bidi="ar"/>
                    </w:rPr>
                    <w:t>56</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Times New Roman" w:hAnsi="Times New Roman" w:eastAsia="宋体" w:cs="Times New Roman"/>
                      <w:color w:val="auto"/>
                      <w:kern w:val="0"/>
                      <w:sz w:val="21"/>
                      <w:szCs w:val="21"/>
                      <w:lang w:val="en-US" w:eastAsia="zh-CN" w:bidi="ar"/>
                    </w:rPr>
                  </w:pPr>
                  <w:r>
                    <w:rPr>
                      <w:rFonts w:hint="eastAsia" w:cs="Times New Roman"/>
                      <w:color w:val="auto"/>
                      <w:kern w:val="0"/>
                      <w:sz w:val="21"/>
                      <w:szCs w:val="21"/>
                      <w:lang w:val="en-US" w:eastAsia="zh-CN" w:bidi="ar"/>
                    </w:rPr>
                    <w:t>46</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1"/>
                      <w:szCs w:val="21"/>
                      <w:lang w:val="en-US" w:eastAsia="zh-CN" w:bidi="ar"/>
                    </w:rPr>
                  </w:pPr>
                  <w:r>
                    <w:rPr>
                      <w:rFonts w:hint="eastAsia" w:cs="Times New Roman"/>
                      <w:color w:val="auto"/>
                      <w:kern w:val="0"/>
                      <w:sz w:val="21"/>
                      <w:szCs w:val="21"/>
                      <w:lang w:val="en-US" w:eastAsia="zh-CN" w:bidi="ar"/>
                    </w:rPr>
                    <w:t>56</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1"/>
                      <w:szCs w:val="21"/>
                      <w:lang w:val="en-US" w:eastAsia="zh-CN" w:bidi="ar"/>
                    </w:rPr>
                  </w:pPr>
                  <w:r>
                    <w:rPr>
                      <w:rFonts w:hint="eastAsia" w:cs="Times New Roman"/>
                      <w:color w:val="auto"/>
                      <w:kern w:val="0"/>
                      <w:sz w:val="21"/>
                      <w:szCs w:val="21"/>
                      <w:lang w:val="en-US" w:eastAsia="zh-CN" w:bidi="ar"/>
                    </w:rPr>
                    <w:t>46</w:t>
                  </w:r>
                </w:p>
              </w:tc>
              <w:tc>
                <w:tcPr>
                  <w:tcW w:w="436"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1"/>
                      <w:szCs w:val="21"/>
                      <w:lang w:val="en-US" w:eastAsia="zh-CN" w:bidi="ar"/>
                    </w:rPr>
                  </w:pPr>
                  <w:r>
                    <w:rPr>
                      <w:rFonts w:hint="eastAsia" w:cs="Times New Roman"/>
                      <w:color w:val="auto"/>
                      <w:kern w:val="0"/>
                      <w:sz w:val="21"/>
                      <w:szCs w:val="21"/>
                      <w:lang w:val="en-US" w:eastAsia="zh-CN" w:bidi="ar"/>
                    </w:rPr>
                    <w:t>60</w:t>
                  </w:r>
                </w:p>
              </w:tc>
              <w:tc>
                <w:tcPr>
                  <w:tcW w:w="43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1"/>
                      <w:szCs w:val="21"/>
                      <w:lang w:val="en-US" w:eastAsia="zh-CN" w:bidi="ar"/>
                    </w:rPr>
                  </w:pPr>
                  <w:r>
                    <w:rPr>
                      <w:rFonts w:hint="eastAsia" w:cs="Times New Roman"/>
                      <w:color w:val="auto"/>
                      <w:kern w:val="0"/>
                      <w:sz w:val="21"/>
                      <w:szCs w:val="21"/>
                      <w:lang w:val="en-US" w:eastAsia="zh-CN" w:bidi="ar"/>
                    </w:rPr>
                    <w:t>50</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
                      <w:bCs/>
                      <w:color w:val="auto"/>
                      <w:kern w:val="0"/>
                      <w:sz w:val="21"/>
                      <w:szCs w:val="21"/>
                      <w:lang w:bidi="ar"/>
                    </w:rPr>
                  </w:pPr>
                  <w:r>
                    <w:rPr>
                      <w:rFonts w:hint="default" w:ascii="Times New Roman" w:hAnsi="Times New Roman" w:eastAsia="宋体" w:cs="Times New Roman"/>
                      <w:i w:val="0"/>
                      <w:iCs w:val="0"/>
                      <w:color w:val="auto"/>
                      <w:kern w:val="0"/>
                      <w:sz w:val="22"/>
                      <w:szCs w:val="22"/>
                      <w:u w:val="none"/>
                      <w:lang w:val="en-US" w:eastAsia="zh-CN" w:bidi="ar"/>
                    </w:rPr>
                    <w:t xml:space="preserve">56 </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
                      <w:bCs/>
                      <w:color w:val="auto"/>
                      <w:kern w:val="0"/>
                      <w:sz w:val="21"/>
                      <w:szCs w:val="21"/>
                      <w:lang w:bidi="ar"/>
                    </w:rPr>
                  </w:pPr>
                  <w:r>
                    <w:rPr>
                      <w:rFonts w:hint="default" w:ascii="Times New Roman" w:hAnsi="Times New Roman" w:eastAsia="宋体" w:cs="Times New Roman"/>
                      <w:i w:val="0"/>
                      <w:iCs w:val="0"/>
                      <w:color w:val="auto"/>
                      <w:kern w:val="0"/>
                      <w:sz w:val="22"/>
                      <w:szCs w:val="22"/>
                      <w:u w:val="none"/>
                      <w:lang w:val="en-US" w:eastAsia="zh-CN" w:bidi="ar"/>
                    </w:rPr>
                    <w:t xml:space="preserve">46 </w:t>
                  </w:r>
                </w:p>
              </w:tc>
              <w:tc>
                <w:tcPr>
                  <w:tcW w:w="50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
                      <w:bCs/>
                      <w:color w:val="auto"/>
                      <w:kern w:val="0"/>
                      <w:sz w:val="21"/>
                      <w:szCs w:val="21"/>
                      <w:lang w:bidi="ar"/>
                    </w:rPr>
                  </w:pPr>
                  <w:r>
                    <w:rPr>
                      <w:rFonts w:hint="default" w:ascii="Times New Roman" w:hAnsi="Times New Roman" w:eastAsia="宋体" w:cs="Times New Roman"/>
                      <w:i w:val="0"/>
                      <w:iCs w:val="0"/>
                      <w:color w:val="auto"/>
                      <w:kern w:val="0"/>
                      <w:sz w:val="22"/>
                      <w:szCs w:val="22"/>
                      <w:u w:val="none"/>
                      <w:lang w:val="en-US" w:eastAsia="zh-CN" w:bidi="ar"/>
                    </w:rPr>
                    <w:t xml:space="preserve">56.8 </w:t>
                  </w:r>
                </w:p>
              </w:tc>
              <w:tc>
                <w:tcPr>
                  <w:tcW w:w="508"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
                      <w:bCs/>
                      <w:color w:val="auto"/>
                      <w:kern w:val="0"/>
                      <w:sz w:val="21"/>
                      <w:szCs w:val="21"/>
                      <w:lang w:bidi="ar"/>
                    </w:rPr>
                  </w:pPr>
                  <w:r>
                    <w:rPr>
                      <w:rFonts w:hint="default" w:ascii="Times New Roman" w:hAnsi="Times New Roman" w:eastAsia="宋体" w:cs="Times New Roman"/>
                      <w:i w:val="0"/>
                      <w:iCs w:val="0"/>
                      <w:color w:val="auto"/>
                      <w:kern w:val="0"/>
                      <w:sz w:val="22"/>
                      <w:szCs w:val="22"/>
                      <w:u w:val="none"/>
                      <w:lang w:val="en-US" w:eastAsia="zh-CN" w:bidi="ar"/>
                    </w:rPr>
                    <w:t xml:space="preserve">56.8 </w:t>
                  </w:r>
                </w:p>
              </w:tc>
              <w:tc>
                <w:tcPr>
                  <w:tcW w:w="491"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
                      <w:bCs/>
                      <w:color w:val="auto"/>
                      <w:kern w:val="0"/>
                      <w:sz w:val="21"/>
                      <w:szCs w:val="21"/>
                      <w:lang w:bidi="ar"/>
                    </w:rPr>
                  </w:pPr>
                  <w:r>
                    <w:rPr>
                      <w:rFonts w:hint="default" w:ascii="Times New Roman" w:hAnsi="Times New Roman" w:eastAsia="宋体" w:cs="Times New Roman"/>
                      <w:i w:val="0"/>
                      <w:iCs w:val="0"/>
                      <w:color w:val="auto"/>
                      <w:kern w:val="0"/>
                      <w:sz w:val="22"/>
                      <w:szCs w:val="22"/>
                      <w:u w:val="none"/>
                      <w:lang w:val="en-US" w:eastAsia="zh-CN" w:bidi="ar"/>
                    </w:rPr>
                    <w:t xml:space="preserve">59.4 </w:t>
                  </w:r>
                </w:p>
              </w:tc>
              <w:tc>
                <w:tcPr>
                  <w:tcW w:w="49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b/>
                      <w:bCs/>
                      <w:color w:val="auto"/>
                      <w:kern w:val="0"/>
                      <w:sz w:val="21"/>
                      <w:szCs w:val="21"/>
                      <w:lang w:bidi="ar"/>
                    </w:rPr>
                  </w:pPr>
                  <w:r>
                    <w:rPr>
                      <w:rFonts w:hint="default" w:ascii="Times New Roman" w:hAnsi="Times New Roman" w:eastAsia="宋体" w:cs="Times New Roman"/>
                      <w:i w:val="0"/>
                      <w:iCs w:val="0"/>
                      <w:color w:val="auto"/>
                      <w:kern w:val="0"/>
                      <w:sz w:val="22"/>
                      <w:szCs w:val="22"/>
                      <w:u w:val="none"/>
                      <w:lang w:val="en-US" w:eastAsia="zh-CN" w:bidi="ar"/>
                    </w:rPr>
                    <w:t xml:space="preserve">57.1 </w:t>
                  </w:r>
                </w:p>
              </w:tc>
              <w:tc>
                <w:tcPr>
                  <w:tcW w:w="439"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bidi="ar"/>
                    </w:rPr>
                  </w:pPr>
                  <w:r>
                    <w:rPr>
                      <w:rFonts w:hint="default" w:ascii="Times New Roman" w:hAnsi="Times New Roman" w:eastAsia="宋体" w:cs="Times New Roman"/>
                      <w:color w:val="auto"/>
                      <w:kern w:val="0"/>
                      <w:sz w:val="22"/>
                      <w:szCs w:val="22"/>
                      <w:lang w:bidi="ar"/>
                    </w:rPr>
                    <w:t>达标</w:t>
                  </w:r>
                </w:p>
              </w:tc>
              <w:tc>
                <w:tcPr>
                  <w:tcW w:w="440"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kern w:val="0"/>
                      <w:sz w:val="22"/>
                      <w:szCs w:val="22"/>
                      <w:lang w:val="en-US" w:eastAsia="zh-CN" w:bidi="ar"/>
                    </w:rPr>
                  </w:pPr>
                  <w:r>
                    <w:rPr>
                      <w:rFonts w:hint="default" w:ascii="Times New Roman" w:hAnsi="Times New Roman" w:eastAsia="宋体" w:cs="Times New Roman"/>
                      <w:color w:val="auto"/>
                      <w:kern w:val="0"/>
                      <w:sz w:val="22"/>
                      <w:szCs w:val="22"/>
                      <w:lang w:val="en-US" w:eastAsia="zh-CN" w:bidi="ar"/>
                    </w:rPr>
                    <w:t>超标</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由预测结果可知，采用网电钻井施工期间，周边200m范围内居民点</w:t>
            </w:r>
            <w:r>
              <w:rPr>
                <w:rFonts w:hint="default" w:ascii="Times New Roman" w:hAnsi="Times New Roman" w:cs="Times New Roman"/>
                <w:color w:val="auto"/>
                <w:sz w:val="24"/>
                <w:lang w:val="en-US" w:eastAsia="zh-CN"/>
              </w:rPr>
              <w:t>昼间</w:t>
            </w:r>
            <w:r>
              <w:rPr>
                <w:rFonts w:hint="default" w:ascii="Times New Roman" w:hAnsi="Times New Roman" w:cs="Times New Roman"/>
                <w:color w:val="auto"/>
                <w:sz w:val="24"/>
              </w:rPr>
              <w:t>声环境预测值均满足《声环境质量标准》（GB3096-2008）</w:t>
            </w:r>
            <w:r>
              <w:rPr>
                <w:rFonts w:hint="eastAsia" w:cs="Times New Roman"/>
                <w:color w:val="auto"/>
                <w:sz w:val="24"/>
                <w:lang w:val="en-US" w:eastAsia="zh-CN"/>
              </w:rPr>
              <w:t>中2类标准限值</w:t>
            </w:r>
            <w:r>
              <w:rPr>
                <w:rFonts w:hint="default" w:ascii="Times New Roman" w:hAnsi="Times New Roman" w:cs="Times New Roman"/>
                <w:color w:val="auto"/>
                <w:sz w:val="24"/>
                <w:lang w:eastAsia="zh-CN"/>
              </w:rPr>
              <w:t>，</w:t>
            </w:r>
            <w:r>
              <w:rPr>
                <w:rFonts w:hint="default" w:ascii="Times New Roman" w:hAnsi="Times New Roman" w:cs="Times New Roman"/>
                <w:color w:val="auto"/>
                <w:sz w:val="24"/>
                <w:lang w:val="en-US" w:eastAsia="zh-CN"/>
              </w:rPr>
              <w:t>采用柴油发电机情况下，</w:t>
            </w:r>
            <w:r>
              <w:rPr>
                <w:rFonts w:hint="eastAsia" w:cs="Times New Roman"/>
                <w:color w:val="auto"/>
                <w:sz w:val="24"/>
                <w:lang w:val="en-US" w:eastAsia="zh-CN"/>
              </w:rPr>
              <w:t>1#居民点</w:t>
            </w:r>
            <w:r>
              <w:rPr>
                <w:rFonts w:hint="default" w:ascii="Times New Roman" w:hAnsi="Times New Roman" w:cs="Times New Roman"/>
                <w:color w:val="auto"/>
                <w:sz w:val="24"/>
                <w:lang w:val="en-US" w:eastAsia="zh-CN"/>
              </w:rPr>
              <w:t>昼间声环境预测值满足《声环境质量标准》（GB3096-2008）中2类标准限值，夜间不能满足《声环境质量标准》（GB3096-2008）中2类标准限值</w:t>
            </w:r>
            <w:r>
              <w:rPr>
                <w:rFonts w:hint="eastAsia" w:cs="Times New Roman"/>
                <w:color w:val="auto"/>
                <w:sz w:val="24"/>
                <w:lang w:val="en-US" w:eastAsia="zh-CN"/>
              </w:rPr>
              <w:t>，昼间达标距离约为99m，夜间达标距离为313m</w:t>
            </w:r>
            <w:r>
              <w:rPr>
                <w:rFonts w:hint="default" w:ascii="Times New Roman" w:hAnsi="Times New Roman" w:cs="Times New Roman"/>
                <w:color w:val="auto"/>
                <w:sz w:val="24"/>
                <w:lang w:val="en-US" w:eastAsia="zh-CN"/>
              </w:rPr>
              <w:t>。使用柴油发电机情况下较现状增量远大于使用网电情况，因此，本项目在施工过程中应优先使用网电钻井，减小对外环境的影响。</w:t>
            </w:r>
            <w:r>
              <w:rPr>
                <w:rFonts w:hint="default" w:ascii="Times New Roman" w:hAnsi="Times New Roman" w:cs="Times New Roman"/>
                <w:color w:val="auto"/>
                <w:sz w:val="24"/>
              </w:rPr>
              <w:t>本项目施工时间短，随着施工结束噪声影响随之消失，因此</w:t>
            </w:r>
            <w:r>
              <w:rPr>
                <w:rFonts w:hint="eastAsia" w:cs="Times New Roman"/>
                <w:color w:val="auto"/>
                <w:sz w:val="24"/>
                <w:lang w:val="en-US" w:eastAsia="zh-CN"/>
              </w:rPr>
              <w:t>对项目所在地</w:t>
            </w:r>
            <w:r>
              <w:rPr>
                <w:rFonts w:hint="default" w:ascii="Times New Roman" w:hAnsi="Times New Roman" w:cs="Times New Roman"/>
                <w:color w:val="auto"/>
                <w:sz w:val="24"/>
              </w:rPr>
              <w:t>声环境影响</w:t>
            </w:r>
            <w:r>
              <w:rPr>
                <w:rFonts w:hint="eastAsia" w:cs="Times New Roman"/>
                <w:color w:val="auto"/>
                <w:sz w:val="24"/>
                <w:lang w:val="en-US" w:eastAsia="zh-CN"/>
              </w:rPr>
              <w:t>较小</w:t>
            </w:r>
            <w:r>
              <w:rPr>
                <w:rFonts w:hint="default" w:ascii="Times New Roman" w:hAnsi="Times New Roman" w:cs="Times New Roman"/>
                <w:color w:val="auto"/>
                <w:sz w:val="24"/>
              </w:rPr>
              <w:t>。本评价要求</w:t>
            </w:r>
            <w:r>
              <w:rPr>
                <w:rFonts w:hint="eastAsia" w:cs="Times New Roman"/>
                <w:color w:val="auto"/>
                <w:sz w:val="24"/>
                <w:lang w:val="en-US" w:eastAsia="zh-CN"/>
              </w:rPr>
              <w:t>采用柴油发电机情况下</w:t>
            </w:r>
            <w:r>
              <w:rPr>
                <w:rFonts w:hint="default" w:ascii="Times New Roman" w:hAnsi="Times New Roman" w:cs="Times New Roman"/>
                <w:color w:val="auto"/>
                <w:sz w:val="24"/>
              </w:rPr>
              <w:t>对较近住户采取临时功能置换，</w:t>
            </w:r>
            <w:r>
              <w:rPr>
                <w:rFonts w:hint="eastAsia" w:cs="Times New Roman"/>
                <w:color w:val="auto"/>
                <w:sz w:val="24"/>
                <w:lang w:val="en-US" w:eastAsia="zh-CN"/>
              </w:rPr>
              <w:t>以</w:t>
            </w:r>
            <w:r>
              <w:rPr>
                <w:rFonts w:hint="default" w:ascii="Times New Roman" w:hAnsi="Times New Roman" w:cs="Times New Roman"/>
                <w:color w:val="auto"/>
                <w:sz w:val="24"/>
              </w:rPr>
              <w:t>减小对周边敏感点的影响。</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4.2.4固体废物环境影响分析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钻井过程中产生的固体废物主要有废水基泥浆、一般钻井岩屑、废油、废油桶、废包装材料、废棉纱/手套等，还有井队员工产生的生活垃圾。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（1）一般固体废物</w:t>
            </w:r>
          </w:p>
          <w:p>
            <w:pPr>
              <w:keepNext w:val="0"/>
              <w:keepLines w:val="0"/>
              <w:suppressLineNumbers w:val="0"/>
              <w:spacing w:before="0" w:beforeAutospacing="0" w:after="0" w:afterAutospacing="0" w:line="360" w:lineRule="auto"/>
              <w:ind w:left="0" w:right="0" w:firstLine="480" w:firstLineChars="200"/>
              <w:rPr>
                <w:rFonts w:hint="eastAsia" w:ascii="Times New Roman" w:hAnsi="Times New Roman" w:eastAsia="宋体" w:cs="Times New Roman"/>
                <w:color w:val="auto"/>
                <w:sz w:val="24"/>
                <w:lang w:eastAsia="zh-CN"/>
              </w:rPr>
            </w:pPr>
            <w:r>
              <w:rPr>
                <w:rFonts w:hint="default" w:ascii="Times New Roman" w:hAnsi="Times New Roman" w:cs="Times New Roman"/>
                <w:color w:val="auto"/>
                <w:sz w:val="24"/>
              </w:rPr>
              <w:t>1）水基钻井固废（钻井岩屑和废弃泥浆</w:t>
            </w:r>
            <w:r>
              <w:rPr>
                <w:rFonts w:hint="eastAsia" w:cs="Times New Roman"/>
                <w:color w:val="auto"/>
                <w:sz w:val="24"/>
                <w:lang w:eastAsia="zh-CN"/>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为达到安全、快速钻井的目的，钻井泥浆常使用各类的钻井液添加剂。钻井过程中产生的废钻井泥浆主要来源于以下情况：</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①被更换的不适于钻井工程和地质要求的钻井泥浆。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②在钻井过程中，因部分性能不合格而被排放的钻井泥浆。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③完井时井筒内被清水替出的钻井泥浆。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④由钻井泥浆循环系统跑、冒、滴、漏而排出的钻井泥浆。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⑤钻屑与钻井液分离时，钻屑表面黏附的钻井液。</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本工程采用随钻不落地处理技术，根据建设单位统计经验数据，钻井过程中水基泥浆的回收利用率为95%，其余为废水基泥浆。根据建设单位提供资料本项目清水钻井液及水基钻井液用量为</w:t>
            </w:r>
            <w:r>
              <w:rPr>
                <w:rFonts w:hint="eastAsia" w:cs="Times New Roman"/>
                <w:color w:val="auto"/>
                <w:sz w:val="24"/>
                <w:lang w:val="en-US" w:eastAsia="zh-CN"/>
              </w:rPr>
              <w:t>2099</w:t>
            </w:r>
            <w:r>
              <w:rPr>
                <w:rFonts w:hint="default" w:ascii="Times New Roman" w:hAnsi="Times New Roman" w:cs="Times New Roman"/>
                <w:color w:val="auto"/>
                <w:sz w:val="24"/>
              </w:rPr>
              <w:t>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，则废弃水基泥浆产生量为</w:t>
            </w:r>
            <w:r>
              <w:rPr>
                <w:rFonts w:hint="eastAsia" w:cs="Times New Roman"/>
                <w:color w:val="auto"/>
                <w:sz w:val="24"/>
                <w:lang w:eastAsia="zh-CN"/>
              </w:rPr>
              <w:t>104.95</w:t>
            </w:r>
            <w:r>
              <w:rPr>
                <w:rFonts w:hint="default" w:ascii="Times New Roman" w:hAnsi="Times New Roman" w:cs="Times New Roman"/>
                <w:color w:val="auto"/>
                <w:sz w:val="24"/>
              </w:rPr>
              <w:t>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2）清水钻屑及水基钻井岩屑</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清水钻屑及水基钻井岩屑是在钻井过程中钻头切碎地层岩石而产生的碎屑，其产生量与井眼长度，平均井径及岩性有关。</w:t>
            </w:r>
          </w:p>
          <w:p>
            <w:pPr>
              <w:keepNext w:val="0"/>
              <w:keepLines w:val="0"/>
              <w:suppressLineNumbers w:val="0"/>
              <w:spacing w:before="0" w:beforeAutospacing="0" w:after="0" w:afterAutospacing="0" w:line="360" w:lineRule="auto"/>
              <w:ind w:left="0" w:right="0" w:firstLine="480" w:firstLineChars="200"/>
              <w:rPr>
                <w:rFonts w:hint="eastAsia" w:cs="Times New Roman"/>
                <w:color w:val="auto"/>
                <w:sz w:val="24"/>
                <w:lang w:val="en-US" w:eastAsia="zh-CN"/>
              </w:rPr>
            </w:pPr>
            <w:r>
              <w:rPr>
                <w:rFonts w:hint="default" w:ascii="Times New Roman" w:hAnsi="Times New Roman" w:cs="Times New Roman"/>
                <w:color w:val="auto"/>
                <w:sz w:val="24"/>
              </w:rPr>
              <w:t>水基钻井液钻井阶段从振动筛收集岩屑含水率高（水基钻井岩屑含水率约80%），施工单位将固体大颗粒岩屑进入泥浆不落地平台中水基岩屑收集罐自然沉淀后固相物质进入搅拌罐。根据建设单位统计经验数据，减量装置处理后清水钻屑及水基钻井岩屑产生量约为每米井身0.5t。拟建项目常规钻井清水钻井及水基泥浆钻井深度约为</w:t>
            </w:r>
            <w:r>
              <w:rPr>
                <w:rFonts w:hint="eastAsia" w:cs="Times New Roman"/>
                <w:color w:val="auto"/>
                <w:sz w:val="24"/>
                <w:lang w:eastAsia="zh-CN"/>
              </w:rPr>
              <w:t>6880.7</w:t>
            </w:r>
            <w:r>
              <w:rPr>
                <w:rFonts w:hint="default" w:ascii="Times New Roman" w:hAnsi="Times New Roman" w:cs="Times New Roman"/>
                <w:color w:val="auto"/>
                <w:sz w:val="24"/>
              </w:rPr>
              <w:t>m，产生量约</w:t>
            </w:r>
            <w:r>
              <w:rPr>
                <w:rFonts w:hint="eastAsia" w:cs="Times New Roman"/>
                <w:color w:val="auto"/>
                <w:sz w:val="24"/>
                <w:lang w:eastAsia="zh-CN"/>
              </w:rPr>
              <w:t>3440.4</w:t>
            </w:r>
            <w:r>
              <w:rPr>
                <w:rFonts w:hint="default" w:ascii="Times New Roman" w:hAnsi="Times New Roman" w:cs="Times New Roman"/>
                <w:color w:val="auto"/>
                <w:sz w:val="24"/>
              </w:rPr>
              <w:t>t。其性质为第Ⅱ类一般工业固体废物</w:t>
            </w:r>
            <w:r>
              <w:rPr>
                <w:rFonts w:hint="default" w:ascii="Times New Roman" w:hAnsi="Times New Roman" w:cs="Times New Roman"/>
                <w:color w:val="auto"/>
                <w:sz w:val="24"/>
                <w:lang w:eastAsia="zh-CN"/>
              </w:rPr>
              <w:t>，</w:t>
            </w:r>
            <w:r>
              <w:rPr>
                <w:rFonts w:hint="default" w:ascii="Times New Roman" w:hAnsi="Times New Roman" w:cs="Times New Roman"/>
                <w:color w:val="auto"/>
                <w:sz w:val="24"/>
                <w:lang w:val="en-US" w:eastAsia="zh-CN"/>
              </w:rPr>
              <w:t>其产生情况数据需全部录入四川省固废系统</w:t>
            </w:r>
            <w:r>
              <w:rPr>
                <w:rFonts w:hint="eastAsia" w:cs="Times New Roman"/>
                <w:color w:val="auto"/>
                <w:sz w:val="24"/>
                <w:lang w:val="en-US" w:eastAsia="zh-CN"/>
              </w:rPr>
              <w:t>。</w:t>
            </w:r>
          </w:p>
          <w:p>
            <w:pPr>
              <w:keepNext w:val="0"/>
              <w:keepLines w:val="0"/>
              <w:suppressLineNumbers w:val="0"/>
              <w:spacing w:before="0" w:beforeAutospacing="0" w:after="0" w:afterAutospacing="0" w:line="360" w:lineRule="auto"/>
              <w:ind w:left="0" w:right="0" w:firstLine="480" w:firstLineChars="200"/>
              <w:rPr>
                <w:rFonts w:hint="default" w:cs="Times New Roman"/>
                <w:color w:val="auto"/>
                <w:sz w:val="24"/>
                <w:lang w:val="en-US" w:eastAsia="zh-CN"/>
              </w:rPr>
            </w:pPr>
            <w:r>
              <w:rPr>
                <w:rFonts w:hint="default" w:cs="Times New Roman"/>
                <w:color w:val="auto"/>
                <w:sz w:val="24"/>
                <w:lang w:val="en-US" w:eastAsia="zh-CN"/>
              </w:rPr>
              <w:t>水基钻井固废（钻井岩屑和废弃泥浆）在钻井现场经泥浆不落地工艺经脱稳-板框压滤进行固液分离后产生的固态钻井固废，主要成分为废钻井泥浆、岩屑、无机盐、普通有机聚合物，本项目钻井泥浆为水基钻井泥浆，不添加重金属等，不具有危险特性，依据《一般工业固体废物贮存和填埋污染控制标准》（GB18599-2020）的相关规定，本项目水基岩屑和泥浆属于第Ⅱ类一般工业固体废物，完井后及时就近交给依法取得生态环境部门关于利用和处置相关工业固体废物项目环评批复、具有处理处置相应固体废物能力并配套建设有废气、废水、固废等污染物治理设施的单位进行资源化利用。同时对钻井固废暂存区进行防渗，设置雨棚及排水沟。通过以上措施，水基钻井固废全部综合利用，完钻后现场无遗留。</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3）废包装材料</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钻井期间产生的废包装材料主要为各原辅材料的包装袋/箱，为一般工业固废，其产生量约1.0t，集中收集后定期运至就近的废品回收站进行处理。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（2）危险废物</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1）废油</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钻井过程中废油的主要来源为机械（柴油发电机、泥浆泵等）润滑废油；本工程共产生废油约0.5t。废油属于危险废物（HW08）。</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2）废油桶</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钻井设备维护保养过程产生的废油桶，约0.1t。属于危险废物（HW49）。</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3）废棉纱/手套</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钻井过程中钻机等设备维护保养会产生废棉纱/手套，类比区域内已完钻的探井，本工程废棉纱/手套产生量约0.1t。属于危险废物（HW49）。</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eastAsia="宋体" w:cs="Times New Roman"/>
                <w:color w:val="auto"/>
                <w:sz w:val="24"/>
                <w:lang w:val="en-US" w:eastAsia="zh-CN"/>
              </w:rPr>
            </w:pPr>
            <w:r>
              <w:rPr>
                <w:rFonts w:hint="eastAsia" w:cs="Times New Roman"/>
                <w:color w:val="auto"/>
                <w:sz w:val="24"/>
                <w:lang w:val="en-US" w:eastAsia="zh-CN"/>
              </w:rPr>
              <w:t>4）环境监测池污泥</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eastAsia="宋体" w:cs="Times New Roman"/>
                <w:color w:val="auto"/>
                <w:sz w:val="24"/>
                <w:lang w:val="en-US" w:eastAsia="zh-CN"/>
              </w:rPr>
            </w:pPr>
            <w:r>
              <w:rPr>
                <w:rFonts w:hint="eastAsia" w:cs="Times New Roman"/>
                <w:color w:val="auto"/>
                <w:sz w:val="24"/>
                <w:lang w:val="en-US" w:eastAsia="zh-CN"/>
              </w:rPr>
              <w:t>钻井过程中若含油废水经环境监测池处理后将会有部分污泥产生，污泥产生量约为0.1t，属于危险废物（HW49）。</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eastAsia="宋体" w:cs="Times New Roman"/>
                <w:color w:val="auto"/>
                <w:sz w:val="24"/>
                <w:lang w:val="en-US" w:eastAsia="zh-CN"/>
              </w:rPr>
            </w:pPr>
            <w:r>
              <w:rPr>
                <w:rFonts w:hint="eastAsia" w:cs="Times New Roman"/>
                <w:color w:val="auto"/>
                <w:sz w:val="24"/>
                <w:lang w:eastAsia="zh-CN"/>
              </w:rPr>
              <w:t>（</w:t>
            </w:r>
            <w:r>
              <w:rPr>
                <w:rFonts w:hint="eastAsia" w:cs="Times New Roman"/>
                <w:color w:val="auto"/>
                <w:sz w:val="24"/>
                <w:lang w:val="en-US" w:eastAsia="zh-CN"/>
              </w:rPr>
              <w:t>3</w:t>
            </w:r>
            <w:r>
              <w:rPr>
                <w:rFonts w:hint="eastAsia" w:cs="Times New Roman"/>
                <w:color w:val="auto"/>
                <w:sz w:val="24"/>
                <w:lang w:eastAsia="zh-CN"/>
              </w:rPr>
              <w:t>）</w:t>
            </w:r>
            <w:r>
              <w:rPr>
                <w:rFonts w:hint="eastAsia" w:cs="Times New Roman"/>
                <w:color w:val="auto"/>
                <w:sz w:val="24"/>
                <w:lang w:val="en-US" w:eastAsia="zh-CN"/>
              </w:rPr>
              <w:t>油基岩屑、油基泥浆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lang w:val="en-US" w:eastAsia="zh-CN"/>
              </w:rPr>
              <w:t>1</w:t>
            </w:r>
            <w:r>
              <w:rPr>
                <w:rFonts w:hint="default" w:ascii="Times New Roman" w:hAnsi="Times New Roman" w:cs="Times New Roman"/>
                <w:color w:val="auto"/>
                <w:sz w:val="24"/>
              </w:rPr>
              <w:t>）油基岩屑</w:t>
            </w:r>
          </w:p>
          <w:p>
            <w:pPr>
              <w:keepNext w:val="0"/>
              <w:keepLines w:val="0"/>
              <w:suppressLineNumbers w:val="0"/>
              <w:spacing w:before="0" w:beforeAutospacing="0" w:after="0" w:afterAutospacing="0" w:line="360" w:lineRule="auto"/>
              <w:ind w:left="0" w:right="0" w:firstLine="480" w:firstLineChars="200"/>
              <w:rPr>
                <w:rFonts w:hint="eastAsia" w:cs="Times New Roman"/>
                <w:color w:val="auto"/>
                <w:sz w:val="24"/>
                <w:lang w:eastAsia="zh-CN"/>
              </w:rPr>
            </w:pPr>
            <w:r>
              <w:rPr>
                <w:rFonts w:hint="default" w:ascii="Times New Roman" w:hAnsi="Times New Roman" w:cs="Times New Roman"/>
                <w:color w:val="auto"/>
                <w:sz w:val="24"/>
              </w:rPr>
              <w:t>若</w:t>
            </w:r>
            <w:r>
              <w:rPr>
                <w:rFonts w:hint="eastAsia" w:cs="Times New Roman"/>
                <w:color w:val="auto"/>
                <w:sz w:val="24"/>
                <w:lang w:val="en-US" w:eastAsia="zh-CN"/>
              </w:rPr>
              <w:t>三开常规</w:t>
            </w:r>
            <w:r>
              <w:rPr>
                <w:rFonts w:hint="default" w:ascii="Times New Roman" w:hAnsi="Times New Roman" w:cs="Times New Roman"/>
                <w:color w:val="auto"/>
                <w:sz w:val="24"/>
              </w:rPr>
              <w:t>钻井液不能满足三开井段安全钻井要求，则更换为白油基钻井液体系。根据</w:t>
            </w:r>
            <w:r>
              <w:rPr>
                <w:rFonts w:hint="default" w:ascii="Times New Roman" w:hAnsi="Times New Roman" w:cs="Times New Roman"/>
                <w:color w:val="auto"/>
                <w:sz w:val="24"/>
                <w:lang w:val="en-US" w:eastAsia="zh-CN"/>
              </w:rPr>
              <w:t>建设单位</w:t>
            </w:r>
            <w:r>
              <w:rPr>
                <w:rFonts w:hint="default" w:ascii="Times New Roman" w:hAnsi="Times New Roman" w:cs="Times New Roman"/>
                <w:color w:val="auto"/>
                <w:sz w:val="24"/>
              </w:rPr>
              <w:t>统计经验数据，减量装置处理后</w:t>
            </w:r>
            <w:r>
              <w:rPr>
                <w:rFonts w:hint="eastAsia" w:cs="Times New Roman"/>
                <w:color w:val="auto"/>
                <w:sz w:val="24"/>
                <w:lang w:val="en-US" w:eastAsia="zh-CN"/>
              </w:rPr>
              <w:t>油基</w:t>
            </w:r>
            <w:r>
              <w:rPr>
                <w:rFonts w:hint="default" w:ascii="Times New Roman" w:hAnsi="Times New Roman" w:cs="Times New Roman"/>
                <w:color w:val="auto"/>
                <w:sz w:val="24"/>
              </w:rPr>
              <w:t>岩屑产生量约为每米井身0.</w:t>
            </w:r>
            <w:r>
              <w:rPr>
                <w:rFonts w:hint="default" w:ascii="Times New Roman" w:hAnsi="Times New Roman" w:cs="Times New Roman"/>
                <w:color w:val="auto"/>
                <w:sz w:val="24"/>
                <w:lang w:val="en-US" w:eastAsia="zh-CN"/>
              </w:rPr>
              <w:t>6</w:t>
            </w:r>
            <w:r>
              <w:rPr>
                <w:rFonts w:hint="default" w:ascii="Times New Roman" w:hAnsi="Times New Roman" w:cs="Times New Roman"/>
                <w:color w:val="auto"/>
                <w:sz w:val="24"/>
              </w:rPr>
              <w:t>t。拟建项目</w:t>
            </w:r>
            <w:r>
              <w:rPr>
                <w:rFonts w:hint="eastAsia" w:cs="Times New Roman"/>
                <w:color w:val="auto"/>
                <w:sz w:val="24"/>
                <w:lang w:val="en-US" w:eastAsia="zh-CN"/>
              </w:rPr>
              <w:t>三开</w:t>
            </w:r>
            <w:r>
              <w:rPr>
                <w:rFonts w:hint="default" w:ascii="Times New Roman" w:hAnsi="Times New Roman" w:cs="Times New Roman"/>
                <w:color w:val="auto"/>
                <w:sz w:val="24"/>
              </w:rPr>
              <w:t>钻井</w:t>
            </w:r>
            <w:r>
              <w:rPr>
                <w:rFonts w:hint="default" w:ascii="Times New Roman" w:hAnsi="Times New Roman" w:cs="Times New Roman"/>
                <w:color w:val="auto"/>
                <w:sz w:val="24"/>
                <w:lang w:val="en-US" w:eastAsia="zh-CN"/>
              </w:rPr>
              <w:t>长</w:t>
            </w:r>
            <w:r>
              <w:rPr>
                <w:rFonts w:hint="default" w:ascii="Times New Roman" w:hAnsi="Times New Roman" w:cs="Times New Roman"/>
                <w:color w:val="auto"/>
                <w:sz w:val="24"/>
              </w:rPr>
              <w:t>度约为</w:t>
            </w:r>
            <w:r>
              <w:rPr>
                <w:rFonts w:hint="eastAsia" w:cs="Times New Roman"/>
                <w:color w:val="auto"/>
                <w:sz w:val="24"/>
                <w:lang w:val="en-US" w:eastAsia="zh-CN"/>
              </w:rPr>
              <w:t>1134</w:t>
            </w:r>
            <w:r>
              <w:rPr>
                <w:rFonts w:hint="default" w:ascii="Times New Roman" w:hAnsi="Times New Roman" w:cs="Times New Roman"/>
                <w:color w:val="auto"/>
                <w:sz w:val="24"/>
              </w:rPr>
              <w:t>m，</w:t>
            </w:r>
            <w:r>
              <w:rPr>
                <w:rFonts w:hint="default" w:ascii="Times New Roman" w:hAnsi="Times New Roman" w:cs="Times New Roman"/>
                <w:color w:val="auto"/>
                <w:sz w:val="24"/>
                <w:lang w:val="en-US" w:eastAsia="zh-CN"/>
              </w:rPr>
              <w:t>因此油基岩屑</w:t>
            </w:r>
            <w:r>
              <w:rPr>
                <w:rFonts w:hint="default" w:ascii="Times New Roman" w:hAnsi="Times New Roman" w:cs="Times New Roman"/>
                <w:color w:val="auto"/>
                <w:sz w:val="24"/>
              </w:rPr>
              <w:t>产生量约</w:t>
            </w:r>
            <w:r>
              <w:rPr>
                <w:rFonts w:hint="eastAsia" w:cs="Times New Roman"/>
                <w:color w:val="auto"/>
                <w:sz w:val="24"/>
                <w:lang w:val="en-US" w:eastAsia="zh-CN"/>
              </w:rPr>
              <w:t>680.4</w:t>
            </w:r>
            <w:r>
              <w:rPr>
                <w:rFonts w:hint="default" w:ascii="Times New Roman" w:hAnsi="Times New Roman" w:cs="Times New Roman"/>
                <w:color w:val="auto"/>
                <w:sz w:val="24"/>
              </w:rPr>
              <w:t>t。本项目采用清洁化操作平台，并采取泥浆不落地措施，水基岩</w:t>
            </w:r>
            <w:r>
              <w:rPr>
                <w:rFonts w:hint="eastAsia" w:cs="Times New Roman"/>
                <w:color w:val="auto"/>
                <w:sz w:val="24"/>
                <w:lang w:eastAsia="zh-CN"/>
              </w:rPr>
              <w:t>屑按</w:t>
            </w:r>
            <w:r>
              <w:rPr>
                <w:rFonts w:hint="default" w:ascii="Times New Roman" w:hAnsi="Times New Roman" w:cs="Times New Roman"/>
                <w:color w:val="auto"/>
                <w:sz w:val="24"/>
              </w:rPr>
              <w:t>照《达州市生态环境局办公室关于进一步加强固体废物污染防治工作的通知》（达市环办发〔2021〕24号）要求，就近交给依法取得生态环境部门关于利用和处置相关工业固体废物项目环评批复、具有处理处置相应固体废物能力并配套建设有废气、废水、固废等污染物治理设施的单位进行资源化利用；废油基岩屑袋装后暂存于危废</w:t>
            </w:r>
            <w:r>
              <w:rPr>
                <w:rFonts w:hint="eastAsia" w:cs="Times New Roman"/>
                <w:color w:val="auto"/>
                <w:sz w:val="24"/>
                <w:lang w:val="en-US" w:eastAsia="zh-CN"/>
              </w:rPr>
              <w:t>贮存点</w:t>
            </w:r>
            <w:r>
              <w:rPr>
                <w:rFonts w:hint="default" w:ascii="Times New Roman" w:hAnsi="Times New Roman" w:cs="Times New Roman"/>
                <w:color w:val="auto"/>
                <w:sz w:val="24"/>
              </w:rPr>
              <w:t>，</w:t>
            </w:r>
            <w:r>
              <w:rPr>
                <w:rFonts w:hint="eastAsia" w:cs="Times New Roman"/>
                <w:color w:val="auto"/>
                <w:sz w:val="24"/>
                <w:lang w:val="en-US" w:eastAsia="zh-CN"/>
              </w:rPr>
              <w:t>贮存点</w:t>
            </w:r>
            <w:r>
              <w:rPr>
                <w:rFonts w:hint="default" w:ascii="Times New Roman" w:hAnsi="Times New Roman" w:cs="Times New Roman"/>
                <w:color w:val="auto"/>
                <w:sz w:val="24"/>
              </w:rPr>
              <w:t>地面采取必要的防护措施（防风、防雨、防晒、防渗、防漏、防腐）及其他环境污染防护措施，委托有资质单位处理，委托有资质单位处理</w:t>
            </w:r>
            <w:r>
              <w:rPr>
                <w:rFonts w:hint="eastAsia" w:cs="Times New Roman"/>
                <w:color w:val="auto"/>
                <w:sz w:val="24"/>
                <w:lang w:eastAsia="zh-CN"/>
              </w:rPr>
              <w:t>。</w:t>
            </w:r>
          </w:p>
          <w:p>
            <w:pPr>
              <w:keepNext w:val="0"/>
              <w:keepLines w:val="0"/>
              <w:suppressLineNumbers w:val="0"/>
              <w:spacing w:before="0" w:beforeAutospacing="0" w:after="0" w:afterAutospacing="0" w:line="360" w:lineRule="auto"/>
              <w:ind w:left="0" w:right="0" w:firstLine="480" w:firstLineChars="200"/>
              <w:rPr>
                <w:rFonts w:hint="default" w:cs="Times New Roman"/>
                <w:color w:val="auto"/>
                <w:sz w:val="24"/>
                <w:lang w:eastAsia="zh-CN"/>
              </w:rPr>
            </w:pPr>
            <w:r>
              <w:rPr>
                <w:rFonts w:hint="default" w:cs="Times New Roman"/>
                <w:color w:val="auto"/>
                <w:sz w:val="24"/>
                <w:lang w:val="en-US" w:eastAsia="zh-CN"/>
              </w:rPr>
              <w:t>2</w:t>
            </w:r>
            <w:r>
              <w:rPr>
                <w:rFonts w:hint="default" w:cs="Times New Roman"/>
                <w:color w:val="auto"/>
                <w:sz w:val="24"/>
                <w:lang w:eastAsia="zh-CN"/>
              </w:rPr>
              <w:t>）油基泥浆</w:t>
            </w:r>
          </w:p>
          <w:p>
            <w:pPr>
              <w:keepNext w:val="0"/>
              <w:keepLines w:val="0"/>
              <w:suppressLineNumbers w:val="0"/>
              <w:spacing w:before="0" w:beforeAutospacing="0" w:after="0" w:afterAutospacing="0" w:line="360" w:lineRule="auto"/>
              <w:ind w:left="0" w:right="0" w:firstLine="480" w:firstLineChars="200"/>
              <w:rPr>
                <w:rFonts w:hint="default" w:cs="Times New Roman"/>
                <w:color w:val="auto"/>
                <w:sz w:val="24"/>
                <w:lang w:eastAsia="zh-CN"/>
              </w:rPr>
            </w:pPr>
            <w:r>
              <w:rPr>
                <w:rFonts w:hint="default" w:cs="Times New Roman"/>
                <w:color w:val="auto"/>
                <w:sz w:val="24"/>
                <w:lang w:eastAsia="zh-CN"/>
              </w:rPr>
              <w:t>本项目</w:t>
            </w:r>
            <w:r>
              <w:rPr>
                <w:rFonts w:hint="eastAsia" w:cs="Times New Roman"/>
                <w:color w:val="auto"/>
                <w:sz w:val="24"/>
                <w:lang w:val="en-US" w:eastAsia="zh-CN"/>
              </w:rPr>
              <w:t>三开阶段采用常规钻井液钻井，若不能满足安全要求时更换为</w:t>
            </w:r>
            <w:r>
              <w:rPr>
                <w:rFonts w:hint="default" w:cs="Times New Roman"/>
                <w:color w:val="auto"/>
                <w:sz w:val="24"/>
                <w:lang w:eastAsia="zh-CN"/>
              </w:rPr>
              <w:t>白油基钻井液体系。根据钻井液预计消耗情况三开钻井液需要量为4</w:t>
            </w:r>
            <w:r>
              <w:rPr>
                <w:rFonts w:hint="eastAsia" w:cs="Times New Roman"/>
                <w:color w:val="auto"/>
                <w:sz w:val="24"/>
                <w:lang w:val="en-US" w:eastAsia="zh-CN"/>
              </w:rPr>
              <w:t>2</w:t>
            </w:r>
            <w:r>
              <w:rPr>
                <w:rFonts w:hint="default" w:cs="Times New Roman"/>
                <w:color w:val="auto"/>
                <w:sz w:val="24"/>
                <w:lang w:eastAsia="zh-CN"/>
              </w:rPr>
              <w:t>2m</w:t>
            </w:r>
            <w:r>
              <w:rPr>
                <w:rFonts w:hint="default" w:cs="Times New Roman"/>
                <w:color w:val="auto"/>
                <w:sz w:val="24"/>
                <w:vertAlign w:val="superscript"/>
                <w:lang w:eastAsia="zh-CN"/>
              </w:rPr>
              <w:t>3</w:t>
            </w:r>
            <w:r>
              <w:rPr>
                <w:rFonts w:hint="default" w:cs="Times New Roman"/>
                <w:color w:val="auto"/>
                <w:sz w:val="24"/>
                <w:lang w:eastAsia="zh-CN"/>
              </w:rPr>
              <w:t>，根据建设单位提供资料，在区域内相同钻井的白油基钻井液回收利用率约为95%，因此油基泥浆产生量约为</w:t>
            </w:r>
            <w:r>
              <w:rPr>
                <w:rFonts w:hint="eastAsia" w:cs="Times New Roman"/>
                <w:color w:val="auto"/>
                <w:sz w:val="24"/>
                <w:lang w:val="en-US" w:eastAsia="zh-CN"/>
              </w:rPr>
              <w:t>21.1</w:t>
            </w:r>
            <w:r>
              <w:rPr>
                <w:rFonts w:hint="default" w:cs="Times New Roman"/>
                <w:color w:val="auto"/>
                <w:sz w:val="24"/>
                <w:lang w:eastAsia="zh-CN"/>
              </w:rPr>
              <w:t>m</w:t>
            </w:r>
            <w:r>
              <w:rPr>
                <w:rFonts w:hint="default" w:cs="Times New Roman"/>
                <w:color w:val="auto"/>
                <w:sz w:val="24"/>
                <w:vertAlign w:val="superscript"/>
                <w:lang w:eastAsia="zh-CN"/>
              </w:rPr>
              <w:t>3</w:t>
            </w:r>
            <w:r>
              <w:rPr>
                <w:rFonts w:hint="default" w:cs="Times New Roman"/>
                <w:color w:val="auto"/>
                <w:sz w:val="24"/>
                <w:lang w:eastAsia="zh-CN"/>
              </w:rPr>
              <w:t>。本项目采用</w:t>
            </w:r>
            <w:r>
              <w:rPr>
                <w:rFonts w:hint="default" w:cs="Times New Roman"/>
                <w:color w:val="auto"/>
                <w:sz w:val="24"/>
                <w:lang w:val="en-US" w:eastAsia="zh-CN"/>
              </w:rPr>
              <w:t>泥浆不落地平台</w:t>
            </w:r>
            <w:r>
              <w:rPr>
                <w:rFonts w:hint="default" w:cs="Times New Roman"/>
                <w:color w:val="auto"/>
                <w:sz w:val="24"/>
                <w:lang w:eastAsia="zh-CN"/>
              </w:rPr>
              <w:t>，并采取泥浆不落地措施，水基泥浆按照《达州市生态环境局办公室关于进一步加强固体废物污染防治工作的通知》（达市环办发〔2021〕24号）要求，就近交给依法取得生态环境部门关于利用和处置相关工业固体废物项目环评批复、具有处理处置相应固体废物能力并配套建设有废气、废水、固废等污染物治理设施的单位进行资源化利用；废油基泥浆</w:t>
            </w:r>
            <w:r>
              <w:rPr>
                <w:rFonts w:hint="default" w:cs="Times New Roman"/>
                <w:color w:val="auto"/>
                <w:sz w:val="24"/>
                <w:lang w:val="en-US" w:eastAsia="zh-CN"/>
              </w:rPr>
              <w:t>经钢罐收集</w:t>
            </w:r>
            <w:r>
              <w:rPr>
                <w:rFonts w:hint="default" w:cs="Times New Roman"/>
                <w:color w:val="auto"/>
                <w:sz w:val="24"/>
                <w:lang w:eastAsia="zh-CN"/>
              </w:rPr>
              <w:t>后暂存于危废贮存点，贮存点地面采取必要的防护措施（防风、防雨、防晒、防渗、防漏、防腐）及其他环境污染防护措施，委托有资质单位处理。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color w:val="auto"/>
                <w:sz w:val="24"/>
              </w:rPr>
              <w:t>（</w:t>
            </w:r>
            <w:r>
              <w:rPr>
                <w:rFonts w:hint="eastAsia" w:cs="Times New Roman"/>
                <w:color w:val="auto"/>
                <w:sz w:val="24"/>
                <w:lang w:val="en-US" w:eastAsia="zh-CN"/>
              </w:rPr>
              <w:t>4</w:t>
            </w:r>
            <w:r>
              <w:rPr>
                <w:rFonts w:hint="default" w:ascii="Times New Roman" w:hAnsi="Times New Roman" w:cs="Times New Roman"/>
                <w:color w:val="auto"/>
                <w:sz w:val="24"/>
              </w:rPr>
              <w:t>）</w:t>
            </w:r>
            <w:r>
              <w:rPr>
                <w:rFonts w:hint="default" w:ascii="Times New Roman" w:hAnsi="Times New Roman" w:cs="Times New Roman"/>
                <w:bCs/>
                <w:color w:val="auto"/>
                <w:sz w:val="24"/>
              </w:rPr>
              <w:t>生活垃圾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钻井期，生活垃圾按0.5kg/人•d计算，钻井人员40人，产生量约20kg/d</w:t>
            </w:r>
            <w:r>
              <w:rPr>
                <w:rFonts w:hint="eastAsia" w:cs="Times New Roman"/>
                <w:color w:val="auto"/>
                <w:sz w:val="24"/>
                <w:lang w:eastAsia="zh-CN"/>
              </w:rPr>
              <w:t>，</w:t>
            </w:r>
            <w:r>
              <w:rPr>
                <w:rFonts w:hint="eastAsia" w:cs="Times New Roman"/>
                <w:color w:val="auto"/>
                <w:sz w:val="24"/>
                <w:lang w:val="en-US" w:eastAsia="zh-CN"/>
              </w:rPr>
              <w:t>钻井施工约94天，因此</w:t>
            </w:r>
            <w:r>
              <w:rPr>
                <w:rFonts w:hint="default" w:ascii="Times New Roman" w:hAnsi="Times New Roman" w:cs="Times New Roman"/>
                <w:color w:val="auto"/>
                <w:sz w:val="24"/>
              </w:rPr>
              <w:t>共</w:t>
            </w:r>
            <w:r>
              <w:rPr>
                <w:rFonts w:hint="eastAsia" w:cs="Times New Roman"/>
                <w:color w:val="auto"/>
                <w:sz w:val="24"/>
                <w:lang w:val="en-US" w:eastAsia="zh-CN"/>
              </w:rPr>
              <w:t>产生</w:t>
            </w:r>
            <w:r>
              <w:rPr>
                <w:rFonts w:hint="eastAsia" w:cs="Times New Roman"/>
                <w:color w:val="auto"/>
                <w:sz w:val="24"/>
                <w:lang w:eastAsia="zh-CN"/>
              </w:rPr>
              <w:t>1.88</w:t>
            </w:r>
            <w:r>
              <w:rPr>
                <w:rFonts w:hint="default" w:ascii="Times New Roman" w:hAnsi="Times New Roman" w:cs="Times New Roman"/>
                <w:color w:val="auto"/>
                <w:sz w:val="24"/>
              </w:rPr>
              <w:t>t。均存放在井场区域和生活区垃圾箱内，定期外运当地环卫部门集中收集处置。</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eastAsia="宋体" w:cs="Times New Roman"/>
                <w:color w:val="auto"/>
                <w:sz w:val="24"/>
                <w:lang w:val="en-US" w:eastAsia="zh-CN"/>
              </w:rPr>
            </w:pPr>
            <w:r>
              <w:rPr>
                <w:rFonts w:hint="eastAsia" w:cs="Times New Roman"/>
                <w:color w:val="auto"/>
                <w:sz w:val="24"/>
                <w:lang w:eastAsia="zh-CN"/>
              </w:rPr>
              <w:t>（</w:t>
            </w:r>
            <w:r>
              <w:rPr>
                <w:rFonts w:hint="eastAsia" w:cs="Times New Roman"/>
                <w:color w:val="auto"/>
                <w:sz w:val="24"/>
                <w:lang w:val="en-US" w:eastAsia="zh-CN"/>
              </w:rPr>
              <w:t>5</w:t>
            </w:r>
            <w:r>
              <w:rPr>
                <w:rFonts w:hint="eastAsia" w:cs="Times New Roman"/>
                <w:color w:val="auto"/>
                <w:sz w:val="24"/>
                <w:lang w:eastAsia="zh-CN"/>
              </w:rPr>
              <w:t>）</w:t>
            </w:r>
            <w:r>
              <w:rPr>
                <w:rFonts w:hint="eastAsia" w:cs="Times New Roman"/>
                <w:color w:val="auto"/>
                <w:sz w:val="24"/>
                <w:lang w:val="en-US" w:eastAsia="zh-CN"/>
              </w:rPr>
              <w:t>生活区隔油池污泥</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eastAsia="宋体" w:cs="Times New Roman"/>
                <w:color w:val="auto"/>
                <w:sz w:val="24"/>
                <w:lang w:val="en-US" w:eastAsia="zh-CN"/>
              </w:rPr>
            </w:pPr>
            <w:r>
              <w:rPr>
                <w:rFonts w:hint="eastAsia" w:cs="Times New Roman"/>
                <w:color w:val="auto"/>
                <w:sz w:val="24"/>
                <w:lang w:val="en-US" w:eastAsia="zh-CN"/>
              </w:rPr>
              <w:t>厨房废水经隔油池处理后将形成污泥，生活区隔油池污泥产生量约为0.2t，定期外运当地环卫部门集中收集处置。</w:t>
            </w:r>
          </w:p>
          <w:p>
            <w:pPr>
              <w:pStyle w:val="19"/>
              <w:keepNext w:val="0"/>
              <w:keepLines w:val="0"/>
              <w:suppressLineNumbers w:val="0"/>
              <w:tabs>
                <w:tab w:val="left" w:pos="0"/>
                <w:tab w:val="left" w:pos="833"/>
              </w:tabs>
              <w:spacing w:before="0" w:beforeAutospacing="0" w:after="0" w:afterAutospacing="0" w:line="360" w:lineRule="auto"/>
              <w:ind w:left="840" w:right="0"/>
              <w:jc w:val="center"/>
              <w:rPr>
                <w:rFonts w:hint="default" w:ascii="Times New Roman" w:hAnsi="Times New Roman" w:cs="Times New Roman"/>
                <w:b/>
                <w:color w:val="auto"/>
                <w:sz w:val="24"/>
                <w:szCs w:val="24"/>
              </w:rPr>
            </w:pPr>
            <w:r>
              <w:rPr>
                <w:rFonts w:hint="default" w:ascii="Times New Roman" w:hAnsi="Times New Roman" w:cs="Times New Roman"/>
                <w:b/>
                <w:color w:val="auto"/>
                <w:sz w:val="24"/>
                <w:szCs w:val="24"/>
              </w:rPr>
              <w:t>表4-10 危险废物统计表</w:t>
            </w:r>
          </w:p>
          <w:tbl>
            <w:tblPr>
              <w:tblStyle w:val="44"/>
              <w:tblW w:w="500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15" w:type="dxa"/>
                <w:left w:w="15" w:type="dxa"/>
                <w:bottom w:w="15" w:type="dxa"/>
                <w:right w:w="15" w:type="dxa"/>
              </w:tblCellMar>
            </w:tblPr>
            <w:tblGrid>
              <w:gridCol w:w="312"/>
              <w:gridCol w:w="992"/>
              <w:gridCol w:w="544"/>
              <w:gridCol w:w="645"/>
              <w:gridCol w:w="653"/>
              <w:gridCol w:w="645"/>
              <w:gridCol w:w="645"/>
              <w:gridCol w:w="406"/>
              <w:gridCol w:w="653"/>
              <w:gridCol w:w="518"/>
              <w:gridCol w:w="510"/>
              <w:gridCol w:w="552"/>
              <w:gridCol w:w="107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15" w:type="dxa"/>
                  <w:left w:w="15" w:type="dxa"/>
                  <w:bottom w:w="15" w:type="dxa"/>
                  <w:right w:w="15" w:type="dxa"/>
                </w:tblCellMar>
              </w:tblPrEx>
              <w:trPr>
                <w:trHeight w:val="369" w:hRule="atLeast"/>
                <w:tblHeader/>
                <w:jc w:val="center"/>
              </w:trPr>
              <w:tc>
                <w:tcPr>
                  <w:tcW w:w="191" w:type="pct"/>
                  <w:tcBorders>
                    <w:left w:val="single" w:color="auto" w:sz="0" w:space="0"/>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序号</w:t>
                  </w:r>
                </w:p>
              </w:tc>
              <w:tc>
                <w:tcPr>
                  <w:tcW w:w="608" w:type="pct"/>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废物名称</w:t>
                  </w:r>
                </w:p>
              </w:tc>
              <w:tc>
                <w:tcPr>
                  <w:tcW w:w="333" w:type="pct"/>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废物类别</w:t>
                  </w:r>
                </w:p>
              </w:tc>
              <w:tc>
                <w:tcPr>
                  <w:tcW w:w="395" w:type="pct"/>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废物代码</w:t>
                  </w:r>
                </w:p>
              </w:tc>
              <w:tc>
                <w:tcPr>
                  <w:tcW w:w="400" w:type="pct"/>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性质判断</w:t>
                  </w:r>
                </w:p>
              </w:tc>
              <w:tc>
                <w:tcPr>
                  <w:tcW w:w="395" w:type="pct"/>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产生量</w:t>
                  </w:r>
                </w:p>
              </w:tc>
              <w:tc>
                <w:tcPr>
                  <w:tcW w:w="395" w:type="pct"/>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产生工序及装置</w:t>
                  </w:r>
                </w:p>
              </w:tc>
              <w:tc>
                <w:tcPr>
                  <w:tcW w:w="249" w:type="pct"/>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形态</w:t>
                  </w:r>
                </w:p>
              </w:tc>
              <w:tc>
                <w:tcPr>
                  <w:tcW w:w="400" w:type="pct"/>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主要成分</w:t>
                  </w:r>
                </w:p>
              </w:tc>
              <w:tc>
                <w:tcPr>
                  <w:tcW w:w="317" w:type="pct"/>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有害成分</w:t>
                  </w:r>
                </w:p>
              </w:tc>
              <w:tc>
                <w:tcPr>
                  <w:tcW w:w="312" w:type="pct"/>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产废周期</w:t>
                  </w:r>
                </w:p>
              </w:tc>
              <w:tc>
                <w:tcPr>
                  <w:tcW w:w="338" w:type="pct"/>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危险特性</w:t>
                  </w:r>
                </w:p>
              </w:tc>
              <w:tc>
                <w:tcPr>
                  <w:tcW w:w="657" w:type="pct"/>
                  <w:tcBorders>
                    <w:right w:val="single" w:color="auto" w:sz="12" w:space="0"/>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污染防治措施</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15" w:type="dxa"/>
                  <w:left w:w="15" w:type="dxa"/>
                  <w:bottom w:w="15" w:type="dxa"/>
                  <w:right w:w="15" w:type="dxa"/>
                </w:tblCellMar>
              </w:tblPrEx>
              <w:trPr>
                <w:trHeight w:val="369" w:hRule="atLeast"/>
                <w:jc w:val="center"/>
              </w:trPr>
              <w:tc>
                <w:tcPr>
                  <w:tcW w:w="191" w:type="pct"/>
                  <w:tcBorders>
                    <w:lef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w:t>
                  </w:r>
                </w:p>
              </w:tc>
              <w:tc>
                <w:tcPr>
                  <w:tcW w:w="608"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废油</w:t>
                  </w:r>
                </w:p>
              </w:tc>
              <w:tc>
                <w:tcPr>
                  <w:tcW w:w="333"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HW08</w:t>
                  </w:r>
                </w:p>
              </w:tc>
              <w:tc>
                <w:tcPr>
                  <w:tcW w:w="395"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900-249-08</w:t>
                  </w:r>
                </w:p>
              </w:tc>
              <w:tc>
                <w:tcPr>
                  <w:tcW w:w="400"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危险废物</w:t>
                  </w:r>
                </w:p>
              </w:tc>
              <w:tc>
                <w:tcPr>
                  <w:tcW w:w="395"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0.5t</w:t>
                  </w:r>
                </w:p>
              </w:tc>
              <w:tc>
                <w:tcPr>
                  <w:tcW w:w="395"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钻井机具</w:t>
                  </w:r>
                </w:p>
              </w:tc>
              <w:tc>
                <w:tcPr>
                  <w:tcW w:w="249"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液态</w:t>
                  </w:r>
                </w:p>
              </w:tc>
              <w:tc>
                <w:tcPr>
                  <w:tcW w:w="400" w:type="pct"/>
                  <w:vAlign w:val="center"/>
                </w:tcPr>
                <w:p>
                  <w:pPr>
                    <w:pStyle w:val="401"/>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szCs w:val="21"/>
                      <w:lang w:val="en-US" w:eastAsia="zh-CN"/>
                    </w:rPr>
                  </w:pPr>
                  <w:r>
                    <w:rPr>
                      <w:rFonts w:hint="default" w:ascii="Times New Roman" w:hAnsi="Times New Roman" w:cs="Times New Roman"/>
                      <w:bCs/>
                      <w:color w:val="auto"/>
                      <w:szCs w:val="21"/>
                    </w:rPr>
                    <w:t>废润滑油</w:t>
                  </w:r>
                  <w:r>
                    <w:rPr>
                      <w:rFonts w:hint="eastAsia" w:cs="Times New Roman"/>
                      <w:bCs/>
                      <w:color w:val="auto"/>
                      <w:szCs w:val="21"/>
                      <w:lang w:val="en-US" w:eastAsia="zh-CN"/>
                    </w:rPr>
                    <w:t xml:space="preserve"> </w:t>
                  </w:r>
                </w:p>
              </w:tc>
              <w:tc>
                <w:tcPr>
                  <w:tcW w:w="317"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润滑油</w:t>
                  </w:r>
                </w:p>
              </w:tc>
              <w:tc>
                <w:tcPr>
                  <w:tcW w:w="312"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钻井期间</w:t>
                  </w:r>
                </w:p>
              </w:tc>
              <w:tc>
                <w:tcPr>
                  <w:tcW w:w="338"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T/I</w:t>
                  </w:r>
                </w:p>
              </w:tc>
              <w:tc>
                <w:tcPr>
                  <w:tcW w:w="657" w:type="pct"/>
                  <w:vMerge w:val="restart"/>
                  <w:tcBorders>
                    <w:right w:val="single" w:color="auto" w:sz="12"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废油桶收集，暂存于危险废物贮存点，</w:t>
                  </w:r>
                  <w:r>
                    <w:rPr>
                      <w:rFonts w:hint="default" w:ascii="Times New Roman" w:hAnsi="Times New Roman" w:cs="Times New Roman"/>
                      <w:bCs/>
                      <w:color w:val="auto"/>
                      <w:szCs w:val="21"/>
                      <w:lang w:val="en-US" w:eastAsia="zh-CN"/>
                    </w:rPr>
                    <w:t>就近</w:t>
                  </w:r>
                  <w:r>
                    <w:rPr>
                      <w:rFonts w:hint="default" w:ascii="Times New Roman" w:hAnsi="Times New Roman" w:cs="Times New Roman"/>
                      <w:bCs/>
                      <w:color w:val="auto"/>
                      <w:szCs w:val="21"/>
                    </w:rPr>
                    <w:t>委托有资质单位处理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15" w:type="dxa"/>
                  <w:left w:w="15" w:type="dxa"/>
                  <w:bottom w:w="15" w:type="dxa"/>
                  <w:right w:w="15" w:type="dxa"/>
                </w:tblCellMar>
              </w:tblPrEx>
              <w:trPr>
                <w:trHeight w:val="369" w:hRule="atLeast"/>
                <w:jc w:val="center"/>
              </w:trPr>
              <w:tc>
                <w:tcPr>
                  <w:tcW w:w="191" w:type="pct"/>
                  <w:tcBorders>
                    <w:left w:val="single" w:color="auto" w:sz="4" w:space="0"/>
                  </w:tcBorders>
                  <w:vAlign w:val="center"/>
                </w:tcPr>
                <w:p>
                  <w:pPr>
                    <w:pStyle w:val="401"/>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szCs w:val="21"/>
                      <w:lang w:val="en-US" w:eastAsia="zh-CN"/>
                    </w:rPr>
                  </w:pPr>
                  <w:r>
                    <w:rPr>
                      <w:rFonts w:hint="eastAsia" w:cs="Times New Roman"/>
                      <w:bCs/>
                      <w:color w:val="auto"/>
                      <w:szCs w:val="21"/>
                      <w:lang w:val="en-US" w:eastAsia="zh-CN"/>
                    </w:rPr>
                    <w:t>2</w:t>
                  </w:r>
                </w:p>
              </w:tc>
              <w:tc>
                <w:tcPr>
                  <w:tcW w:w="608" w:type="pct"/>
                  <w:shd w:val="clear" w:color="auto" w:fill="auto"/>
                  <w:vAlign w:val="center"/>
                </w:tcPr>
                <w:p>
                  <w:pPr>
                    <w:pStyle w:val="40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Cs/>
                      <w:color w:val="auto"/>
                      <w:kern w:val="2"/>
                      <w:sz w:val="21"/>
                      <w:szCs w:val="21"/>
                      <w:lang w:val="en-US" w:eastAsia="zh-CN" w:bidi="ar-SA"/>
                    </w:rPr>
                  </w:pPr>
                  <w:r>
                    <w:rPr>
                      <w:rFonts w:hint="default"/>
                      <w:bCs/>
                      <w:color w:val="auto"/>
                      <w:sz w:val="21"/>
                      <w:szCs w:val="21"/>
                    </w:rPr>
                    <w:t>油基岩屑</w:t>
                  </w:r>
                </w:p>
              </w:tc>
              <w:tc>
                <w:tcPr>
                  <w:tcW w:w="333" w:type="pct"/>
                  <w:shd w:val="clear" w:color="auto" w:fill="auto"/>
                  <w:vAlign w:val="center"/>
                </w:tcPr>
                <w:p>
                  <w:pPr>
                    <w:pStyle w:val="40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Cs/>
                      <w:color w:val="auto"/>
                      <w:kern w:val="2"/>
                      <w:sz w:val="21"/>
                      <w:szCs w:val="21"/>
                      <w:lang w:val="en-US" w:eastAsia="zh-CN" w:bidi="ar-SA"/>
                    </w:rPr>
                  </w:pPr>
                  <w:r>
                    <w:rPr>
                      <w:rFonts w:hint="eastAsia"/>
                      <w:bCs/>
                      <w:color w:val="auto"/>
                      <w:sz w:val="21"/>
                      <w:szCs w:val="21"/>
                    </w:rPr>
                    <w:t>HW</w:t>
                  </w:r>
                  <w:r>
                    <w:rPr>
                      <w:rFonts w:hint="eastAsia"/>
                      <w:bCs/>
                      <w:color w:val="auto"/>
                      <w:sz w:val="21"/>
                      <w:szCs w:val="21"/>
                      <w:lang w:val="en-US" w:eastAsia="zh-CN"/>
                    </w:rPr>
                    <w:t>08</w:t>
                  </w:r>
                </w:p>
              </w:tc>
              <w:tc>
                <w:tcPr>
                  <w:tcW w:w="395" w:type="pct"/>
                  <w:shd w:val="clear" w:color="auto" w:fill="auto"/>
                  <w:vAlign w:val="center"/>
                </w:tcPr>
                <w:p>
                  <w:pPr>
                    <w:pStyle w:val="40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Cs/>
                      <w:color w:val="auto"/>
                      <w:kern w:val="2"/>
                      <w:sz w:val="21"/>
                      <w:szCs w:val="21"/>
                      <w:lang w:val="en-US" w:eastAsia="zh-CN" w:bidi="ar-SA"/>
                    </w:rPr>
                  </w:pPr>
                  <w:r>
                    <w:rPr>
                      <w:rFonts w:hint="default"/>
                      <w:bCs/>
                      <w:color w:val="auto"/>
                      <w:sz w:val="21"/>
                      <w:szCs w:val="21"/>
                    </w:rPr>
                    <w:t>072-001-08</w:t>
                  </w:r>
                </w:p>
              </w:tc>
              <w:tc>
                <w:tcPr>
                  <w:tcW w:w="400" w:type="pct"/>
                  <w:shd w:val="clear" w:color="auto" w:fill="auto"/>
                  <w:vAlign w:val="center"/>
                </w:tcPr>
                <w:p>
                  <w:pPr>
                    <w:pStyle w:val="40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Cs/>
                      <w:color w:val="auto"/>
                      <w:kern w:val="2"/>
                      <w:sz w:val="21"/>
                      <w:szCs w:val="21"/>
                      <w:lang w:val="en-US" w:eastAsia="zh-CN" w:bidi="ar-SA"/>
                    </w:rPr>
                  </w:pPr>
                  <w:r>
                    <w:rPr>
                      <w:rFonts w:hint="eastAsia"/>
                      <w:bCs/>
                      <w:color w:val="auto"/>
                      <w:sz w:val="21"/>
                      <w:szCs w:val="21"/>
                    </w:rPr>
                    <w:t>危险废物</w:t>
                  </w:r>
                </w:p>
              </w:tc>
              <w:tc>
                <w:tcPr>
                  <w:tcW w:w="395"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szCs w:val="21"/>
                      <w:lang w:val="en-US" w:eastAsia="zh-CN"/>
                    </w:rPr>
                  </w:pPr>
                  <w:r>
                    <w:rPr>
                      <w:rFonts w:hint="eastAsia" w:cs="Times New Roman"/>
                      <w:bCs/>
                      <w:color w:val="auto"/>
                      <w:szCs w:val="21"/>
                      <w:lang w:val="en-US" w:eastAsia="zh-CN"/>
                    </w:rPr>
                    <w:t>680.4t</w:t>
                  </w:r>
                </w:p>
              </w:tc>
              <w:tc>
                <w:tcPr>
                  <w:tcW w:w="395" w:type="pct"/>
                  <w:shd w:val="clear" w:color="auto" w:fill="auto"/>
                  <w:vAlign w:val="center"/>
                </w:tcPr>
                <w:p>
                  <w:pPr>
                    <w:pStyle w:val="40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Cs/>
                      <w:color w:val="auto"/>
                      <w:kern w:val="2"/>
                      <w:sz w:val="21"/>
                      <w:szCs w:val="21"/>
                      <w:lang w:val="en-US" w:eastAsia="zh-CN" w:bidi="ar-SA"/>
                    </w:rPr>
                  </w:pPr>
                  <w:r>
                    <w:rPr>
                      <w:rFonts w:hint="eastAsia"/>
                      <w:bCs/>
                      <w:color w:val="auto"/>
                      <w:sz w:val="21"/>
                      <w:szCs w:val="21"/>
                      <w:lang w:val="en-US" w:eastAsia="zh-CN"/>
                    </w:rPr>
                    <w:t>三开钻井</w:t>
                  </w:r>
                </w:p>
              </w:tc>
              <w:tc>
                <w:tcPr>
                  <w:tcW w:w="249" w:type="pct"/>
                  <w:shd w:val="clear" w:color="auto" w:fill="auto"/>
                  <w:vAlign w:val="center"/>
                </w:tcPr>
                <w:p>
                  <w:pPr>
                    <w:pStyle w:val="40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Cs/>
                      <w:color w:val="auto"/>
                      <w:kern w:val="2"/>
                      <w:sz w:val="21"/>
                      <w:szCs w:val="21"/>
                      <w:lang w:val="en-US" w:eastAsia="zh-CN" w:bidi="ar-SA"/>
                    </w:rPr>
                  </w:pPr>
                  <w:r>
                    <w:rPr>
                      <w:rFonts w:hint="eastAsia"/>
                      <w:bCs/>
                      <w:color w:val="auto"/>
                      <w:sz w:val="21"/>
                      <w:szCs w:val="21"/>
                      <w:lang w:val="en-US" w:eastAsia="zh-CN"/>
                    </w:rPr>
                    <w:t>半</w:t>
                  </w:r>
                  <w:r>
                    <w:rPr>
                      <w:rFonts w:hint="eastAsia"/>
                      <w:bCs/>
                      <w:color w:val="auto"/>
                      <w:sz w:val="21"/>
                      <w:szCs w:val="21"/>
                    </w:rPr>
                    <w:t>固</w:t>
                  </w:r>
                  <w:r>
                    <w:rPr>
                      <w:rFonts w:hint="eastAsia"/>
                      <w:bCs/>
                      <w:color w:val="auto"/>
                      <w:sz w:val="21"/>
                      <w:szCs w:val="21"/>
                      <w:lang w:val="en-US" w:eastAsia="zh-CN"/>
                    </w:rPr>
                    <w:t>态</w:t>
                  </w:r>
                </w:p>
              </w:tc>
              <w:tc>
                <w:tcPr>
                  <w:tcW w:w="400" w:type="pct"/>
                  <w:shd w:val="clear" w:color="auto" w:fill="auto"/>
                  <w:vAlign w:val="center"/>
                </w:tcPr>
                <w:p>
                  <w:pPr>
                    <w:pStyle w:val="40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Cs/>
                      <w:color w:val="auto"/>
                      <w:kern w:val="2"/>
                      <w:sz w:val="21"/>
                      <w:szCs w:val="21"/>
                      <w:lang w:val="en-US" w:eastAsia="zh-CN" w:bidi="ar-SA"/>
                    </w:rPr>
                  </w:pPr>
                  <w:r>
                    <w:rPr>
                      <w:rFonts w:hint="default"/>
                      <w:bCs/>
                      <w:color w:val="auto"/>
                      <w:sz w:val="21"/>
                      <w:szCs w:val="21"/>
                    </w:rPr>
                    <w:t>含油岩屑</w:t>
                  </w:r>
                </w:p>
              </w:tc>
              <w:tc>
                <w:tcPr>
                  <w:tcW w:w="317" w:type="pct"/>
                  <w:shd w:val="clear" w:color="auto" w:fill="auto"/>
                  <w:vAlign w:val="center"/>
                </w:tcPr>
                <w:p>
                  <w:pPr>
                    <w:pStyle w:val="40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Cs/>
                      <w:color w:val="auto"/>
                      <w:kern w:val="2"/>
                      <w:sz w:val="21"/>
                      <w:szCs w:val="21"/>
                      <w:lang w:val="en-US" w:eastAsia="zh-CN" w:bidi="ar-SA"/>
                    </w:rPr>
                  </w:pPr>
                  <w:r>
                    <w:rPr>
                      <w:rFonts w:hint="eastAsia"/>
                      <w:bCs/>
                      <w:color w:val="auto"/>
                      <w:sz w:val="21"/>
                      <w:szCs w:val="21"/>
                      <w:lang w:val="en-US" w:eastAsia="zh-CN"/>
                    </w:rPr>
                    <w:t>油类</w:t>
                  </w:r>
                </w:p>
              </w:tc>
              <w:tc>
                <w:tcPr>
                  <w:tcW w:w="312" w:type="pct"/>
                  <w:shd w:val="clear" w:color="auto" w:fill="auto"/>
                  <w:vAlign w:val="center"/>
                </w:tcPr>
                <w:p>
                  <w:pPr>
                    <w:pStyle w:val="40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Cs/>
                      <w:color w:val="auto"/>
                      <w:kern w:val="2"/>
                      <w:sz w:val="21"/>
                      <w:szCs w:val="21"/>
                      <w:lang w:val="en-US" w:eastAsia="zh-CN" w:bidi="ar-SA"/>
                    </w:rPr>
                  </w:pPr>
                  <w:r>
                    <w:rPr>
                      <w:rFonts w:hint="eastAsia"/>
                      <w:bCs/>
                      <w:color w:val="auto"/>
                      <w:sz w:val="21"/>
                      <w:szCs w:val="21"/>
                      <w:lang w:val="en-US" w:eastAsia="zh-CN"/>
                    </w:rPr>
                    <w:t>钻井期间</w:t>
                  </w:r>
                </w:p>
              </w:tc>
              <w:tc>
                <w:tcPr>
                  <w:tcW w:w="338" w:type="pct"/>
                  <w:shd w:val="clear" w:color="auto" w:fill="auto"/>
                  <w:vAlign w:val="center"/>
                </w:tcPr>
                <w:p>
                  <w:pPr>
                    <w:pStyle w:val="40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Cs/>
                      <w:color w:val="auto"/>
                      <w:kern w:val="2"/>
                      <w:sz w:val="21"/>
                      <w:szCs w:val="21"/>
                      <w:lang w:val="en-US" w:eastAsia="zh-CN" w:bidi="ar-SA"/>
                    </w:rPr>
                  </w:pPr>
                  <w:r>
                    <w:rPr>
                      <w:rFonts w:hint="default"/>
                      <w:bCs/>
                      <w:color w:val="auto"/>
                      <w:sz w:val="21"/>
                      <w:szCs w:val="21"/>
                    </w:rPr>
                    <w:t>T</w:t>
                  </w:r>
                </w:p>
              </w:tc>
              <w:tc>
                <w:tcPr>
                  <w:tcW w:w="657" w:type="pct"/>
                  <w:vMerge w:val="continue"/>
                  <w:tcBorders>
                    <w:right w:val="single" w:color="auto" w:sz="12"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15" w:type="dxa"/>
                  <w:left w:w="15" w:type="dxa"/>
                  <w:bottom w:w="15" w:type="dxa"/>
                  <w:right w:w="15" w:type="dxa"/>
                </w:tblCellMar>
              </w:tblPrEx>
              <w:trPr>
                <w:trHeight w:val="369" w:hRule="atLeast"/>
                <w:jc w:val="center"/>
              </w:trPr>
              <w:tc>
                <w:tcPr>
                  <w:tcW w:w="191" w:type="pct"/>
                  <w:tcBorders>
                    <w:left w:val="single" w:color="auto" w:sz="4" w:space="0"/>
                  </w:tcBorders>
                  <w:vAlign w:val="center"/>
                </w:tcPr>
                <w:p>
                  <w:pPr>
                    <w:pStyle w:val="401"/>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szCs w:val="21"/>
                      <w:lang w:val="en-US" w:eastAsia="zh-CN"/>
                    </w:rPr>
                  </w:pPr>
                  <w:r>
                    <w:rPr>
                      <w:rFonts w:hint="eastAsia" w:cs="Times New Roman"/>
                      <w:bCs/>
                      <w:color w:val="auto"/>
                      <w:szCs w:val="21"/>
                      <w:lang w:val="en-US" w:eastAsia="zh-CN"/>
                    </w:rPr>
                    <w:t>3</w:t>
                  </w:r>
                </w:p>
              </w:tc>
              <w:tc>
                <w:tcPr>
                  <w:tcW w:w="608" w:type="pct"/>
                  <w:shd w:val="clear" w:color="auto" w:fill="auto"/>
                  <w:vAlign w:val="center"/>
                </w:tcPr>
                <w:p>
                  <w:pPr>
                    <w:pStyle w:val="40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Cs/>
                      <w:color w:val="auto"/>
                      <w:kern w:val="2"/>
                      <w:sz w:val="21"/>
                      <w:szCs w:val="21"/>
                      <w:lang w:val="en-US" w:eastAsia="zh-CN" w:bidi="ar-SA"/>
                    </w:rPr>
                  </w:pPr>
                  <w:r>
                    <w:rPr>
                      <w:rFonts w:hint="eastAsia"/>
                      <w:bCs/>
                      <w:color w:val="auto"/>
                      <w:sz w:val="21"/>
                      <w:szCs w:val="21"/>
                      <w:lang w:val="en-US" w:eastAsia="zh-CN"/>
                    </w:rPr>
                    <w:t>油基泥浆</w:t>
                  </w:r>
                </w:p>
              </w:tc>
              <w:tc>
                <w:tcPr>
                  <w:tcW w:w="333" w:type="pct"/>
                  <w:shd w:val="clear" w:color="auto" w:fill="auto"/>
                  <w:vAlign w:val="center"/>
                </w:tcPr>
                <w:p>
                  <w:pPr>
                    <w:pStyle w:val="40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Cs/>
                      <w:color w:val="auto"/>
                      <w:kern w:val="2"/>
                      <w:sz w:val="21"/>
                      <w:szCs w:val="21"/>
                      <w:lang w:val="en-US" w:eastAsia="zh-CN" w:bidi="ar-SA"/>
                    </w:rPr>
                  </w:pPr>
                  <w:r>
                    <w:rPr>
                      <w:rFonts w:hint="eastAsia"/>
                      <w:bCs/>
                      <w:color w:val="auto"/>
                      <w:sz w:val="21"/>
                      <w:szCs w:val="21"/>
                      <w:lang w:val="en-US" w:eastAsia="zh-CN"/>
                    </w:rPr>
                    <w:t>HW08</w:t>
                  </w:r>
                </w:p>
              </w:tc>
              <w:tc>
                <w:tcPr>
                  <w:tcW w:w="395" w:type="pct"/>
                  <w:shd w:val="clear" w:color="auto" w:fill="auto"/>
                  <w:vAlign w:val="center"/>
                </w:tcPr>
                <w:p>
                  <w:pPr>
                    <w:pStyle w:val="40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Cs/>
                      <w:color w:val="auto"/>
                      <w:kern w:val="2"/>
                      <w:sz w:val="21"/>
                      <w:szCs w:val="21"/>
                      <w:lang w:val="en-US" w:eastAsia="zh-CN" w:bidi="ar-SA"/>
                    </w:rPr>
                  </w:pPr>
                  <w:r>
                    <w:rPr>
                      <w:rFonts w:hint="default"/>
                      <w:bCs/>
                      <w:color w:val="auto"/>
                      <w:sz w:val="21"/>
                      <w:szCs w:val="21"/>
                    </w:rPr>
                    <w:t>072-001-08</w:t>
                  </w:r>
                </w:p>
              </w:tc>
              <w:tc>
                <w:tcPr>
                  <w:tcW w:w="400" w:type="pct"/>
                  <w:shd w:val="clear" w:color="auto" w:fill="auto"/>
                  <w:vAlign w:val="center"/>
                </w:tcPr>
                <w:p>
                  <w:pPr>
                    <w:pStyle w:val="40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Cs/>
                      <w:color w:val="auto"/>
                      <w:kern w:val="2"/>
                      <w:sz w:val="21"/>
                      <w:szCs w:val="21"/>
                      <w:lang w:val="en-US" w:eastAsia="zh-CN" w:bidi="ar-SA"/>
                    </w:rPr>
                  </w:pPr>
                  <w:r>
                    <w:rPr>
                      <w:rFonts w:hint="eastAsia"/>
                      <w:bCs/>
                      <w:color w:val="auto"/>
                      <w:sz w:val="21"/>
                      <w:szCs w:val="21"/>
                    </w:rPr>
                    <w:t>危险废物</w:t>
                  </w:r>
                </w:p>
              </w:tc>
              <w:tc>
                <w:tcPr>
                  <w:tcW w:w="395"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szCs w:val="21"/>
                      <w:lang w:val="en-US" w:eastAsia="zh-CN"/>
                    </w:rPr>
                  </w:pPr>
                  <w:r>
                    <w:rPr>
                      <w:rFonts w:hint="eastAsia" w:cs="Times New Roman"/>
                      <w:bCs/>
                      <w:color w:val="auto"/>
                      <w:szCs w:val="21"/>
                      <w:lang w:val="en-US" w:eastAsia="zh-CN"/>
                    </w:rPr>
                    <w:t>21.1m</w:t>
                  </w:r>
                  <w:r>
                    <w:rPr>
                      <w:rFonts w:hint="eastAsia" w:cs="Times New Roman"/>
                      <w:bCs/>
                      <w:color w:val="auto"/>
                      <w:szCs w:val="21"/>
                      <w:vertAlign w:val="superscript"/>
                      <w:lang w:val="en-US" w:eastAsia="zh-CN"/>
                    </w:rPr>
                    <w:t>3</w:t>
                  </w:r>
                </w:p>
              </w:tc>
              <w:tc>
                <w:tcPr>
                  <w:tcW w:w="395" w:type="pct"/>
                  <w:shd w:val="clear" w:color="auto" w:fill="auto"/>
                  <w:vAlign w:val="center"/>
                </w:tcPr>
                <w:p>
                  <w:pPr>
                    <w:pStyle w:val="40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Cs/>
                      <w:color w:val="auto"/>
                      <w:kern w:val="2"/>
                      <w:sz w:val="21"/>
                      <w:szCs w:val="21"/>
                      <w:lang w:val="en-US" w:eastAsia="zh-CN" w:bidi="ar-SA"/>
                    </w:rPr>
                  </w:pPr>
                  <w:r>
                    <w:rPr>
                      <w:rFonts w:hint="eastAsia"/>
                      <w:bCs/>
                      <w:color w:val="auto"/>
                      <w:sz w:val="21"/>
                      <w:szCs w:val="21"/>
                      <w:lang w:val="en-US" w:eastAsia="zh-CN"/>
                    </w:rPr>
                    <w:t>三开钻井</w:t>
                  </w:r>
                </w:p>
              </w:tc>
              <w:tc>
                <w:tcPr>
                  <w:tcW w:w="249" w:type="pct"/>
                  <w:shd w:val="clear" w:color="auto" w:fill="auto"/>
                  <w:vAlign w:val="center"/>
                </w:tcPr>
                <w:p>
                  <w:pPr>
                    <w:pStyle w:val="40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Cs/>
                      <w:color w:val="auto"/>
                      <w:kern w:val="2"/>
                      <w:sz w:val="21"/>
                      <w:szCs w:val="21"/>
                      <w:lang w:val="en-US" w:eastAsia="zh-CN" w:bidi="ar-SA"/>
                    </w:rPr>
                  </w:pPr>
                  <w:r>
                    <w:rPr>
                      <w:rFonts w:hint="eastAsia"/>
                      <w:bCs/>
                      <w:color w:val="auto"/>
                      <w:sz w:val="21"/>
                      <w:szCs w:val="21"/>
                      <w:lang w:val="en-US" w:eastAsia="zh-CN"/>
                    </w:rPr>
                    <w:t>半固态</w:t>
                  </w:r>
                </w:p>
              </w:tc>
              <w:tc>
                <w:tcPr>
                  <w:tcW w:w="400" w:type="pct"/>
                  <w:shd w:val="clear" w:color="auto" w:fill="auto"/>
                  <w:vAlign w:val="center"/>
                </w:tcPr>
                <w:p>
                  <w:pPr>
                    <w:pStyle w:val="40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Cs/>
                      <w:color w:val="auto"/>
                      <w:kern w:val="2"/>
                      <w:sz w:val="21"/>
                      <w:szCs w:val="21"/>
                      <w:lang w:val="en-US" w:eastAsia="zh-CN" w:bidi="ar-SA"/>
                    </w:rPr>
                  </w:pPr>
                  <w:r>
                    <w:rPr>
                      <w:rFonts w:hint="eastAsia"/>
                      <w:bCs/>
                      <w:color w:val="auto"/>
                      <w:sz w:val="21"/>
                      <w:szCs w:val="21"/>
                      <w:lang w:val="en-US" w:eastAsia="zh-CN"/>
                    </w:rPr>
                    <w:t>含油泥浆</w:t>
                  </w:r>
                </w:p>
              </w:tc>
              <w:tc>
                <w:tcPr>
                  <w:tcW w:w="317" w:type="pct"/>
                  <w:shd w:val="clear" w:color="auto" w:fill="auto"/>
                  <w:vAlign w:val="center"/>
                </w:tcPr>
                <w:p>
                  <w:pPr>
                    <w:pStyle w:val="40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Cs/>
                      <w:color w:val="auto"/>
                      <w:kern w:val="2"/>
                      <w:sz w:val="21"/>
                      <w:szCs w:val="21"/>
                      <w:lang w:val="en-US" w:eastAsia="zh-CN" w:bidi="ar-SA"/>
                    </w:rPr>
                  </w:pPr>
                  <w:r>
                    <w:rPr>
                      <w:rFonts w:hint="eastAsia"/>
                      <w:bCs/>
                      <w:color w:val="auto"/>
                      <w:sz w:val="21"/>
                      <w:szCs w:val="21"/>
                      <w:lang w:val="en-US" w:eastAsia="zh-CN"/>
                    </w:rPr>
                    <w:t>油类</w:t>
                  </w:r>
                </w:p>
              </w:tc>
              <w:tc>
                <w:tcPr>
                  <w:tcW w:w="312" w:type="pct"/>
                  <w:shd w:val="clear" w:color="auto" w:fill="auto"/>
                  <w:vAlign w:val="center"/>
                </w:tcPr>
                <w:p>
                  <w:pPr>
                    <w:pStyle w:val="40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Cs/>
                      <w:color w:val="auto"/>
                      <w:kern w:val="2"/>
                      <w:sz w:val="21"/>
                      <w:szCs w:val="21"/>
                      <w:lang w:val="en-US" w:eastAsia="zh-CN" w:bidi="ar-SA"/>
                    </w:rPr>
                  </w:pPr>
                  <w:r>
                    <w:rPr>
                      <w:rFonts w:hint="eastAsia"/>
                      <w:bCs/>
                      <w:color w:val="auto"/>
                      <w:sz w:val="21"/>
                      <w:szCs w:val="21"/>
                      <w:lang w:val="en-US" w:eastAsia="zh-CN"/>
                    </w:rPr>
                    <w:t>钻井期间</w:t>
                  </w:r>
                </w:p>
              </w:tc>
              <w:tc>
                <w:tcPr>
                  <w:tcW w:w="338" w:type="pct"/>
                  <w:shd w:val="clear" w:color="auto" w:fill="auto"/>
                  <w:vAlign w:val="center"/>
                </w:tcPr>
                <w:p>
                  <w:pPr>
                    <w:pStyle w:val="40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Times New Roman" w:hAnsi="Times New Roman" w:eastAsia="宋体" w:cs="Times New Roman"/>
                      <w:bCs/>
                      <w:color w:val="auto"/>
                      <w:kern w:val="2"/>
                      <w:sz w:val="21"/>
                      <w:szCs w:val="21"/>
                      <w:lang w:val="en-US" w:eastAsia="zh-CN" w:bidi="ar-SA"/>
                    </w:rPr>
                  </w:pPr>
                  <w:r>
                    <w:rPr>
                      <w:rFonts w:hint="eastAsia"/>
                      <w:bCs/>
                      <w:color w:val="auto"/>
                      <w:sz w:val="21"/>
                      <w:szCs w:val="21"/>
                      <w:lang w:val="en-US" w:eastAsia="zh-CN"/>
                    </w:rPr>
                    <w:t>T</w:t>
                  </w:r>
                </w:p>
              </w:tc>
              <w:tc>
                <w:tcPr>
                  <w:tcW w:w="657" w:type="pct"/>
                  <w:vMerge w:val="continue"/>
                  <w:tcBorders>
                    <w:right w:val="single" w:color="auto" w:sz="12"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15" w:type="dxa"/>
                  <w:left w:w="15" w:type="dxa"/>
                  <w:bottom w:w="15" w:type="dxa"/>
                  <w:right w:w="15" w:type="dxa"/>
                </w:tblCellMar>
              </w:tblPrEx>
              <w:trPr>
                <w:trHeight w:val="369" w:hRule="atLeast"/>
                <w:jc w:val="center"/>
              </w:trPr>
              <w:tc>
                <w:tcPr>
                  <w:tcW w:w="191" w:type="pct"/>
                  <w:tcBorders>
                    <w:left w:val="single" w:color="auto" w:sz="4" w:space="0"/>
                  </w:tcBorders>
                  <w:vAlign w:val="center"/>
                </w:tcPr>
                <w:p>
                  <w:pPr>
                    <w:pStyle w:val="401"/>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szCs w:val="21"/>
                      <w:lang w:eastAsia="zh-CN"/>
                    </w:rPr>
                  </w:pPr>
                  <w:r>
                    <w:rPr>
                      <w:rFonts w:hint="eastAsia" w:cs="Times New Roman"/>
                      <w:bCs/>
                      <w:color w:val="auto"/>
                      <w:szCs w:val="21"/>
                      <w:lang w:val="en-US" w:eastAsia="zh-CN"/>
                    </w:rPr>
                    <w:t>4</w:t>
                  </w:r>
                </w:p>
              </w:tc>
              <w:tc>
                <w:tcPr>
                  <w:tcW w:w="608"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废油桶</w:t>
                  </w:r>
                </w:p>
              </w:tc>
              <w:tc>
                <w:tcPr>
                  <w:tcW w:w="333"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HW49</w:t>
                  </w:r>
                </w:p>
              </w:tc>
              <w:tc>
                <w:tcPr>
                  <w:tcW w:w="395"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900-047-49</w:t>
                  </w:r>
                </w:p>
              </w:tc>
              <w:tc>
                <w:tcPr>
                  <w:tcW w:w="400"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危险废物</w:t>
                  </w:r>
                </w:p>
              </w:tc>
              <w:tc>
                <w:tcPr>
                  <w:tcW w:w="395"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0.1t</w:t>
                  </w:r>
                </w:p>
              </w:tc>
              <w:tc>
                <w:tcPr>
                  <w:tcW w:w="395"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钻井机具</w:t>
                  </w:r>
                </w:p>
              </w:tc>
              <w:tc>
                <w:tcPr>
                  <w:tcW w:w="249"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液态</w:t>
                  </w:r>
                </w:p>
              </w:tc>
              <w:tc>
                <w:tcPr>
                  <w:tcW w:w="400" w:type="pct"/>
                  <w:vAlign w:val="center"/>
                </w:tcPr>
                <w:p>
                  <w:pPr>
                    <w:pStyle w:val="401"/>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szCs w:val="21"/>
                      <w:lang w:val="en-US" w:eastAsia="zh-CN"/>
                    </w:rPr>
                  </w:pPr>
                  <w:r>
                    <w:rPr>
                      <w:rFonts w:hint="default" w:ascii="Times New Roman" w:hAnsi="Times New Roman" w:cs="Times New Roman"/>
                      <w:bCs/>
                      <w:color w:val="auto"/>
                      <w:szCs w:val="21"/>
                    </w:rPr>
                    <w:t>废润滑油</w:t>
                  </w:r>
                  <w:r>
                    <w:rPr>
                      <w:rFonts w:hint="eastAsia" w:cs="Times New Roman"/>
                      <w:bCs/>
                      <w:color w:val="auto"/>
                      <w:szCs w:val="21"/>
                      <w:lang w:val="en-US" w:eastAsia="zh-CN"/>
                    </w:rPr>
                    <w:t xml:space="preserve"> </w:t>
                  </w:r>
                </w:p>
              </w:tc>
              <w:tc>
                <w:tcPr>
                  <w:tcW w:w="317"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润滑油</w:t>
                  </w:r>
                </w:p>
              </w:tc>
              <w:tc>
                <w:tcPr>
                  <w:tcW w:w="312"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钻井期间</w:t>
                  </w:r>
                </w:p>
              </w:tc>
              <w:tc>
                <w:tcPr>
                  <w:tcW w:w="338"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T/I</w:t>
                  </w:r>
                </w:p>
              </w:tc>
              <w:tc>
                <w:tcPr>
                  <w:tcW w:w="657" w:type="pct"/>
                  <w:vMerge w:val="continue"/>
                  <w:tcBorders>
                    <w:right w:val="single" w:color="auto" w:sz="12"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15" w:type="dxa"/>
                  <w:left w:w="15" w:type="dxa"/>
                  <w:bottom w:w="15" w:type="dxa"/>
                  <w:right w:w="15" w:type="dxa"/>
                </w:tblCellMar>
              </w:tblPrEx>
              <w:trPr>
                <w:trHeight w:val="369" w:hRule="atLeast"/>
                <w:jc w:val="center"/>
              </w:trPr>
              <w:tc>
                <w:tcPr>
                  <w:tcW w:w="191" w:type="pct"/>
                  <w:tcBorders>
                    <w:left w:val="single" w:color="auto" w:sz="4" w:space="0"/>
                  </w:tcBorders>
                  <w:vAlign w:val="center"/>
                </w:tcPr>
                <w:p>
                  <w:pPr>
                    <w:pStyle w:val="401"/>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szCs w:val="21"/>
                      <w:lang w:eastAsia="zh-CN"/>
                    </w:rPr>
                  </w:pPr>
                  <w:r>
                    <w:rPr>
                      <w:rFonts w:hint="eastAsia" w:cs="Times New Roman"/>
                      <w:bCs/>
                      <w:color w:val="auto"/>
                      <w:szCs w:val="21"/>
                      <w:lang w:val="en-US" w:eastAsia="zh-CN"/>
                    </w:rPr>
                    <w:t>5</w:t>
                  </w:r>
                </w:p>
              </w:tc>
              <w:tc>
                <w:tcPr>
                  <w:tcW w:w="608"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废棉纱/手套</w:t>
                  </w:r>
                </w:p>
              </w:tc>
              <w:tc>
                <w:tcPr>
                  <w:tcW w:w="333"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HW49</w:t>
                  </w:r>
                </w:p>
              </w:tc>
              <w:tc>
                <w:tcPr>
                  <w:tcW w:w="395"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900-041-49</w:t>
                  </w:r>
                </w:p>
              </w:tc>
              <w:tc>
                <w:tcPr>
                  <w:tcW w:w="400"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危险废物</w:t>
                  </w:r>
                </w:p>
              </w:tc>
              <w:tc>
                <w:tcPr>
                  <w:tcW w:w="395"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0.1t</w:t>
                  </w:r>
                </w:p>
              </w:tc>
              <w:tc>
                <w:tcPr>
                  <w:tcW w:w="395"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设备维护</w:t>
                  </w:r>
                </w:p>
              </w:tc>
              <w:tc>
                <w:tcPr>
                  <w:tcW w:w="249"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固态</w:t>
                  </w:r>
                </w:p>
              </w:tc>
              <w:tc>
                <w:tcPr>
                  <w:tcW w:w="400"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矿物油</w:t>
                  </w:r>
                </w:p>
              </w:tc>
              <w:tc>
                <w:tcPr>
                  <w:tcW w:w="317"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矿物油</w:t>
                  </w:r>
                </w:p>
              </w:tc>
              <w:tc>
                <w:tcPr>
                  <w:tcW w:w="312"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施工期</w:t>
                  </w:r>
                </w:p>
              </w:tc>
              <w:tc>
                <w:tcPr>
                  <w:tcW w:w="338"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T</w:t>
                  </w:r>
                </w:p>
              </w:tc>
              <w:tc>
                <w:tcPr>
                  <w:tcW w:w="657" w:type="pct"/>
                  <w:tcBorders>
                    <w:right w:val="single" w:color="auto" w:sz="12"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收集后</w:t>
                  </w:r>
                  <w:r>
                    <w:rPr>
                      <w:rFonts w:hint="default" w:ascii="Times New Roman" w:hAnsi="Times New Roman" w:cs="Times New Roman"/>
                      <w:bCs/>
                      <w:color w:val="auto"/>
                      <w:szCs w:val="21"/>
                      <w:lang w:val="en-US" w:eastAsia="zh-CN"/>
                    </w:rPr>
                    <w:t>就近</w:t>
                  </w:r>
                  <w:r>
                    <w:rPr>
                      <w:rFonts w:hint="default" w:ascii="Times New Roman" w:hAnsi="Times New Roman" w:cs="Times New Roman"/>
                      <w:bCs/>
                      <w:color w:val="auto"/>
                      <w:szCs w:val="21"/>
                    </w:rPr>
                    <w:t>交由有资质单位处置</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15" w:type="dxa"/>
                  <w:left w:w="15" w:type="dxa"/>
                  <w:bottom w:w="15" w:type="dxa"/>
                  <w:right w:w="15" w:type="dxa"/>
                </w:tblCellMar>
              </w:tblPrEx>
              <w:trPr>
                <w:trHeight w:val="369" w:hRule="atLeast"/>
                <w:jc w:val="center"/>
              </w:trPr>
              <w:tc>
                <w:tcPr>
                  <w:tcW w:w="191" w:type="pct"/>
                  <w:tcBorders>
                    <w:lef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cs="Times New Roman"/>
                      <w:bCs/>
                      <w:color w:val="auto"/>
                      <w:szCs w:val="21"/>
                      <w:lang w:val="en-US" w:eastAsia="zh-CN"/>
                    </w:rPr>
                  </w:pPr>
                  <w:r>
                    <w:rPr>
                      <w:rFonts w:hint="eastAsia" w:cs="Times New Roman"/>
                      <w:bCs/>
                      <w:color w:val="auto"/>
                      <w:szCs w:val="21"/>
                      <w:lang w:val="en-US" w:eastAsia="zh-CN"/>
                    </w:rPr>
                    <w:t>6</w:t>
                  </w:r>
                </w:p>
              </w:tc>
              <w:tc>
                <w:tcPr>
                  <w:tcW w:w="608" w:type="pct"/>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szCs w:val="21"/>
                      <w:lang w:val="en-US" w:eastAsia="zh-CN"/>
                    </w:rPr>
                  </w:pPr>
                  <w:r>
                    <w:rPr>
                      <w:rFonts w:hint="eastAsia" w:cs="Times New Roman"/>
                      <w:bCs/>
                      <w:color w:val="auto"/>
                      <w:szCs w:val="21"/>
                      <w:lang w:val="en-US" w:eastAsia="zh-CN"/>
                    </w:rPr>
                    <w:t>环境监测池污泥</w:t>
                  </w:r>
                </w:p>
              </w:tc>
              <w:tc>
                <w:tcPr>
                  <w:tcW w:w="544" w:type="dxa"/>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HW49</w:t>
                  </w:r>
                </w:p>
              </w:tc>
              <w:tc>
                <w:tcPr>
                  <w:tcW w:w="645" w:type="dxa"/>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cs="Times New Roman"/>
                      <w:color w:val="auto"/>
                      <w:szCs w:val="21"/>
                    </w:rPr>
                  </w:pPr>
                  <w:r>
                    <w:rPr>
                      <w:rFonts w:hint="default" w:ascii="Times New Roman" w:hAnsi="Times New Roman" w:cs="Times New Roman"/>
                      <w:color w:val="auto"/>
                      <w:szCs w:val="21"/>
                      <w:lang w:val="en-US" w:eastAsia="zh-CN"/>
                    </w:rPr>
                    <w:t>772-006-49</w:t>
                  </w:r>
                </w:p>
              </w:tc>
              <w:tc>
                <w:tcPr>
                  <w:tcW w:w="653" w:type="dxa"/>
                  <w:vAlign w:val="center"/>
                </w:tcPr>
                <w:p>
                  <w:pPr>
                    <w:pStyle w:val="401"/>
                    <w:keepNext w:val="0"/>
                    <w:keepLines w:val="0"/>
                    <w:suppressLineNumbers w:val="0"/>
                    <w:spacing w:before="0" w:beforeAutospacing="0" w:after="0" w:afterAutospacing="0"/>
                    <w:ind w:left="0" w:leftChars="0" w:right="0" w:rightChars="0"/>
                    <w:jc w:val="center"/>
                    <w:rPr>
                      <w:rFonts w:hint="default" w:ascii="Times New Roman" w:hAnsi="Times New Roman" w:cs="Times New Roman"/>
                      <w:bCs/>
                      <w:color w:val="auto"/>
                      <w:szCs w:val="21"/>
                    </w:rPr>
                  </w:pPr>
                  <w:r>
                    <w:rPr>
                      <w:rFonts w:hint="eastAsia" w:cs="Times New Roman"/>
                      <w:bCs/>
                      <w:color w:val="auto"/>
                      <w:szCs w:val="21"/>
                      <w:lang w:val="en-US" w:eastAsia="zh-CN"/>
                    </w:rPr>
                    <w:t>危险废物</w:t>
                  </w:r>
                </w:p>
              </w:tc>
              <w:tc>
                <w:tcPr>
                  <w:tcW w:w="645" w:type="dxa"/>
                  <w:vAlign w:val="center"/>
                </w:tcPr>
                <w:p>
                  <w:pPr>
                    <w:pStyle w:val="401"/>
                    <w:keepNext w:val="0"/>
                    <w:keepLines w:val="0"/>
                    <w:suppressLineNumbers w:val="0"/>
                    <w:spacing w:before="0" w:beforeAutospacing="0" w:after="0" w:afterAutospacing="0"/>
                    <w:ind w:left="0" w:leftChars="0" w:right="0" w:rightChars="0"/>
                    <w:jc w:val="center"/>
                    <w:rPr>
                      <w:rFonts w:hint="default" w:ascii="Times New Roman" w:hAnsi="Times New Roman" w:cs="Times New Roman"/>
                      <w:bCs/>
                      <w:color w:val="auto"/>
                      <w:szCs w:val="21"/>
                    </w:rPr>
                  </w:pPr>
                  <w:r>
                    <w:rPr>
                      <w:rFonts w:hint="eastAsia" w:cs="Times New Roman"/>
                      <w:bCs/>
                      <w:color w:val="auto"/>
                      <w:szCs w:val="21"/>
                      <w:lang w:val="en-US" w:eastAsia="zh-CN"/>
                    </w:rPr>
                    <w:t>0.1t</w:t>
                  </w:r>
                </w:p>
              </w:tc>
              <w:tc>
                <w:tcPr>
                  <w:tcW w:w="645" w:type="dxa"/>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cs="Times New Roman"/>
                      <w:color w:val="auto"/>
                      <w:szCs w:val="21"/>
                    </w:rPr>
                  </w:pPr>
                  <w:r>
                    <w:rPr>
                      <w:rFonts w:hint="eastAsia" w:cs="Times New Roman"/>
                      <w:color w:val="auto"/>
                      <w:szCs w:val="21"/>
                      <w:lang w:val="en-US" w:eastAsia="zh-CN"/>
                    </w:rPr>
                    <w:t>钻井</w:t>
                  </w:r>
                </w:p>
              </w:tc>
              <w:tc>
                <w:tcPr>
                  <w:tcW w:w="406" w:type="dxa"/>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cs="Times New Roman"/>
                      <w:color w:val="auto"/>
                      <w:szCs w:val="21"/>
                    </w:rPr>
                  </w:pPr>
                  <w:r>
                    <w:rPr>
                      <w:rFonts w:hint="eastAsia" w:cs="Times New Roman"/>
                      <w:color w:val="auto"/>
                      <w:szCs w:val="21"/>
                      <w:lang w:val="en-US" w:eastAsia="zh-CN"/>
                    </w:rPr>
                    <w:t>半固态</w:t>
                  </w:r>
                </w:p>
              </w:tc>
              <w:tc>
                <w:tcPr>
                  <w:tcW w:w="653" w:type="dxa"/>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cs="Times New Roman"/>
                      <w:color w:val="auto"/>
                      <w:szCs w:val="21"/>
                    </w:rPr>
                  </w:pPr>
                  <w:r>
                    <w:rPr>
                      <w:rFonts w:hint="eastAsia" w:cs="Times New Roman"/>
                      <w:color w:val="auto"/>
                      <w:szCs w:val="21"/>
                      <w:lang w:val="en-US" w:eastAsia="zh-CN"/>
                    </w:rPr>
                    <w:t>含油</w:t>
                  </w:r>
                </w:p>
              </w:tc>
              <w:tc>
                <w:tcPr>
                  <w:tcW w:w="518" w:type="dxa"/>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cs="Times New Roman"/>
                      <w:color w:val="auto"/>
                      <w:szCs w:val="21"/>
                    </w:rPr>
                  </w:pPr>
                  <w:r>
                    <w:rPr>
                      <w:rFonts w:hint="eastAsia" w:cs="Times New Roman"/>
                      <w:color w:val="auto"/>
                      <w:szCs w:val="21"/>
                      <w:lang w:val="en-US" w:eastAsia="zh-CN"/>
                    </w:rPr>
                    <w:t>油类</w:t>
                  </w:r>
                </w:p>
              </w:tc>
              <w:tc>
                <w:tcPr>
                  <w:tcW w:w="510" w:type="dxa"/>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cs="Times New Roman"/>
                      <w:color w:val="auto"/>
                      <w:szCs w:val="21"/>
                    </w:rPr>
                  </w:pPr>
                  <w:r>
                    <w:rPr>
                      <w:rFonts w:hint="eastAsia" w:cs="Times New Roman"/>
                      <w:color w:val="auto"/>
                      <w:szCs w:val="21"/>
                      <w:lang w:val="en-US" w:eastAsia="zh-CN"/>
                    </w:rPr>
                    <w:t>钻井期间</w:t>
                  </w:r>
                </w:p>
              </w:tc>
              <w:tc>
                <w:tcPr>
                  <w:tcW w:w="552" w:type="dxa"/>
                  <w:vAlign w:val="center"/>
                </w:tcPr>
                <w:p>
                  <w:pPr>
                    <w:pStyle w:val="401"/>
                    <w:keepNext w:val="0"/>
                    <w:keepLines w:val="0"/>
                    <w:suppressLineNumbers w:val="0"/>
                    <w:spacing w:before="0" w:beforeAutospacing="0" w:after="0" w:afterAutospacing="0"/>
                    <w:ind w:left="0" w:leftChars="0" w:right="0" w:rightChars="0"/>
                    <w:jc w:val="center"/>
                    <w:rPr>
                      <w:rFonts w:hint="default" w:ascii="Times New Roman" w:hAnsi="Times New Roman" w:cs="Times New Roman"/>
                      <w:bCs/>
                      <w:color w:val="auto"/>
                      <w:szCs w:val="21"/>
                    </w:rPr>
                  </w:pPr>
                  <w:r>
                    <w:rPr>
                      <w:rFonts w:hint="eastAsia" w:cs="Times New Roman"/>
                      <w:bCs/>
                      <w:color w:val="auto"/>
                      <w:szCs w:val="21"/>
                      <w:lang w:val="en-US" w:eastAsia="zh-CN"/>
                    </w:rPr>
                    <w:t>T</w:t>
                  </w:r>
                </w:p>
              </w:tc>
              <w:tc>
                <w:tcPr>
                  <w:tcW w:w="1072" w:type="dxa"/>
                  <w:tcBorders>
                    <w:right w:val="single" w:color="auto" w:sz="12" w:space="0"/>
                  </w:tcBorders>
                  <w:vAlign w:val="center"/>
                </w:tcPr>
                <w:p>
                  <w:pPr>
                    <w:pStyle w:val="401"/>
                    <w:keepNext w:val="0"/>
                    <w:keepLines w:val="0"/>
                    <w:suppressLineNumbers w:val="0"/>
                    <w:spacing w:before="0" w:beforeAutospacing="0" w:after="0" w:afterAutospacing="0"/>
                    <w:ind w:left="0" w:leftChars="0" w:right="0" w:rightChars="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收集后</w:t>
                  </w:r>
                  <w:r>
                    <w:rPr>
                      <w:rFonts w:hint="default" w:ascii="Times New Roman" w:hAnsi="Times New Roman" w:cs="Times New Roman"/>
                      <w:bCs/>
                      <w:color w:val="auto"/>
                      <w:szCs w:val="21"/>
                      <w:lang w:val="en-US" w:eastAsia="zh-CN"/>
                    </w:rPr>
                    <w:t>就近</w:t>
                  </w:r>
                  <w:r>
                    <w:rPr>
                      <w:rFonts w:hint="default" w:ascii="Times New Roman" w:hAnsi="Times New Roman" w:cs="Times New Roman"/>
                      <w:bCs/>
                      <w:color w:val="auto"/>
                      <w:szCs w:val="21"/>
                    </w:rPr>
                    <w:t>交由有资质单位处置</w:t>
                  </w:r>
                </w:p>
              </w:tc>
            </w:tr>
          </w:tbl>
          <w:p>
            <w:pPr>
              <w:pStyle w:val="19"/>
              <w:keepNext w:val="0"/>
              <w:keepLines w:val="0"/>
              <w:suppressLineNumbers w:val="0"/>
              <w:tabs>
                <w:tab w:val="left" w:pos="0"/>
                <w:tab w:val="left" w:pos="833"/>
              </w:tabs>
              <w:spacing w:before="0" w:beforeAutospacing="0" w:after="0" w:afterAutospacing="0" w:line="360" w:lineRule="auto"/>
              <w:ind w:left="840" w:right="0"/>
              <w:jc w:val="center"/>
              <w:rPr>
                <w:rFonts w:hint="default" w:ascii="Times New Roman" w:hAnsi="Times New Roman" w:cs="Times New Roman"/>
                <w:bCs/>
                <w:color w:val="auto"/>
                <w:sz w:val="21"/>
                <w:szCs w:val="21"/>
              </w:rPr>
            </w:pPr>
            <w:r>
              <w:rPr>
                <w:rFonts w:hint="default" w:ascii="Times New Roman" w:hAnsi="Times New Roman" w:cs="Times New Roman"/>
                <w:bCs/>
                <w:color w:val="auto"/>
                <w:sz w:val="21"/>
                <w:szCs w:val="21"/>
              </w:rPr>
              <w:t>表4-11  项目危险废物</w:t>
            </w:r>
            <w:r>
              <w:rPr>
                <w:rFonts w:hint="default" w:ascii="Times New Roman" w:hAnsi="Times New Roman" w:cs="Times New Roman"/>
                <w:bCs/>
                <w:color w:val="auto"/>
                <w:sz w:val="21"/>
                <w:szCs w:val="21"/>
                <w:lang w:eastAsia="zh-CN"/>
              </w:rPr>
              <w:t>贮存点</w:t>
            </w:r>
            <w:r>
              <w:rPr>
                <w:rFonts w:hint="default" w:ascii="Times New Roman" w:hAnsi="Times New Roman" w:cs="Times New Roman"/>
                <w:bCs/>
                <w:color w:val="auto"/>
                <w:sz w:val="21"/>
                <w:szCs w:val="21"/>
              </w:rPr>
              <w:t>基本情况表</w:t>
            </w:r>
          </w:p>
          <w:tbl>
            <w:tblPr>
              <w:tblStyle w:val="44"/>
              <w:tblW w:w="8148" w:type="dxa"/>
              <w:jc w:val="center"/>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Layout w:type="fixed"/>
              <w:tblCellMar>
                <w:top w:w="0" w:type="dxa"/>
                <w:left w:w="28" w:type="dxa"/>
                <w:bottom w:w="0" w:type="dxa"/>
                <w:right w:w="28" w:type="dxa"/>
              </w:tblCellMar>
            </w:tblPr>
            <w:tblGrid>
              <w:gridCol w:w="865"/>
              <w:gridCol w:w="1175"/>
              <w:gridCol w:w="917"/>
              <w:gridCol w:w="1123"/>
              <w:gridCol w:w="560"/>
              <w:gridCol w:w="696"/>
              <w:gridCol w:w="1082"/>
              <w:gridCol w:w="865"/>
              <w:gridCol w:w="865"/>
            </w:tblGrid>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369" w:hRule="atLeast"/>
                <w:jc w:val="center"/>
              </w:trPr>
              <w:tc>
                <w:tcPr>
                  <w:tcW w:w="865" w:type="dxa"/>
                  <w:tcBorders>
                    <w:left w:val="single" w:color="auto" w:sz="0"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贮存名称</w:t>
                  </w:r>
                </w:p>
              </w:tc>
              <w:tc>
                <w:tcPr>
                  <w:tcW w:w="1175" w:type="dxa"/>
                  <w:tcBorders>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危险废物名称</w:t>
                  </w:r>
                </w:p>
              </w:tc>
              <w:tc>
                <w:tcPr>
                  <w:tcW w:w="917" w:type="dxa"/>
                  <w:tcBorders>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危险废物类别</w:t>
                  </w:r>
                </w:p>
              </w:tc>
              <w:tc>
                <w:tcPr>
                  <w:tcW w:w="1123" w:type="dxa"/>
                  <w:tcBorders>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危险废物代码</w:t>
                  </w:r>
                </w:p>
              </w:tc>
              <w:tc>
                <w:tcPr>
                  <w:tcW w:w="560" w:type="dxa"/>
                  <w:tcBorders>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位置</w:t>
                  </w:r>
                </w:p>
              </w:tc>
              <w:tc>
                <w:tcPr>
                  <w:tcW w:w="696" w:type="dxa"/>
                  <w:tcBorders>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占地面积（m</w:t>
                  </w:r>
                  <w:r>
                    <w:rPr>
                      <w:rFonts w:hint="default" w:ascii="Times New Roman" w:hAnsi="Times New Roman" w:cs="Times New Roman"/>
                      <w:bCs/>
                      <w:color w:val="auto"/>
                      <w:szCs w:val="21"/>
                      <w:vertAlign w:val="superscript"/>
                    </w:rPr>
                    <w:t>2</w:t>
                  </w:r>
                  <w:r>
                    <w:rPr>
                      <w:rFonts w:hint="default" w:ascii="Times New Roman" w:hAnsi="Times New Roman" w:cs="Times New Roman"/>
                      <w:bCs/>
                      <w:color w:val="auto"/>
                      <w:szCs w:val="21"/>
                    </w:rPr>
                    <w:t>）</w:t>
                  </w:r>
                </w:p>
              </w:tc>
              <w:tc>
                <w:tcPr>
                  <w:tcW w:w="1082" w:type="dxa"/>
                  <w:tcBorders>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贮存方式</w:t>
                  </w:r>
                </w:p>
              </w:tc>
              <w:tc>
                <w:tcPr>
                  <w:tcW w:w="865" w:type="dxa"/>
                  <w:tcBorders>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贮存能力</w:t>
                  </w:r>
                </w:p>
              </w:tc>
              <w:tc>
                <w:tcPr>
                  <w:tcW w:w="865" w:type="dxa"/>
                  <w:tcBorders>
                    <w:left w:val="single" w:color="auto" w:sz="4" w:space="0"/>
                    <w:bottom w:val="single" w:color="auto" w:sz="4" w:space="0"/>
                    <w:right w:val="single" w:color="auto" w:sz="12"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贮存周期</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369" w:hRule="atLeast"/>
                <w:jc w:val="center"/>
              </w:trPr>
              <w:tc>
                <w:tcPr>
                  <w:tcW w:w="865" w:type="dxa"/>
                  <w:vMerge w:val="restart"/>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危险废物贮存点</w:t>
                  </w:r>
                </w:p>
              </w:tc>
              <w:tc>
                <w:tcPr>
                  <w:tcW w:w="1175"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废油</w:t>
                  </w:r>
                </w:p>
              </w:tc>
              <w:tc>
                <w:tcPr>
                  <w:tcW w:w="917"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HW08</w:t>
                  </w:r>
                </w:p>
              </w:tc>
              <w:tc>
                <w:tcPr>
                  <w:tcW w:w="1123"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900-249-08</w:t>
                  </w:r>
                </w:p>
              </w:tc>
              <w:tc>
                <w:tcPr>
                  <w:tcW w:w="560" w:type="dxa"/>
                  <w:vMerge w:val="restart"/>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位于泥浆不落地平台北侧</w:t>
                  </w:r>
                </w:p>
              </w:tc>
              <w:tc>
                <w:tcPr>
                  <w:tcW w:w="696" w:type="dxa"/>
                  <w:vMerge w:val="restart"/>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szCs w:val="21"/>
                      <w:lang w:val="en-US" w:eastAsia="zh-CN"/>
                    </w:rPr>
                  </w:pPr>
                  <w:r>
                    <w:rPr>
                      <w:rFonts w:hint="default" w:ascii="Times New Roman" w:hAnsi="Times New Roman" w:cs="Times New Roman"/>
                      <w:bCs/>
                      <w:color w:val="auto"/>
                      <w:szCs w:val="21"/>
                      <w:lang w:val="en-US" w:eastAsia="zh-CN"/>
                    </w:rPr>
                    <w:t>50</w:t>
                  </w:r>
                </w:p>
              </w:tc>
              <w:tc>
                <w:tcPr>
                  <w:tcW w:w="1082"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专用铁桶盛装</w:t>
                  </w:r>
                </w:p>
              </w:tc>
              <w:tc>
                <w:tcPr>
                  <w:tcW w:w="865"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1t</w:t>
                  </w:r>
                </w:p>
              </w:tc>
              <w:tc>
                <w:tcPr>
                  <w:tcW w:w="865" w:type="dxa"/>
                  <w:tcBorders>
                    <w:top w:val="single" w:color="auto" w:sz="4" w:space="0"/>
                    <w:left w:val="single" w:color="auto" w:sz="4" w:space="0"/>
                    <w:bottom w:val="single" w:color="auto" w:sz="4" w:space="0"/>
                    <w:right w:val="single" w:color="auto" w:sz="12"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钻井期</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369" w:hRule="atLeast"/>
                <w:jc w:val="center"/>
              </w:trPr>
              <w:tc>
                <w:tcPr>
                  <w:tcW w:w="865" w:type="dxa"/>
                  <w:vMerge w:val="continue"/>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175"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废油桶</w:t>
                  </w:r>
                </w:p>
              </w:tc>
              <w:tc>
                <w:tcPr>
                  <w:tcW w:w="917"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HW49</w:t>
                  </w:r>
                </w:p>
              </w:tc>
              <w:tc>
                <w:tcPr>
                  <w:tcW w:w="1123"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900-047-49</w:t>
                  </w:r>
                </w:p>
              </w:tc>
              <w:tc>
                <w:tcPr>
                  <w:tcW w:w="560" w:type="dxa"/>
                  <w:vMerge w:val="continue"/>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696" w:type="dxa"/>
                  <w:vMerge w:val="continue"/>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082"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置于铁质托盘上放</w:t>
                  </w:r>
                </w:p>
              </w:tc>
              <w:tc>
                <w:tcPr>
                  <w:tcW w:w="865"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1t</w:t>
                  </w:r>
                </w:p>
              </w:tc>
              <w:tc>
                <w:tcPr>
                  <w:tcW w:w="865" w:type="dxa"/>
                  <w:tcBorders>
                    <w:top w:val="single" w:color="auto" w:sz="4" w:space="0"/>
                    <w:left w:val="single" w:color="auto" w:sz="4" w:space="0"/>
                    <w:bottom w:val="single" w:color="auto" w:sz="4" w:space="0"/>
                    <w:right w:val="single" w:color="auto" w:sz="12"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钻井期</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369" w:hRule="atLeast"/>
                <w:jc w:val="center"/>
              </w:trPr>
              <w:tc>
                <w:tcPr>
                  <w:tcW w:w="865" w:type="dxa"/>
                  <w:vMerge w:val="continue"/>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175"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szCs w:val="21"/>
                      <w:lang w:val="en-US" w:eastAsia="zh-CN"/>
                    </w:rPr>
                  </w:pPr>
                  <w:r>
                    <w:rPr>
                      <w:rFonts w:hint="eastAsia" w:cs="Times New Roman"/>
                      <w:bCs/>
                      <w:color w:val="auto"/>
                      <w:szCs w:val="21"/>
                      <w:lang w:val="en-US" w:eastAsia="zh-CN"/>
                    </w:rPr>
                    <w:t>油基岩屑</w:t>
                  </w:r>
                </w:p>
              </w:tc>
              <w:tc>
                <w:tcPr>
                  <w:tcW w:w="917"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2"/>
                      <w:sz w:val="21"/>
                      <w:szCs w:val="21"/>
                      <w:lang w:val="en-US" w:eastAsia="zh-CN" w:bidi="ar-SA"/>
                    </w:rPr>
                  </w:pPr>
                  <w:r>
                    <w:rPr>
                      <w:rFonts w:hint="eastAsia"/>
                      <w:bCs/>
                      <w:color w:val="auto"/>
                      <w:szCs w:val="21"/>
                    </w:rPr>
                    <w:t>HW08</w:t>
                  </w:r>
                </w:p>
              </w:tc>
              <w:tc>
                <w:tcPr>
                  <w:tcW w:w="1123"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2"/>
                      <w:sz w:val="21"/>
                      <w:szCs w:val="21"/>
                      <w:lang w:val="en-US" w:eastAsia="zh-CN" w:bidi="ar-SA"/>
                    </w:rPr>
                  </w:pPr>
                  <w:r>
                    <w:rPr>
                      <w:rFonts w:hint="default"/>
                      <w:bCs/>
                      <w:color w:val="auto"/>
                      <w:szCs w:val="21"/>
                    </w:rPr>
                    <w:t>072-001-08</w:t>
                  </w:r>
                </w:p>
              </w:tc>
              <w:tc>
                <w:tcPr>
                  <w:tcW w:w="560" w:type="dxa"/>
                  <w:vMerge w:val="continue"/>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696" w:type="dxa"/>
                  <w:vMerge w:val="continue"/>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08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2"/>
                      <w:sz w:val="21"/>
                      <w:szCs w:val="21"/>
                      <w:lang w:val="en-US" w:eastAsia="zh-CN" w:bidi="ar-SA"/>
                    </w:rPr>
                  </w:pPr>
                  <w:r>
                    <w:rPr>
                      <w:rFonts w:hint="eastAsia"/>
                      <w:bCs/>
                      <w:color w:val="auto"/>
                      <w:szCs w:val="21"/>
                      <w:lang w:val="en-US" w:eastAsia="zh-CN"/>
                    </w:rPr>
                    <w:t>钢罐盛装</w:t>
                  </w:r>
                </w:p>
              </w:tc>
              <w:tc>
                <w:tcPr>
                  <w:tcW w:w="865"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2"/>
                      <w:sz w:val="21"/>
                      <w:szCs w:val="21"/>
                      <w:lang w:val="en-US" w:eastAsia="zh-CN" w:bidi="ar-SA"/>
                    </w:rPr>
                  </w:pPr>
                  <w:r>
                    <w:rPr>
                      <w:rFonts w:hint="eastAsia"/>
                      <w:bCs/>
                      <w:color w:val="auto"/>
                      <w:szCs w:val="21"/>
                      <w:lang w:val="en-US" w:eastAsia="zh-CN"/>
                    </w:rPr>
                    <w:t>100t</w:t>
                  </w:r>
                </w:p>
              </w:tc>
              <w:tc>
                <w:tcPr>
                  <w:tcW w:w="865" w:type="dxa"/>
                  <w:tcBorders>
                    <w:top w:val="single" w:color="auto" w:sz="4" w:space="0"/>
                    <w:left w:val="single" w:color="auto" w:sz="4" w:space="0"/>
                    <w:bottom w:val="single" w:color="auto" w:sz="4" w:space="0"/>
                    <w:right w:val="single" w:color="auto" w:sz="12" w:space="0"/>
                  </w:tcBorders>
                  <w:shd w:val="clear" w:color="auto" w:fill="auto"/>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2"/>
                      <w:sz w:val="21"/>
                      <w:szCs w:val="21"/>
                      <w:lang w:val="en-US" w:eastAsia="zh-CN" w:bidi="ar-SA"/>
                    </w:rPr>
                  </w:pPr>
                  <w:r>
                    <w:rPr>
                      <w:rFonts w:hint="eastAsia"/>
                      <w:bCs/>
                      <w:color w:val="auto"/>
                      <w:szCs w:val="21"/>
                      <w:lang w:val="en-US" w:eastAsia="zh-CN"/>
                    </w:rPr>
                    <w:t>钻井期</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369" w:hRule="atLeast"/>
                <w:jc w:val="center"/>
              </w:trPr>
              <w:tc>
                <w:tcPr>
                  <w:tcW w:w="865" w:type="dxa"/>
                  <w:vMerge w:val="continue"/>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175" w:type="dxa"/>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eastAsia" w:ascii="Times New Roman" w:hAnsi="Times New Roman" w:eastAsia="宋体" w:cs="Times New Roman"/>
                      <w:bCs/>
                      <w:color w:val="auto"/>
                      <w:szCs w:val="21"/>
                      <w:lang w:val="en-US" w:eastAsia="zh-CN"/>
                    </w:rPr>
                  </w:pPr>
                  <w:r>
                    <w:rPr>
                      <w:rFonts w:hint="eastAsia" w:cs="Times New Roman"/>
                      <w:bCs/>
                      <w:color w:val="auto"/>
                      <w:szCs w:val="21"/>
                      <w:lang w:val="en-US" w:eastAsia="zh-CN"/>
                    </w:rPr>
                    <w:t>油基泥浆</w:t>
                  </w:r>
                </w:p>
              </w:tc>
              <w:tc>
                <w:tcPr>
                  <w:tcW w:w="917"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2"/>
                      <w:sz w:val="21"/>
                      <w:szCs w:val="21"/>
                      <w:lang w:val="en-US" w:eastAsia="zh-CN" w:bidi="ar-SA"/>
                    </w:rPr>
                  </w:pPr>
                  <w:r>
                    <w:rPr>
                      <w:rFonts w:hint="eastAsia"/>
                      <w:bCs/>
                      <w:color w:val="auto"/>
                      <w:szCs w:val="21"/>
                    </w:rPr>
                    <w:t>HW08</w:t>
                  </w:r>
                </w:p>
              </w:tc>
              <w:tc>
                <w:tcPr>
                  <w:tcW w:w="1123"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2"/>
                      <w:sz w:val="21"/>
                      <w:szCs w:val="21"/>
                      <w:lang w:val="en-US" w:eastAsia="zh-CN" w:bidi="ar-SA"/>
                    </w:rPr>
                  </w:pPr>
                  <w:r>
                    <w:rPr>
                      <w:rFonts w:hint="default"/>
                      <w:bCs/>
                      <w:color w:val="auto"/>
                      <w:szCs w:val="21"/>
                    </w:rPr>
                    <w:t>072-001-08</w:t>
                  </w:r>
                </w:p>
              </w:tc>
              <w:tc>
                <w:tcPr>
                  <w:tcW w:w="560" w:type="dxa"/>
                  <w:vMerge w:val="continue"/>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696" w:type="dxa"/>
                  <w:vMerge w:val="continue"/>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08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2"/>
                      <w:sz w:val="21"/>
                      <w:szCs w:val="21"/>
                      <w:lang w:val="en-US" w:eastAsia="zh-CN" w:bidi="ar-SA"/>
                    </w:rPr>
                  </w:pPr>
                  <w:r>
                    <w:rPr>
                      <w:rFonts w:hint="eastAsia"/>
                      <w:bCs/>
                      <w:color w:val="auto"/>
                      <w:szCs w:val="21"/>
                      <w:lang w:val="en-US" w:eastAsia="zh-CN"/>
                    </w:rPr>
                    <w:t>钢罐盛装</w:t>
                  </w:r>
                </w:p>
              </w:tc>
              <w:tc>
                <w:tcPr>
                  <w:tcW w:w="865"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2"/>
                      <w:sz w:val="21"/>
                      <w:szCs w:val="21"/>
                      <w:lang w:val="en-US" w:eastAsia="zh-CN" w:bidi="ar-SA"/>
                    </w:rPr>
                  </w:pPr>
                  <w:r>
                    <w:rPr>
                      <w:rFonts w:hint="eastAsia"/>
                      <w:bCs/>
                      <w:color w:val="auto"/>
                      <w:szCs w:val="21"/>
                      <w:lang w:val="en-US" w:eastAsia="zh-CN"/>
                    </w:rPr>
                    <w:t>10m</w:t>
                  </w:r>
                  <w:r>
                    <w:rPr>
                      <w:rFonts w:hint="eastAsia"/>
                      <w:bCs/>
                      <w:color w:val="auto"/>
                      <w:szCs w:val="21"/>
                      <w:vertAlign w:val="superscript"/>
                      <w:lang w:val="en-US" w:eastAsia="zh-CN"/>
                    </w:rPr>
                    <w:t>3</w:t>
                  </w:r>
                </w:p>
              </w:tc>
              <w:tc>
                <w:tcPr>
                  <w:tcW w:w="865" w:type="dxa"/>
                  <w:tcBorders>
                    <w:top w:val="single" w:color="auto" w:sz="4" w:space="0"/>
                    <w:left w:val="single" w:color="auto" w:sz="4" w:space="0"/>
                    <w:bottom w:val="single" w:color="auto" w:sz="4" w:space="0"/>
                    <w:right w:val="single" w:color="auto" w:sz="12" w:space="0"/>
                  </w:tcBorders>
                  <w:shd w:val="clear" w:color="auto" w:fill="auto"/>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eastAsia="宋体" w:cs="Times New Roman"/>
                      <w:bCs/>
                      <w:color w:val="auto"/>
                      <w:kern w:val="2"/>
                      <w:sz w:val="21"/>
                      <w:szCs w:val="21"/>
                      <w:lang w:val="en-US" w:eastAsia="zh-CN" w:bidi="ar-SA"/>
                    </w:rPr>
                  </w:pPr>
                  <w:r>
                    <w:rPr>
                      <w:rFonts w:hint="eastAsia"/>
                      <w:bCs/>
                      <w:color w:val="auto"/>
                      <w:szCs w:val="21"/>
                      <w:lang w:val="en-US" w:eastAsia="zh-CN"/>
                    </w:rPr>
                    <w:t>钻井期</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369" w:hRule="atLeast"/>
                <w:jc w:val="center"/>
              </w:trPr>
              <w:tc>
                <w:tcPr>
                  <w:tcW w:w="865" w:type="dxa"/>
                  <w:vMerge w:val="continue"/>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175"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01"/>
                    <w:keepNext w:val="0"/>
                    <w:keepLines w:val="0"/>
                    <w:suppressLineNumbers w:val="0"/>
                    <w:spacing w:before="0" w:beforeAutospacing="0" w:after="0" w:afterAutospacing="0"/>
                    <w:ind w:left="0" w:leftChars="0" w:right="0" w:rightChars="0"/>
                    <w:jc w:val="center"/>
                    <w:rPr>
                      <w:rFonts w:hint="eastAsia" w:ascii="Times New Roman" w:hAnsi="Times New Roman" w:eastAsia="宋体" w:cs="Times New Roman"/>
                      <w:bCs/>
                      <w:color w:val="auto"/>
                      <w:kern w:val="2"/>
                      <w:sz w:val="21"/>
                      <w:szCs w:val="21"/>
                      <w:lang w:val="en-US" w:eastAsia="zh-CN" w:bidi="ar-SA"/>
                    </w:rPr>
                  </w:pPr>
                  <w:r>
                    <w:rPr>
                      <w:rFonts w:hint="default" w:ascii="Times New Roman" w:hAnsi="Times New Roman" w:cs="Times New Roman"/>
                      <w:bCs/>
                      <w:color w:val="auto"/>
                      <w:szCs w:val="21"/>
                    </w:rPr>
                    <w:t>废棉纱/手套</w:t>
                  </w:r>
                </w:p>
              </w:tc>
              <w:tc>
                <w:tcPr>
                  <w:tcW w:w="91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eastAsia" w:ascii="Times New Roman" w:hAnsi="Times New Roman" w:eastAsia="宋体" w:cs="Times New Roman"/>
                      <w:bCs/>
                      <w:color w:val="auto"/>
                      <w:kern w:val="2"/>
                      <w:sz w:val="21"/>
                      <w:szCs w:val="21"/>
                      <w:lang w:val="en-US" w:eastAsia="zh-CN" w:bidi="ar-SA"/>
                    </w:rPr>
                  </w:pPr>
                  <w:r>
                    <w:rPr>
                      <w:rFonts w:hint="default" w:ascii="Times New Roman" w:hAnsi="Times New Roman" w:cs="Times New Roman"/>
                      <w:color w:val="auto"/>
                      <w:szCs w:val="21"/>
                    </w:rPr>
                    <w:t>HW49</w:t>
                  </w:r>
                </w:p>
              </w:tc>
              <w:tc>
                <w:tcPr>
                  <w:tcW w:w="112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cs="Times New Roman"/>
                      <w:color w:val="auto"/>
                      <w:szCs w:val="21"/>
                    </w:rPr>
                    <w:t>900-041-49</w:t>
                  </w:r>
                </w:p>
              </w:tc>
              <w:tc>
                <w:tcPr>
                  <w:tcW w:w="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pStyle w:val="401"/>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bCs/>
                      <w:color w:val="auto"/>
                      <w:kern w:val="2"/>
                      <w:sz w:val="21"/>
                      <w:szCs w:val="21"/>
                      <w:lang w:val="en-US" w:eastAsia="zh-CN" w:bidi="ar-SA"/>
                    </w:rPr>
                  </w:pPr>
                </w:p>
              </w:tc>
              <w:tc>
                <w:tcPr>
                  <w:tcW w:w="6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pStyle w:val="401"/>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bCs/>
                      <w:color w:val="auto"/>
                      <w:kern w:val="2"/>
                      <w:sz w:val="21"/>
                      <w:szCs w:val="21"/>
                      <w:lang w:val="en-US" w:eastAsia="zh-CN" w:bidi="ar-SA"/>
                    </w:rPr>
                  </w:pPr>
                </w:p>
              </w:tc>
              <w:tc>
                <w:tcPr>
                  <w:tcW w:w="108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01"/>
                    <w:keepNext w:val="0"/>
                    <w:keepLines w:val="0"/>
                    <w:suppressLineNumbers w:val="0"/>
                    <w:spacing w:before="0" w:beforeAutospacing="0" w:after="0" w:afterAutospacing="0"/>
                    <w:ind w:left="0" w:leftChars="0" w:right="0" w:rightChars="0"/>
                    <w:jc w:val="center"/>
                    <w:rPr>
                      <w:rFonts w:hint="eastAsia" w:ascii="Times New Roman" w:hAnsi="Times New Roman" w:eastAsia="宋体" w:cs="Times New Roman"/>
                      <w:bCs/>
                      <w:color w:val="auto"/>
                      <w:kern w:val="2"/>
                      <w:sz w:val="21"/>
                      <w:szCs w:val="21"/>
                      <w:lang w:val="en-US" w:eastAsia="zh-CN" w:bidi="ar-SA"/>
                    </w:rPr>
                  </w:pPr>
                  <w:r>
                    <w:rPr>
                      <w:rFonts w:hint="default" w:ascii="Times New Roman" w:hAnsi="Times New Roman" w:cs="Times New Roman"/>
                      <w:bCs/>
                      <w:color w:val="auto"/>
                      <w:szCs w:val="21"/>
                    </w:rPr>
                    <w:t>专用铁桶盛装</w:t>
                  </w:r>
                </w:p>
              </w:tc>
              <w:tc>
                <w:tcPr>
                  <w:tcW w:w="865"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01"/>
                    <w:keepNext w:val="0"/>
                    <w:keepLines w:val="0"/>
                    <w:suppressLineNumbers w:val="0"/>
                    <w:spacing w:before="0" w:beforeAutospacing="0" w:after="0" w:afterAutospacing="0"/>
                    <w:ind w:left="0" w:leftChars="0" w:right="0" w:rightChars="0"/>
                    <w:jc w:val="center"/>
                    <w:rPr>
                      <w:rFonts w:hint="eastAsia" w:ascii="Times New Roman" w:hAnsi="Times New Roman" w:eastAsia="宋体" w:cs="Times New Roman"/>
                      <w:bCs/>
                      <w:color w:val="auto"/>
                      <w:kern w:val="2"/>
                      <w:sz w:val="21"/>
                      <w:szCs w:val="21"/>
                      <w:lang w:val="en-US" w:eastAsia="zh-CN" w:bidi="ar-SA"/>
                    </w:rPr>
                  </w:pPr>
                  <w:r>
                    <w:rPr>
                      <w:rFonts w:hint="default" w:ascii="Times New Roman" w:hAnsi="Times New Roman" w:cs="Times New Roman"/>
                      <w:bCs/>
                      <w:color w:val="auto"/>
                      <w:szCs w:val="21"/>
                    </w:rPr>
                    <w:t>1t</w:t>
                  </w:r>
                </w:p>
              </w:tc>
              <w:tc>
                <w:tcPr>
                  <w:tcW w:w="865" w:type="dxa"/>
                  <w:tcBorders>
                    <w:top w:val="single" w:color="auto" w:sz="4" w:space="0"/>
                    <w:left w:val="single" w:color="auto" w:sz="4" w:space="0"/>
                    <w:bottom w:val="single" w:color="auto" w:sz="4" w:space="0"/>
                    <w:right w:val="single" w:color="auto" w:sz="12" w:space="0"/>
                  </w:tcBorders>
                  <w:shd w:val="clear" w:color="auto" w:fill="auto"/>
                  <w:vAlign w:val="center"/>
                </w:tcPr>
                <w:p>
                  <w:pPr>
                    <w:pStyle w:val="401"/>
                    <w:keepNext w:val="0"/>
                    <w:keepLines w:val="0"/>
                    <w:suppressLineNumbers w:val="0"/>
                    <w:spacing w:before="0" w:beforeAutospacing="0" w:after="0" w:afterAutospacing="0"/>
                    <w:ind w:left="0" w:leftChars="0" w:right="0" w:rightChars="0"/>
                    <w:jc w:val="center"/>
                    <w:rPr>
                      <w:rFonts w:hint="eastAsia" w:ascii="Times New Roman" w:hAnsi="Times New Roman" w:eastAsia="宋体" w:cs="Times New Roman"/>
                      <w:bCs/>
                      <w:color w:val="auto"/>
                      <w:kern w:val="2"/>
                      <w:sz w:val="21"/>
                      <w:szCs w:val="21"/>
                      <w:lang w:val="en-US" w:eastAsia="zh-CN" w:bidi="ar-SA"/>
                    </w:rPr>
                  </w:pPr>
                  <w:r>
                    <w:rPr>
                      <w:rFonts w:hint="default" w:ascii="Times New Roman" w:hAnsi="Times New Roman" w:cs="Times New Roman"/>
                      <w:bCs/>
                      <w:color w:val="auto"/>
                      <w:szCs w:val="21"/>
                    </w:rPr>
                    <w:t>钻井期</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28" w:type="dxa"/>
                  <w:bottom w:w="0" w:type="dxa"/>
                  <w:right w:w="28" w:type="dxa"/>
                </w:tblCellMar>
              </w:tblPrEx>
              <w:trPr>
                <w:trHeight w:val="369" w:hRule="atLeast"/>
                <w:jc w:val="center"/>
              </w:trPr>
              <w:tc>
                <w:tcPr>
                  <w:tcW w:w="865" w:type="dxa"/>
                  <w:vMerge w:val="continue"/>
                  <w:tcBorders>
                    <w:top w:val="single" w:color="auto" w:sz="4" w:space="0"/>
                    <w:left w:val="single" w:color="auto" w:sz="4" w:space="0"/>
                    <w:bottom w:val="single" w:color="auto" w:sz="4" w:space="0"/>
                    <w:right w:val="single" w:color="auto" w:sz="4" w:space="0"/>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c>
                <w:tcPr>
                  <w:tcW w:w="1175"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01"/>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bCs/>
                      <w:color w:val="auto"/>
                      <w:kern w:val="2"/>
                      <w:sz w:val="21"/>
                      <w:szCs w:val="21"/>
                      <w:lang w:val="en-US" w:eastAsia="zh-CN" w:bidi="ar-SA"/>
                    </w:rPr>
                  </w:pPr>
                  <w:r>
                    <w:rPr>
                      <w:rFonts w:hint="eastAsia" w:cs="Times New Roman"/>
                      <w:bCs/>
                      <w:color w:val="auto"/>
                      <w:szCs w:val="21"/>
                      <w:lang w:val="en-US" w:eastAsia="zh-CN"/>
                    </w:rPr>
                    <w:t>环境监测池污泥</w:t>
                  </w:r>
                </w:p>
              </w:tc>
              <w:tc>
                <w:tcPr>
                  <w:tcW w:w="917"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bCs/>
                      <w:color w:val="auto"/>
                      <w:kern w:val="2"/>
                      <w:sz w:val="21"/>
                      <w:szCs w:val="21"/>
                      <w:lang w:val="en-US" w:eastAsia="zh-CN" w:bidi="ar-SA"/>
                    </w:rPr>
                  </w:pPr>
                  <w:r>
                    <w:rPr>
                      <w:rFonts w:hint="eastAsia" w:cs="Times New Roman"/>
                      <w:bCs/>
                      <w:color w:val="auto"/>
                      <w:szCs w:val="21"/>
                      <w:lang w:val="en-US" w:eastAsia="zh-CN"/>
                    </w:rPr>
                    <w:t>HW49</w:t>
                  </w:r>
                </w:p>
              </w:tc>
              <w:tc>
                <w:tcPr>
                  <w:tcW w:w="112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bCs/>
                      <w:color w:val="auto"/>
                      <w:kern w:val="2"/>
                      <w:sz w:val="21"/>
                      <w:szCs w:val="21"/>
                      <w:lang w:val="en-US" w:eastAsia="zh-CN" w:bidi="ar-SA"/>
                    </w:rPr>
                  </w:pPr>
                  <w:r>
                    <w:rPr>
                      <w:rFonts w:hint="eastAsia" w:cs="Times New Roman"/>
                      <w:bCs/>
                      <w:color w:val="auto"/>
                      <w:szCs w:val="21"/>
                      <w:lang w:val="en-US" w:eastAsia="zh-CN"/>
                    </w:rPr>
                    <w:t>772-006-49</w:t>
                  </w:r>
                </w:p>
              </w:tc>
              <w:tc>
                <w:tcPr>
                  <w:tcW w:w="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pStyle w:val="401"/>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bCs/>
                      <w:color w:val="auto"/>
                      <w:kern w:val="2"/>
                      <w:sz w:val="21"/>
                      <w:szCs w:val="21"/>
                      <w:lang w:val="en-US" w:eastAsia="zh-CN" w:bidi="ar-SA"/>
                    </w:rPr>
                  </w:pPr>
                </w:p>
              </w:tc>
              <w:tc>
                <w:tcPr>
                  <w:tcW w:w="696"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pStyle w:val="401"/>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bCs/>
                      <w:color w:val="auto"/>
                      <w:kern w:val="2"/>
                      <w:sz w:val="21"/>
                      <w:szCs w:val="21"/>
                      <w:lang w:val="en-US" w:eastAsia="zh-CN" w:bidi="ar-SA"/>
                    </w:rPr>
                  </w:pPr>
                </w:p>
              </w:tc>
              <w:tc>
                <w:tcPr>
                  <w:tcW w:w="108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01"/>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cs="Times New Roman"/>
                      <w:bCs/>
                      <w:color w:val="auto"/>
                      <w:szCs w:val="21"/>
                    </w:rPr>
                    <w:t>专用铁桶盛装</w:t>
                  </w:r>
                </w:p>
              </w:tc>
              <w:tc>
                <w:tcPr>
                  <w:tcW w:w="865" w:type="dxa"/>
                  <w:tcBorders>
                    <w:top w:val="single" w:color="auto" w:sz="4" w:space="0"/>
                    <w:left w:val="single" w:color="auto" w:sz="4" w:space="0"/>
                    <w:bottom w:val="single" w:color="auto" w:sz="4" w:space="0"/>
                    <w:right w:val="single" w:color="auto" w:sz="4" w:space="0"/>
                  </w:tcBorders>
                  <w:shd w:val="clear" w:color="auto" w:fill="auto"/>
                  <w:vAlign w:val="center"/>
                </w:tcPr>
                <w:p>
                  <w:pPr>
                    <w:pStyle w:val="401"/>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cs="Times New Roman"/>
                      <w:bCs/>
                      <w:color w:val="auto"/>
                      <w:szCs w:val="21"/>
                    </w:rPr>
                    <w:t>1t</w:t>
                  </w:r>
                </w:p>
              </w:tc>
              <w:tc>
                <w:tcPr>
                  <w:tcW w:w="865" w:type="dxa"/>
                  <w:tcBorders>
                    <w:top w:val="single" w:color="auto" w:sz="4" w:space="0"/>
                    <w:left w:val="single" w:color="auto" w:sz="4" w:space="0"/>
                    <w:bottom w:val="single" w:color="auto" w:sz="4" w:space="0"/>
                    <w:right w:val="single" w:color="auto" w:sz="12" w:space="0"/>
                  </w:tcBorders>
                  <w:shd w:val="clear" w:color="auto" w:fill="auto"/>
                  <w:vAlign w:val="center"/>
                </w:tcPr>
                <w:p>
                  <w:pPr>
                    <w:pStyle w:val="401"/>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cs="Times New Roman"/>
                      <w:bCs/>
                      <w:color w:val="auto"/>
                      <w:szCs w:val="21"/>
                    </w:rPr>
                    <w:t>钻井期</w:t>
                  </w:r>
                </w:p>
              </w:tc>
            </w:tr>
          </w:tbl>
          <w:p>
            <w:pPr>
              <w:pStyle w:val="19"/>
              <w:keepNext w:val="0"/>
              <w:keepLines w:val="0"/>
              <w:suppressLineNumbers w:val="0"/>
              <w:tabs>
                <w:tab w:val="left" w:pos="0"/>
                <w:tab w:val="left" w:pos="833"/>
              </w:tabs>
              <w:spacing w:before="0" w:beforeAutospacing="0" w:after="0" w:afterAutospacing="0" w:line="360" w:lineRule="auto"/>
              <w:ind w:left="840" w:right="0"/>
              <w:jc w:val="center"/>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表4-12 项目固体废物产生量、储存、处置措施表</w:t>
            </w:r>
          </w:p>
          <w:tbl>
            <w:tblPr>
              <w:tblStyle w:val="45"/>
              <w:tblW w:w="8137"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267"/>
              <w:gridCol w:w="1181"/>
              <w:gridCol w:w="1087"/>
              <w:gridCol w:w="1418"/>
              <w:gridCol w:w="318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2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固废类型</w:t>
                  </w:r>
                </w:p>
              </w:tc>
              <w:tc>
                <w:tcPr>
                  <w:tcW w:w="118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产生量</w:t>
                  </w:r>
                </w:p>
              </w:tc>
              <w:tc>
                <w:tcPr>
                  <w:tcW w:w="108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固废性质</w:t>
                  </w:r>
                </w:p>
              </w:tc>
              <w:tc>
                <w:tcPr>
                  <w:tcW w:w="14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代码</w:t>
                  </w:r>
                </w:p>
              </w:tc>
              <w:tc>
                <w:tcPr>
                  <w:tcW w:w="318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处置方式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2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废水基泥浆</w:t>
                  </w:r>
                </w:p>
              </w:tc>
              <w:tc>
                <w:tcPr>
                  <w:tcW w:w="118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eastAsia" w:cs="Times New Roman"/>
                      <w:color w:val="auto"/>
                      <w:szCs w:val="21"/>
                      <w:lang w:eastAsia="zh-CN"/>
                    </w:rPr>
                    <w:t>104.95</w:t>
                  </w:r>
                  <w:r>
                    <w:rPr>
                      <w:rFonts w:hint="default" w:ascii="Times New Roman" w:hAnsi="Times New Roman" w:cs="Times New Roman"/>
                      <w:color w:val="auto"/>
                      <w:szCs w:val="21"/>
                    </w:rPr>
                    <w:t>m</w:t>
                  </w:r>
                  <w:r>
                    <w:rPr>
                      <w:rFonts w:hint="default" w:ascii="Times New Roman" w:hAnsi="Times New Roman" w:cs="Times New Roman"/>
                      <w:color w:val="auto"/>
                      <w:szCs w:val="21"/>
                      <w:vertAlign w:val="superscript"/>
                    </w:rPr>
                    <w:t>3</w:t>
                  </w:r>
                </w:p>
              </w:tc>
              <w:tc>
                <w:tcPr>
                  <w:tcW w:w="1087" w:type="dxa"/>
                  <w:vMerge w:val="restart"/>
                  <w:tcBorders>
                    <w:tl2br w:val="nil"/>
                    <w:tr2bl w:val="nil"/>
                  </w:tcBorders>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Cs w:val="21"/>
                    </w:rPr>
                    <w:t>一般固废</w:t>
                  </w:r>
                </w:p>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4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SW12:071-003-S12</w:t>
                  </w:r>
                </w:p>
              </w:tc>
              <w:tc>
                <w:tcPr>
                  <w:tcW w:w="318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随钻处理，及时转运，拟交由具有处理处置相应固体废物能力并配套建设有废气、废水、固废等污染物治理设施的单位进行资源化利用处置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2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清水钻屑及水基岩屑</w:t>
                  </w:r>
                </w:p>
              </w:tc>
              <w:tc>
                <w:tcPr>
                  <w:tcW w:w="118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eastAsia" w:cs="Times New Roman"/>
                      <w:color w:val="auto"/>
                      <w:szCs w:val="21"/>
                      <w:lang w:eastAsia="zh-CN"/>
                    </w:rPr>
                    <w:t>3440.4</w:t>
                  </w:r>
                  <w:r>
                    <w:rPr>
                      <w:rFonts w:hint="default" w:ascii="Times New Roman" w:hAnsi="Times New Roman" w:cs="Times New Roman"/>
                      <w:color w:val="auto"/>
                      <w:szCs w:val="21"/>
                    </w:rPr>
                    <w:t>t</w:t>
                  </w:r>
                </w:p>
              </w:tc>
              <w:tc>
                <w:tcPr>
                  <w:tcW w:w="1087"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4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SW12:071-001-S12</w:t>
                  </w:r>
                </w:p>
              </w:tc>
              <w:tc>
                <w:tcPr>
                  <w:tcW w:w="318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2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废油</w:t>
                  </w:r>
                </w:p>
              </w:tc>
              <w:tc>
                <w:tcPr>
                  <w:tcW w:w="118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0.5t</w:t>
                  </w:r>
                </w:p>
              </w:tc>
              <w:tc>
                <w:tcPr>
                  <w:tcW w:w="1087"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zCs w:val="21"/>
                      <w:lang w:val="en-US" w:eastAsia="zh-CN"/>
                    </w:rPr>
                  </w:pPr>
                  <w:r>
                    <w:rPr>
                      <w:rFonts w:hint="eastAsia" w:cs="Times New Roman"/>
                      <w:color w:val="auto"/>
                      <w:szCs w:val="21"/>
                      <w:lang w:val="en-US" w:eastAsia="zh-CN"/>
                    </w:rPr>
                    <w:t>危险废物</w:t>
                  </w:r>
                </w:p>
              </w:tc>
              <w:tc>
                <w:tcPr>
                  <w:tcW w:w="14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HW08</w:t>
                  </w:r>
                  <w:r>
                    <w:rPr>
                      <w:rFonts w:hint="eastAsia" w:cs="Times New Roman"/>
                      <w:color w:val="auto"/>
                      <w:szCs w:val="21"/>
                      <w:lang w:eastAsia="zh-CN"/>
                    </w:rPr>
                    <w:t>:</w:t>
                  </w:r>
                </w:p>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900-249-08</w:t>
                  </w:r>
                </w:p>
              </w:tc>
              <w:tc>
                <w:tcPr>
                  <w:tcW w:w="318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通过废油桶收集，定期交由有资质单位处置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2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废油桶</w:t>
                  </w:r>
                </w:p>
              </w:tc>
              <w:tc>
                <w:tcPr>
                  <w:tcW w:w="118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0.1t</w:t>
                  </w:r>
                </w:p>
              </w:tc>
              <w:tc>
                <w:tcPr>
                  <w:tcW w:w="1087"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4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HW49</w:t>
                  </w:r>
                  <w:r>
                    <w:rPr>
                      <w:rFonts w:hint="eastAsia" w:cs="Times New Roman"/>
                      <w:color w:val="auto"/>
                      <w:szCs w:val="21"/>
                      <w:lang w:eastAsia="zh-CN"/>
                    </w:rPr>
                    <w:t>:</w:t>
                  </w:r>
                </w:p>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900-04</w:t>
                  </w:r>
                  <w:r>
                    <w:rPr>
                      <w:rFonts w:hint="eastAsia" w:cs="Times New Roman"/>
                      <w:color w:val="auto"/>
                      <w:szCs w:val="21"/>
                      <w:lang w:val="en-US" w:eastAsia="zh-CN"/>
                    </w:rPr>
                    <w:t>7</w:t>
                  </w:r>
                  <w:r>
                    <w:rPr>
                      <w:rFonts w:hint="default" w:ascii="Times New Roman" w:hAnsi="Times New Roman" w:cs="Times New Roman"/>
                      <w:color w:val="auto"/>
                      <w:szCs w:val="21"/>
                    </w:rPr>
                    <w:t>-49</w:t>
                  </w:r>
                </w:p>
              </w:tc>
              <w:tc>
                <w:tcPr>
                  <w:tcW w:w="318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267"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color w:val="auto"/>
                      <w:szCs w:val="21"/>
                    </w:rPr>
                    <w:t>油基岩屑</w:t>
                  </w:r>
                </w:p>
              </w:tc>
              <w:tc>
                <w:tcPr>
                  <w:tcW w:w="118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680.4t</w:t>
                  </w:r>
                </w:p>
              </w:tc>
              <w:tc>
                <w:tcPr>
                  <w:tcW w:w="1087"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418"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color w:val="auto"/>
                      <w:szCs w:val="21"/>
                    </w:rPr>
                  </w:pPr>
                  <w:r>
                    <w:rPr>
                      <w:rFonts w:hint="default"/>
                      <w:color w:val="auto"/>
                      <w:szCs w:val="21"/>
                    </w:rPr>
                    <w:t>HW08</w:t>
                  </w:r>
                  <w:r>
                    <w:rPr>
                      <w:rFonts w:hint="eastAsia"/>
                      <w:color w:val="auto"/>
                      <w:szCs w:val="21"/>
                      <w:lang w:eastAsia="zh-CN"/>
                    </w:rPr>
                    <w:t>:</w:t>
                  </w:r>
                </w:p>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kern w:val="2"/>
                      <w:sz w:val="21"/>
                      <w:szCs w:val="21"/>
                      <w:lang w:val="en-US" w:eastAsia="zh-CN" w:bidi="ar-SA"/>
                    </w:rPr>
                  </w:pPr>
                  <w:r>
                    <w:rPr>
                      <w:rFonts w:hint="default"/>
                      <w:color w:val="auto"/>
                      <w:szCs w:val="21"/>
                    </w:rPr>
                    <w:t>072-001-08</w:t>
                  </w:r>
                </w:p>
              </w:tc>
              <w:tc>
                <w:tcPr>
                  <w:tcW w:w="318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拟及时交由有资质单位处置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267"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eastAsia" w:ascii="Times New Roman" w:hAnsi="Times New Roman" w:eastAsia="宋体" w:cs="Times New Roman"/>
                      <w:color w:val="auto"/>
                      <w:kern w:val="2"/>
                      <w:sz w:val="21"/>
                      <w:szCs w:val="21"/>
                      <w:lang w:val="en-US" w:eastAsia="zh-CN" w:bidi="ar-SA"/>
                    </w:rPr>
                  </w:pPr>
                  <w:r>
                    <w:rPr>
                      <w:rFonts w:hint="eastAsia"/>
                      <w:color w:val="auto"/>
                      <w:szCs w:val="21"/>
                    </w:rPr>
                    <w:t>油基泥浆</w:t>
                  </w:r>
                </w:p>
              </w:tc>
              <w:tc>
                <w:tcPr>
                  <w:tcW w:w="1181"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eastAsia" w:ascii="Times New Roman" w:hAnsi="Times New Roman" w:eastAsia="宋体" w:cs="Times New Roman"/>
                      <w:color w:val="auto"/>
                      <w:kern w:val="2"/>
                      <w:sz w:val="21"/>
                      <w:szCs w:val="21"/>
                      <w:lang w:val="en-US" w:eastAsia="zh-CN" w:bidi="ar-SA"/>
                    </w:rPr>
                  </w:pPr>
                  <w:r>
                    <w:rPr>
                      <w:rFonts w:hint="eastAsia" w:cs="Times New Roman"/>
                      <w:color w:val="auto"/>
                      <w:szCs w:val="21"/>
                      <w:lang w:val="en-US" w:eastAsia="zh-CN"/>
                    </w:rPr>
                    <w:t>21.1m</w:t>
                  </w:r>
                  <w:r>
                    <w:rPr>
                      <w:rFonts w:hint="eastAsia" w:cs="Times New Roman"/>
                      <w:color w:val="auto"/>
                      <w:szCs w:val="21"/>
                      <w:vertAlign w:val="superscript"/>
                      <w:lang w:val="en-US" w:eastAsia="zh-CN"/>
                    </w:rPr>
                    <w:t>3</w:t>
                  </w:r>
                </w:p>
              </w:tc>
              <w:tc>
                <w:tcPr>
                  <w:tcW w:w="1087"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418"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21"/>
                      <w:szCs w:val="21"/>
                      <w:lang w:val="en-US" w:eastAsia="zh-CN" w:bidi="ar-SA"/>
                    </w:rPr>
                  </w:pPr>
                  <w:r>
                    <w:rPr>
                      <w:rFonts w:hint="default"/>
                      <w:color w:val="auto"/>
                      <w:szCs w:val="21"/>
                    </w:rPr>
                    <w:t>HW08</w:t>
                  </w:r>
                  <w:r>
                    <w:rPr>
                      <w:rFonts w:hint="eastAsia"/>
                      <w:color w:val="auto"/>
                      <w:szCs w:val="21"/>
                      <w:lang w:eastAsia="zh-CN"/>
                    </w:rPr>
                    <w:t>:</w:t>
                  </w:r>
                  <w:r>
                    <w:rPr>
                      <w:rFonts w:hint="eastAsia"/>
                      <w:color w:val="auto"/>
                      <w:szCs w:val="21"/>
                    </w:rPr>
                    <w:t>072-001-08</w:t>
                  </w:r>
                </w:p>
              </w:tc>
              <w:tc>
                <w:tcPr>
                  <w:tcW w:w="318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267"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Cs w:val="21"/>
                    </w:rPr>
                    <w:t>废棉纱/手套</w:t>
                  </w:r>
                </w:p>
              </w:tc>
              <w:tc>
                <w:tcPr>
                  <w:tcW w:w="1181"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Cs w:val="21"/>
                    </w:rPr>
                    <w:t>0.1t</w:t>
                  </w:r>
                </w:p>
              </w:tc>
              <w:tc>
                <w:tcPr>
                  <w:tcW w:w="1087"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418" w:type="dxa"/>
                  <w:tcBorders>
                    <w:tl2br w:val="nil"/>
                    <w:tr2bl w:val="nil"/>
                  </w:tcBorders>
                  <w:shd w:val="clear" w:color="auto" w:fill="auto"/>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HW49</w:t>
                  </w:r>
                  <w:r>
                    <w:rPr>
                      <w:rFonts w:hint="eastAsia" w:cs="Times New Roman"/>
                      <w:color w:val="auto"/>
                      <w:szCs w:val="21"/>
                      <w:lang w:eastAsia="zh-CN"/>
                    </w:rPr>
                    <w:t>:</w:t>
                  </w:r>
                </w:p>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Cs w:val="21"/>
                    </w:rPr>
                    <w:t>900-041-49</w:t>
                  </w:r>
                </w:p>
              </w:tc>
              <w:tc>
                <w:tcPr>
                  <w:tcW w:w="3184" w:type="dxa"/>
                  <w:vMerge w:val="continue"/>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267"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Cs w:val="21"/>
                      <w:lang w:val="en-US" w:eastAsia="zh-CN"/>
                    </w:rPr>
                    <w:t>环境监测池污泥</w:t>
                  </w:r>
                </w:p>
              </w:tc>
              <w:tc>
                <w:tcPr>
                  <w:tcW w:w="1181"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Cs w:val="21"/>
                      <w:lang w:val="en-US" w:eastAsia="zh-CN"/>
                    </w:rPr>
                    <w:t>0.1t</w:t>
                  </w:r>
                </w:p>
              </w:tc>
              <w:tc>
                <w:tcPr>
                  <w:tcW w:w="1087" w:type="dxa"/>
                  <w:vMerge w:val="continue"/>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21"/>
                      <w:szCs w:val="21"/>
                      <w:lang w:val="en-US" w:eastAsia="zh-CN" w:bidi="ar-SA"/>
                    </w:rPr>
                  </w:pPr>
                </w:p>
              </w:tc>
              <w:tc>
                <w:tcPr>
                  <w:tcW w:w="1418"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HW49</w:t>
                  </w:r>
                  <w:r>
                    <w:rPr>
                      <w:rFonts w:hint="eastAsia" w:cs="Times New Roman"/>
                      <w:color w:val="auto"/>
                      <w:kern w:val="2"/>
                      <w:sz w:val="21"/>
                      <w:szCs w:val="21"/>
                      <w:lang w:val="en-US" w:eastAsia="zh-CN" w:bidi="ar-SA"/>
                    </w:rPr>
                    <w:t>:</w:t>
                  </w:r>
                  <w:r>
                    <w:rPr>
                      <w:rFonts w:hint="default" w:ascii="Times New Roman" w:hAnsi="Times New Roman" w:eastAsia="宋体" w:cs="Times New Roman"/>
                      <w:color w:val="auto"/>
                      <w:kern w:val="2"/>
                      <w:sz w:val="21"/>
                      <w:szCs w:val="21"/>
                      <w:lang w:val="en-US" w:eastAsia="zh-CN" w:bidi="ar-SA"/>
                    </w:rPr>
                    <w:t>772-006-49</w:t>
                  </w:r>
                </w:p>
              </w:tc>
              <w:tc>
                <w:tcPr>
                  <w:tcW w:w="3184"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拟及时交由有资质单位处置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2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废包装材料</w:t>
                  </w:r>
                </w:p>
              </w:tc>
              <w:tc>
                <w:tcPr>
                  <w:tcW w:w="118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1t</w:t>
                  </w:r>
                </w:p>
              </w:tc>
              <w:tc>
                <w:tcPr>
                  <w:tcW w:w="108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一般固废</w:t>
                  </w:r>
                </w:p>
              </w:tc>
              <w:tc>
                <w:tcPr>
                  <w:tcW w:w="14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SW59:900-099-S59</w:t>
                  </w:r>
                </w:p>
              </w:tc>
              <w:tc>
                <w:tcPr>
                  <w:tcW w:w="318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拟及时交由相关单位处置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2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生活垃圾</w:t>
                  </w:r>
                </w:p>
              </w:tc>
              <w:tc>
                <w:tcPr>
                  <w:tcW w:w="1181" w:type="dxa"/>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rPr>
                  </w:pPr>
                  <w:r>
                    <w:rPr>
                      <w:rFonts w:hint="eastAsia" w:cs="Times New Roman"/>
                      <w:color w:val="auto"/>
                      <w:lang w:eastAsia="zh-CN"/>
                    </w:rPr>
                    <w:t>1.88</w:t>
                  </w:r>
                  <w:r>
                    <w:rPr>
                      <w:rFonts w:hint="default" w:ascii="Times New Roman" w:hAnsi="Times New Roman" w:cs="Times New Roman"/>
                      <w:color w:val="auto"/>
                    </w:rPr>
                    <w:t>t</w:t>
                  </w:r>
                </w:p>
              </w:tc>
              <w:tc>
                <w:tcPr>
                  <w:tcW w:w="108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生活垃圾</w:t>
                  </w:r>
                </w:p>
              </w:tc>
              <w:tc>
                <w:tcPr>
                  <w:tcW w:w="1418"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318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垃圾桶集中收集后，交当地环卫部门处理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2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lang w:val="en-US" w:eastAsia="zh-CN"/>
                    </w:rPr>
                    <w:t>生活区隔油池污泥</w:t>
                  </w:r>
                </w:p>
              </w:tc>
              <w:tc>
                <w:tcPr>
                  <w:tcW w:w="1181" w:type="dxa"/>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lang w:val="en-US" w:eastAsia="zh-CN"/>
                    </w:rPr>
                  </w:pPr>
                  <w:r>
                    <w:rPr>
                      <w:rFonts w:hint="eastAsia" w:cs="Times New Roman"/>
                      <w:color w:val="auto"/>
                      <w:lang w:val="en-US" w:eastAsia="zh-CN"/>
                    </w:rPr>
                    <w:t>0.2t</w:t>
                  </w:r>
                </w:p>
              </w:tc>
              <w:tc>
                <w:tcPr>
                  <w:tcW w:w="1087"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Cs w:val="21"/>
                      <w:lang w:val="en-US" w:eastAsia="zh-CN"/>
                    </w:rPr>
                    <w:t>一般固废</w:t>
                  </w:r>
                </w:p>
              </w:tc>
              <w:tc>
                <w:tcPr>
                  <w:tcW w:w="1418"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21"/>
                      <w:szCs w:val="21"/>
                      <w:lang w:val="en-US" w:eastAsia="zh-CN" w:bidi="ar-SA"/>
                    </w:rPr>
                  </w:pPr>
                  <w:r>
                    <w:rPr>
                      <w:rFonts w:hint="eastAsia" w:cs="Times New Roman"/>
                      <w:color w:val="auto"/>
                      <w:szCs w:val="21"/>
                      <w:lang w:val="en-US" w:eastAsia="zh-CN"/>
                    </w:rPr>
                    <w:t>SW07:900-099-S07</w:t>
                  </w:r>
                </w:p>
              </w:tc>
              <w:tc>
                <w:tcPr>
                  <w:tcW w:w="3184" w:type="dxa"/>
                  <w:tcBorders>
                    <w:tl2br w:val="nil"/>
                    <w:tr2bl w:val="nil"/>
                  </w:tcBorders>
                  <w:shd w:val="clear" w:color="auto" w:fill="auto"/>
                  <w:vAlign w:val="center"/>
                </w:tcPr>
                <w:p>
                  <w:pPr>
                    <w:keepNext w:val="0"/>
                    <w:keepLines w:val="0"/>
                    <w:suppressLineNumbers w:val="0"/>
                    <w:spacing w:before="0" w:beforeAutospacing="0" w:after="0" w:afterAutospacing="0"/>
                    <w:ind w:left="0" w:leftChars="0" w:right="0" w:right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cs="Times New Roman"/>
                      <w:color w:val="auto"/>
                      <w:szCs w:val="21"/>
                      <w:lang w:val="en-US" w:eastAsia="zh-CN"/>
                    </w:rPr>
                    <w:t>拟及时交由</w:t>
                  </w:r>
                  <w:r>
                    <w:rPr>
                      <w:rFonts w:hint="eastAsia" w:cs="Times New Roman"/>
                      <w:color w:val="auto"/>
                      <w:szCs w:val="21"/>
                      <w:lang w:val="en-US" w:eastAsia="zh-CN"/>
                    </w:rPr>
                    <w:t>有关</w:t>
                  </w:r>
                  <w:r>
                    <w:rPr>
                      <w:rFonts w:hint="default" w:ascii="Times New Roman" w:hAnsi="Times New Roman" w:cs="Times New Roman"/>
                      <w:color w:val="auto"/>
                      <w:szCs w:val="21"/>
                      <w:lang w:val="en-US" w:eastAsia="zh-CN"/>
                    </w:rPr>
                    <w:t>单位处置</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（4）环境影响分析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钻井工程产生的固体废物主要有钻井岩屑、废泥浆、废油及生活垃圾。</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fldChar w:fldCharType="begin"/>
            </w:r>
            <w:r>
              <w:rPr>
                <w:rFonts w:hint="default" w:ascii="Times New Roman" w:hAnsi="Times New Roman" w:cs="Times New Roman"/>
                <w:color w:val="auto"/>
                <w:sz w:val="24"/>
              </w:rPr>
              <w:instrText xml:space="preserve"> = 1 \* GB3 </w:instrText>
            </w:r>
            <w:r>
              <w:rPr>
                <w:rFonts w:hint="default" w:ascii="Times New Roman" w:hAnsi="Times New Roman" w:cs="Times New Roman"/>
                <w:color w:val="auto"/>
                <w:sz w:val="24"/>
              </w:rPr>
              <w:fldChar w:fldCharType="separate"/>
            </w:r>
            <w:r>
              <w:rPr>
                <w:rFonts w:hint="default" w:ascii="Times New Roman" w:hAnsi="Times New Roman" w:cs="Times New Roman"/>
                <w:color w:val="auto"/>
                <w:sz w:val="24"/>
              </w:rPr>
              <w:t>①</w:t>
            </w:r>
            <w:r>
              <w:rPr>
                <w:rFonts w:hint="default" w:ascii="Times New Roman" w:hAnsi="Times New Roman" w:cs="Times New Roman"/>
                <w:color w:val="auto"/>
                <w:sz w:val="24"/>
              </w:rPr>
              <w:fldChar w:fldCharType="end"/>
            </w:r>
            <w:r>
              <w:rPr>
                <w:rFonts w:hint="default" w:ascii="Times New Roman" w:hAnsi="Times New Roman" w:cs="Times New Roman"/>
                <w:color w:val="auto"/>
                <w:sz w:val="24"/>
              </w:rPr>
              <w:t>废泥浆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本项目常规钻井阶段废水基泥浆量约为</w:t>
            </w:r>
            <w:r>
              <w:rPr>
                <w:rFonts w:hint="eastAsia" w:cs="Times New Roman"/>
                <w:color w:val="auto"/>
                <w:sz w:val="24"/>
                <w:lang w:eastAsia="zh-CN"/>
              </w:rPr>
              <w:t>104.95</w:t>
            </w:r>
            <w:r>
              <w:rPr>
                <w:rFonts w:hint="default" w:ascii="Times New Roman" w:hAnsi="Times New Roman" w:cs="Times New Roman"/>
                <w:color w:val="auto"/>
                <w:sz w:val="24"/>
              </w:rPr>
              <w:t>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经循环罐收集后暂存于泥浆不落地平台，泥浆不落地平台已做重点防渗，并设置有围堰，符合暂存要求，最终就近交给依法取得生态环境部门关于利用和处置相关工业固体废物项目环评批复、具有处理处置相应固体废物能力并配套建设有废气、废水、固废等污染物治理设施的单位进行资源化利用。</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fldChar w:fldCharType="begin"/>
            </w:r>
            <w:r>
              <w:rPr>
                <w:rFonts w:hint="default" w:ascii="Times New Roman" w:hAnsi="Times New Roman" w:cs="Times New Roman"/>
                <w:color w:val="auto"/>
                <w:sz w:val="24"/>
              </w:rPr>
              <w:instrText xml:space="preserve"> = 2 \* GB3 </w:instrText>
            </w:r>
            <w:r>
              <w:rPr>
                <w:rFonts w:hint="default" w:ascii="Times New Roman" w:hAnsi="Times New Roman" w:cs="Times New Roman"/>
                <w:color w:val="auto"/>
                <w:sz w:val="24"/>
              </w:rPr>
              <w:fldChar w:fldCharType="separate"/>
            </w:r>
            <w:r>
              <w:rPr>
                <w:rFonts w:hint="default" w:ascii="Times New Roman" w:hAnsi="Times New Roman" w:cs="Times New Roman"/>
                <w:color w:val="auto"/>
                <w:sz w:val="24"/>
              </w:rPr>
              <w:t>②</w:t>
            </w:r>
            <w:r>
              <w:rPr>
                <w:rFonts w:hint="default" w:ascii="Times New Roman" w:hAnsi="Times New Roman" w:cs="Times New Roman"/>
                <w:color w:val="auto"/>
                <w:sz w:val="24"/>
              </w:rPr>
              <w:fldChar w:fldCharType="end"/>
            </w:r>
            <w:r>
              <w:rPr>
                <w:rFonts w:hint="default" w:ascii="Times New Roman" w:hAnsi="Times New Roman" w:cs="Times New Roman"/>
                <w:color w:val="auto"/>
                <w:sz w:val="24"/>
              </w:rPr>
              <w:t>钻井岩屑</w:t>
            </w:r>
          </w:p>
          <w:p>
            <w:pPr>
              <w:keepNext w:val="0"/>
              <w:keepLines w:val="0"/>
              <w:suppressLineNumbers w:val="0"/>
              <w:spacing w:before="0" w:beforeAutospacing="0" w:after="0" w:afterAutospacing="0" w:line="360" w:lineRule="auto"/>
              <w:ind w:left="0" w:right="0" w:firstLine="482" w:firstLineChars="200"/>
              <w:rPr>
                <w:rFonts w:hint="default" w:ascii="Times New Roman" w:hAnsi="Times New Roman" w:cs="Times New Roman"/>
                <w:color w:val="auto"/>
                <w:sz w:val="24"/>
              </w:rPr>
            </w:pPr>
            <w:r>
              <w:rPr>
                <w:rFonts w:hint="default" w:ascii="Times New Roman" w:hAnsi="Times New Roman" w:cs="Times New Roman"/>
                <w:b/>
                <w:bCs/>
                <w:color w:val="auto"/>
                <w:sz w:val="24"/>
              </w:rPr>
              <w:t>清水岩屑及水基岩屑：</w:t>
            </w:r>
            <w:r>
              <w:rPr>
                <w:rFonts w:hint="default" w:ascii="Times New Roman" w:hAnsi="Times New Roman" w:cs="Times New Roman"/>
                <w:color w:val="auto"/>
                <w:sz w:val="24"/>
              </w:rPr>
              <w:t>钻井岩屑是在钻井过程中钻头切削地层岩石而产生的碎屑，其产生量与井眼长度、平均井径有关，水基钻井液钻井产生的钻井岩屑为一般工业固体废物。由岩屑收集罐进行收集，常规钻井阶段产生水基岩屑量为</w:t>
            </w:r>
            <w:r>
              <w:rPr>
                <w:rFonts w:hint="eastAsia" w:cs="Times New Roman"/>
                <w:color w:val="auto"/>
                <w:sz w:val="24"/>
                <w:lang w:eastAsia="zh-CN"/>
              </w:rPr>
              <w:t>3440.4</w:t>
            </w:r>
            <w:r>
              <w:rPr>
                <w:rFonts w:hint="default" w:ascii="Times New Roman" w:hAnsi="Times New Roman" w:cs="Times New Roman"/>
                <w:color w:val="auto"/>
                <w:sz w:val="24"/>
              </w:rPr>
              <w:t>t，暂存岩屑堆放区，</w:t>
            </w:r>
            <w:r>
              <w:rPr>
                <w:rFonts w:hint="default" w:ascii="Times New Roman" w:hAnsi="Times New Roman" w:cs="Times New Roman"/>
                <w:bCs/>
                <w:color w:val="auto"/>
                <w:sz w:val="24"/>
              </w:rPr>
              <w:t>岩屑堆放区采取重点防渗处置，并设置围堰，符合暂存要求</w:t>
            </w:r>
            <w:r>
              <w:rPr>
                <w:rFonts w:hint="default" w:ascii="Times New Roman" w:hAnsi="Times New Roman" w:cs="Times New Roman"/>
                <w:color w:val="auto"/>
                <w:sz w:val="24"/>
              </w:rPr>
              <w:t>，及时外运交由有资质单位资源化利用。</w:t>
            </w:r>
          </w:p>
          <w:p>
            <w:pPr>
              <w:keepNext w:val="0"/>
              <w:keepLines w:val="0"/>
              <w:suppressLineNumbers w:val="0"/>
              <w:spacing w:before="0" w:beforeAutospacing="0" w:after="0" w:afterAutospacing="0" w:line="360" w:lineRule="auto"/>
              <w:ind w:left="0" w:right="0" w:firstLine="480" w:firstLineChars="200"/>
              <w:rPr>
                <w:rFonts w:hint="default"/>
                <w:color w:val="auto"/>
              </w:rPr>
            </w:pPr>
            <w:r>
              <w:rPr>
                <w:rFonts w:hint="default" w:ascii="Times New Roman" w:hAnsi="Times New Roman" w:cs="Times New Roman"/>
                <w:color w:val="auto"/>
                <w:sz w:val="24"/>
              </w:rPr>
              <w:t>油基岩屑</w:t>
            </w:r>
            <w:r>
              <w:rPr>
                <w:rFonts w:hint="default" w:ascii="Times New Roman" w:hAnsi="Times New Roman" w:cs="Times New Roman"/>
                <w:color w:val="auto"/>
                <w:sz w:val="24"/>
                <w:lang w:val="en-US" w:eastAsia="zh-CN"/>
              </w:rPr>
              <w:t>及油基泥浆</w:t>
            </w:r>
            <w:r>
              <w:rPr>
                <w:rFonts w:hint="default" w:ascii="Times New Roman" w:hAnsi="Times New Roman" w:cs="Times New Roman"/>
                <w:color w:val="auto"/>
                <w:sz w:val="24"/>
              </w:rPr>
              <w:t>：</w:t>
            </w:r>
            <w:r>
              <w:rPr>
                <w:rFonts w:hint="eastAsia" w:ascii="Times New Roman" w:hAnsi="Times New Roman" w:cs="Times New Roman"/>
                <w:color w:val="auto"/>
                <w:sz w:val="24"/>
                <w:lang w:val="en-US" w:eastAsia="zh-CN"/>
              </w:rPr>
              <w:t>本项目三开优先采用常规水基钻井液钻井，若不能满足安全要求时，三开阶段更换为油基钻井液，</w:t>
            </w:r>
            <w:r>
              <w:rPr>
                <w:rFonts w:hint="default" w:ascii="Times New Roman" w:hAnsi="Times New Roman" w:cs="Times New Roman"/>
                <w:color w:val="auto"/>
                <w:sz w:val="24"/>
              </w:rPr>
              <w:t>钻井过程中产生的油基岩屑由</w:t>
            </w:r>
            <w:r>
              <w:rPr>
                <w:rFonts w:hint="default" w:ascii="Times New Roman" w:hAnsi="Times New Roman" w:cs="Times New Roman"/>
                <w:color w:val="auto"/>
                <w:sz w:val="24"/>
                <w:lang w:val="en-US" w:eastAsia="zh-CN"/>
              </w:rPr>
              <w:t>钢罐</w:t>
            </w:r>
            <w:r>
              <w:rPr>
                <w:rFonts w:hint="default" w:ascii="Times New Roman" w:hAnsi="Times New Roman" w:cs="Times New Roman"/>
                <w:color w:val="auto"/>
                <w:sz w:val="24"/>
              </w:rPr>
              <w:t>临时收集后拟及时交由有资质单位处置。</w:t>
            </w:r>
            <w:r>
              <w:rPr>
                <w:rFonts w:hint="default" w:ascii="Times New Roman" w:hAnsi="Times New Roman" w:cs="Times New Roman"/>
                <w:color w:val="auto"/>
                <w:sz w:val="24"/>
                <w:lang w:val="en-US" w:eastAsia="zh-CN"/>
              </w:rPr>
              <w:t>油基泥浆由钢罐临时收集后拟及时交由有资质单位处置。</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fldChar w:fldCharType="begin"/>
            </w:r>
            <w:r>
              <w:rPr>
                <w:rFonts w:hint="default" w:ascii="Times New Roman" w:hAnsi="Times New Roman" w:cs="Times New Roman"/>
                <w:color w:val="auto"/>
                <w:sz w:val="24"/>
              </w:rPr>
              <w:instrText xml:space="preserve"> = 3 \* GB3 </w:instrText>
            </w:r>
            <w:r>
              <w:rPr>
                <w:rFonts w:hint="default" w:ascii="Times New Roman" w:hAnsi="Times New Roman" w:cs="Times New Roman"/>
                <w:color w:val="auto"/>
                <w:sz w:val="24"/>
              </w:rPr>
              <w:fldChar w:fldCharType="separate"/>
            </w:r>
            <w:r>
              <w:rPr>
                <w:rFonts w:hint="default" w:ascii="Times New Roman" w:hAnsi="Times New Roman" w:cs="Times New Roman"/>
                <w:color w:val="auto"/>
                <w:sz w:val="24"/>
              </w:rPr>
              <w:t>③</w:t>
            </w:r>
            <w:r>
              <w:rPr>
                <w:rFonts w:hint="default" w:ascii="Times New Roman" w:hAnsi="Times New Roman" w:cs="Times New Roman"/>
                <w:color w:val="auto"/>
                <w:sz w:val="24"/>
              </w:rPr>
              <w:fldChar w:fldCharType="end"/>
            </w:r>
            <w:r>
              <w:rPr>
                <w:rFonts w:hint="default" w:ascii="Times New Roman" w:hAnsi="Times New Roman" w:cs="Times New Roman"/>
                <w:color w:val="auto"/>
                <w:sz w:val="24"/>
              </w:rPr>
              <w:t>生活垃圾及包装材料</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钻井期间垃圾产生量共计</w:t>
            </w:r>
            <w:r>
              <w:rPr>
                <w:rFonts w:hint="eastAsia" w:cs="Times New Roman"/>
                <w:color w:val="auto"/>
                <w:sz w:val="24"/>
                <w:lang w:val="en-US" w:eastAsia="zh-CN"/>
              </w:rPr>
              <w:t>1.88</w:t>
            </w:r>
            <w:r>
              <w:rPr>
                <w:rFonts w:hint="default" w:ascii="Times New Roman" w:hAnsi="Times New Roman" w:cs="Times New Roman"/>
                <w:color w:val="auto"/>
                <w:sz w:val="24"/>
              </w:rPr>
              <w:t>t。生活垃圾交环卫部门处置。废包装材料量较少，收集后全部回收利用。</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fldChar w:fldCharType="begin"/>
            </w:r>
            <w:r>
              <w:rPr>
                <w:rFonts w:hint="default" w:ascii="Times New Roman" w:hAnsi="Times New Roman" w:cs="Times New Roman"/>
                <w:color w:val="auto"/>
                <w:sz w:val="24"/>
              </w:rPr>
              <w:instrText xml:space="preserve"> = 4 \* GB3 </w:instrText>
            </w:r>
            <w:r>
              <w:rPr>
                <w:rFonts w:hint="default" w:ascii="Times New Roman" w:hAnsi="Times New Roman" w:cs="Times New Roman"/>
                <w:color w:val="auto"/>
                <w:sz w:val="24"/>
              </w:rPr>
              <w:fldChar w:fldCharType="separate"/>
            </w:r>
            <w:r>
              <w:rPr>
                <w:rFonts w:hint="default" w:ascii="Times New Roman" w:hAnsi="Times New Roman" w:cs="Times New Roman"/>
                <w:color w:val="auto"/>
                <w:sz w:val="24"/>
              </w:rPr>
              <w:t>④</w:t>
            </w:r>
            <w:r>
              <w:rPr>
                <w:rFonts w:hint="default" w:ascii="Times New Roman" w:hAnsi="Times New Roman" w:cs="Times New Roman"/>
                <w:color w:val="auto"/>
                <w:sz w:val="24"/>
              </w:rPr>
              <w:fldChar w:fldCharType="end"/>
            </w:r>
            <w:r>
              <w:rPr>
                <w:rFonts w:hint="default" w:ascii="Times New Roman" w:hAnsi="Times New Roman" w:cs="Times New Roman"/>
                <w:color w:val="auto"/>
                <w:sz w:val="24"/>
              </w:rPr>
              <w:t>废油及废油桶</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过程中废油的主要来源是：钻井阶段产生的机械（泥浆泵、转盘、链条等）润滑废油；清洗、保养产生的废油，如更换柴油机、发电机零部件和清洗钻具、套管时产生的废油。废油桶主要来源是废润滑油桶，均属于危险废物（HW08），废油去向：现场配备废油回收桶，放置于泥浆不落地平台，并采取必要的防护措施（防风、防雨、防晒、防渗、防漏、防腐）及其他环境污染防护措施，完钻后</w:t>
            </w:r>
            <w:r>
              <w:rPr>
                <w:rFonts w:hint="default" w:ascii="Times New Roman" w:hAnsi="Times New Roman" w:cs="Times New Roman"/>
                <w:color w:val="auto"/>
                <w:sz w:val="24"/>
                <w:lang w:val="en-US" w:eastAsia="zh-CN"/>
              </w:rPr>
              <w:t>就近</w:t>
            </w:r>
            <w:r>
              <w:rPr>
                <w:rFonts w:hint="default" w:ascii="Times New Roman" w:hAnsi="Times New Roman" w:cs="Times New Roman"/>
                <w:color w:val="auto"/>
                <w:sz w:val="24"/>
              </w:rPr>
              <w:t>交由有资质单位处置。</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环评要求建设单位严格按照《危险废物收集、贮存、运输技术规范》（HJ2025-2012）、《建设项目危险废物环境影响评价指南》及《废矿物油回收利用污染控制技术规范》（HJ607-2011）中相关规定做好收集、暂存和转运工作。现场设置危险废物暂存场所采取必要的防护措施（防风、防雨、防晒、防渗、防漏、防腐）及其他环境污染防护措施。</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采取上述措施后，固体废物均得到妥善处置，对周边环境影响较小。</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4.3试气工程源强核算及环境影响分析</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4.3.1废气环境影响分析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放喷废气来自测试放喷过程天然气燃烧，通常因时间短而视为非正常工况废气。本项目测试放喷时间约1d～2d，属于间歇放喷，每次持续放喷时间约4h～6h，属短期排放。测试放喷的天然气经点火燃烧后其主要污染物为SO</w:t>
            </w:r>
            <w:r>
              <w:rPr>
                <w:rFonts w:hint="default" w:ascii="Times New Roman" w:hAnsi="Times New Roman" w:cs="Times New Roman"/>
                <w:bCs/>
                <w:color w:val="auto"/>
                <w:sz w:val="24"/>
                <w:vertAlign w:val="subscript"/>
              </w:rPr>
              <w:t>2</w:t>
            </w:r>
            <w:r>
              <w:rPr>
                <w:rFonts w:hint="default" w:ascii="Times New Roman" w:hAnsi="Times New Roman" w:cs="Times New Roman"/>
                <w:bCs/>
                <w:color w:val="auto"/>
                <w:sz w:val="24"/>
              </w:rPr>
              <w:t>、CO</w:t>
            </w:r>
            <w:r>
              <w:rPr>
                <w:rFonts w:hint="default" w:ascii="Times New Roman" w:hAnsi="Times New Roman" w:cs="Times New Roman"/>
                <w:bCs/>
                <w:color w:val="auto"/>
                <w:sz w:val="24"/>
                <w:vertAlign w:val="subscript"/>
              </w:rPr>
              <w:t>2</w:t>
            </w:r>
            <w:r>
              <w:rPr>
                <w:rFonts w:hint="default" w:ascii="Times New Roman" w:hAnsi="Times New Roman" w:cs="Times New Roman"/>
                <w:bCs/>
                <w:color w:val="auto"/>
                <w:sz w:val="24"/>
              </w:rPr>
              <w:t>和颗粒物等。</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本项目测试放喷通过专用的放喷管线将天然气引至放喷池进行点火燃烧，放喷池周围设置3面挡墙（耐火墙），高度3.5m，可有效</w:t>
            </w:r>
            <w:r>
              <w:rPr>
                <w:rFonts w:hint="eastAsia" w:cs="Times New Roman"/>
                <w:bCs/>
                <w:color w:val="auto"/>
                <w:sz w:val="24"/>
                <w:lang w:eastAsia="zh-CN"/>
              </w:rPr>
              <w:t>减少</w:t>
            </w:r>
            <w:r>
              <w:rPr>
                <w:rFonts w:hint="default" w:ascii="Times New Roman" w:hAnsi="Times New Roman" w:cs="Times New Roman"/>
                <w:bCs/>
                <w:color w:val="auto"/>
                <w:sz w:val="24"/>
              </w:rPr>
              <w:t>热辐射对测试区周围植被的灼伤。放喷池周边植被主要为农作物及少量的杂草，均为常见植被，周围地势空旷便于燃烧热值扩散，一般情况下，放喷对植被的影响可自行恢复。测试放喷对放喷口周围植被产生的灼烧影响是暂时的，可逆的，测试完后一定时间内可恢复。并且在放喷测试前已对放喷池周围植被进行清理，因此测试放喷热污染不会影响到清理范围外的植被。</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本项目测试放喷在昼间进行，且时间较短（类比同类钻井，一般测试时间为1d～2d，每次4h～6h），燃烧后主要污染物为CO</w:t>
            </w:r>
            <w:r>
              <w:rPr>
                <w:rFonts w:hint="default" w:ascii="Times New Roman" w:hAnsi="Times New Roman" w:cs="Times New Roman"/>
                <w:bCs/>
                <w:color w:val="auto"/>
                <w:sz w:val="24"/>
                <w:vertAlign w:val="subscript"/>
              </w:rPr>
              <w:t>2</w:t>
            </w:r>
            <w:r>
              <w:rPr>
                <w:rFonts w:hint="default" w:ascii="Times New Roman" w:hAnsi="Times New Roman" w:cs="Times New Roman"/>
                <w:bCs/>
                <w:color w:val="auto"/>
                <w:sz w:val="24"/>
              </w:rPr>
              <w:t>。测试放喷所产生的污染物产生量较小，并将随测试放喷的结束而消除，故对环境空气影响较小。</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4.3.2废水环境影响分析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（1）废水源强</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测试放喷与试气工程产生的废水主要是压裂酸化、洗井等施工时产生的废水。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eastAsia="宋体" w:cs="Times New Roman"/>
                <w:color w:val="auto"/>
                <w:sz w:val="24"/>
                <w:lang w:val="en-US" w:eastAsia="zh-CN"/>
              </w:rPr>
            </w:pPr>
            <w:r>
              <w:rPr>
                <w:rFonts w:hint="default" w:ascii="Times New Roman" w:hAnsi="Times New Roman" w:cs="Times New Roman"/>
                <w:color w:val="auto"/>
                <w:sz w:val="24"/>
              </w:rPr>
              <w:t>本项目总压裂液入井量</w:t>
            </w:r>
            <w:r>
              <w:rPr>
                <w:rFonts w:hint="eastAsia" w:cs="Times New Roman"/>
                <w:color w:val="auto"/>
                <w:sz w:val="24"/>
                <w:lang w:eastAsia="zh-CN"/>
              </w:rPr>
              <w:t>19250</w:t>
            </w:r>
            <w:r>
              <w:rPr>
                <w:rFonts w:hint="default" w:ascii="Times New Roman" w:hAnsi="Times New Roman" w:cs="Times New Roman"/>
                <w:color w:val="auto"/>
                <w:sz w:val="24"/>
              </w:rPr>
              <w:t>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，取水</w:t>
            </w:r>
            <w:r>
              <w:rPr>
                <w:rFonts w:hint="default" w:ascii="Times New Roman" w:hAnsi="Times New Roman" w:cs="Times New Roman"/>
                <w:color w:val="auto"/>
                <w:sz w:val="24"/>
                <w:lang w:eastAsia="zh-CN"/>
              </w:rPr>
              <w:t>取自井场附近的河流，然后通过罐车拉运至井场；本评价建议建设单位或施工单位在项目施工前办理相关取水许可，</w:t>
            </w:r>
            <w:r>
              <w:rPr>
                <w:rFonts w:hint="default" w:ascii="Times New Roman" w:hAnsi="Times New Roman" w:cs="Times New Roman"/>
                <w:color w:val="auto"/>
                <w:sz w:val="24"/>
                <w:lang w:val="en-US" w:eastAsia="zh-CN"/>
              </w:rPr>
              <w:t>并节约用水</w:t>
            </w:r>
            <w:r>
              <w:rPr>
                <w:rFonts w:hint="default" w:ascii="Times New Roman" w:hAnsi="Times New Roman" w:cs="Times New Roman"/>
                <w:color w:val="auto"/>
                <w:sz w:val="24"/>
              </w:rPr>
              <w:t>，由罐车拉运至井场。根据该区域已完钻钻井工程可知，该区域钻井工程酸液返排率约30%，则本项目返排液量为</w:t>
            </w:r>
            <w:r>
              <w:rPr>
                <w:rFonts w:hint="eastAsia" w:cs="Times New Roman"/>
                <w:color w:val="auto"/>
                <w:sz w:val="24"/>
                <w:lang w:eastAsia="zh-CN"/>
              </w:rPr>
              <w:t>5775</w:t>
            </w:r>
            <w:r>
              <w:rPr>
                <w:rFonts w:hint="default" w:ascii="Times New Roman" w:hAnsi="Times New Roman" w:cs="Times New Roman"/>
                <w:color w:val="auto"/>
                <w:sz w:val="24"/>
              </w:rPr>
              <w:t>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w:t>
            </w:r>
            <w:r>
              <w:rPr>
                <w:rFonts w:hint="default" w:ascii="Times New Roman" w:hAnsi="Times New Roman" w:cs="Times New Roman"/>
                <w:color w:val="auto"/>
                <w:sz w:val="24"/>
                <w:lang w:val="en-US" w:eastAsia="zh-CN"/>
              </w:rPr>
              <w:t>本井分</w:t>
            </w:r>
            <w:r>
              <w:rPr>
                <w:rFonts w:hint="eastAsia" w:cs="Times New Roman"/>
                <w:color w:val="auto"/>
                <w:sz w:val="24"/>
                <w:lang w:val="en-US" w:eastAsia="zh-CN"/>
              </w:rPr>
              <w:t>12</w:t>
            </w:r>
            <w:r>
              <w:rPr>
                <w:rFonts w:hint="default" w:ascii="Times New Roman" w:hAnsi="Times New Roman" w:cs="Times New Roman"/>
                <w:color w:val="auto"/>
                <w:sz w:val="24"/>
                <w:lang w:val="en-US" w:eastAsia="zh-CN"/>
              </w:rPr>
              <w:t>段压裂改造，因此单段废水产生量约为</w:t>
            </w:r>
            <w:r>
              <w:rPr>
                <w:rFonts w:hint="eastAsia" w:cs="Times New Roman"/>
                <w:color w:val="auto"/>
                <w:sz w:val="24"/>
                <w:lang w:val="en-US" w:eastAsia="zh-CN"/>
              </w:rPr>
              <w:t>481.3</w:t>
            </w:r>
            <w:r>
              <w:rPr>
                <w:rFonts w:hint="default" w:ascii="Times New Roman" w:hAnsi="Times New Roman" w:cs="Times New Roman"/>
                <w:color w:val="auto"/>
                <w:sz w:val="24"/>
                <w:lang w:val="en-US" w:eastAsia="zh-CN"/>
              </w:rPr>
              <w:t>m</w:t>
            </w:r>
            <w:r>
              <w:rPr>
                <w:rFonts w:hint="default" w:ascii="Times New Roman" w:hAnsi="Times New Roman" w:cs="Times New Roman"/>
                <w:color w:val="auto"/>
                <w:sz w:val="24"/>
                <w:vertAlign w:val="superscript"/>
                <w:lang w:val="en-US" w:eastAsia="zh-CN"/>
              </w:rPr>
              <w:t>3</w:t>
            </w:r>
            <w:r>
              <w:rPr>
                <w:rFonts w:hint="eastAsia" w:cs="Times New Roman"/>
                <w:color w:val="auto"/>
                <w:sz w:val="24"/>
                <w:lang w:val="en-US" w:eastAsia="zh-CN"/>
              </w:rPr>
              <w:t>，</w:t>
            </w:r>
            <w:r>
              <w:rPr>
                <w:rFonts w:hint="default" w:ascii="Times New Roman" w:hAnsi="Times New Roman" w:cs="Times New Roman"/>
                <w:color w:val="auto"/>
                <w:sz w:val="24"/>
              </w:rPr>
              <w:t>废水主要组成为水、盐酸与岩层反应后生成的盐类及表面活性剂等。返排液排至经防腐防渗处理地放喷池或污水罐中。本项目洗井采用清水，根据建设单位统计区域内其他井经验数据，平均每口洗井废水产生约300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lang w:eastAsia="zh-CN"/>
              </w:rPr>
              <w:t>，</w:t>
            </w:r>
            <w:r>
              <w:rPr>
                <w:rFonts w:hint="default" w:ascii="Times New Roman" w:hAnsi="Times New Roman" w:cs="Times New Roman"/>
                <w:color w:val="auto"/>
                <w:sz w:val="24"/>
                <w:lang w:val="en-US" w:eastAsia="zh-CN"/>
              </w:rPr>
              <w:t>优先回用于本井压裂，不能回用时用密闭罐车定期拉运至</w:t>
            </w:r>
            <w:r>
              <w:rPr>
                <w:rFonts w:hint="eastAsia" w:cs="Times New Roman"/>
                <w:color w:val="auto"/>
                <w:sz w:val="24"/>
                <w:lang w:val="en-US" w:eastAsia="zh-CN"/>
              </w:rPr>
              <w:t>赵家坝污水处理站</w:t>
            </w:r>
            <w:r>
              <w:rPr>
                <w:rFonts w:hint="default" w:ascii="Times New Roman" w:hAnsi="Times New Roman" w:cs="Times New Roman"/>
                <w:color w:val="auto"/>
                <w:sz w:val="24"/>
                <w:lang w:val="en-US" w:eastAsia="zh-CN"/>
              </w:rPr>
              <w:t>处理达标后</w:t>
            </w:r>
            <w:r>
              <w:rPr>
                <w:rFonts w:hint="eastAsia" w:cs="Times New Roman"/>
                <w:color w:val="auto"/>
                <w:sz w:val="24"/>
                <w:lang w:val="en-US" w:eastAsia="zh-CN"/>
              </w:rPr>
              <w:t>由罐车拉运至普光3井等</w:t>
            </w:r>
            <w:r>
              <w:rPr>
                <w:rFonts w:hint="default" w:ascii="Times New Roman" w:hAnsi="Times New Roman" w:cs="Times New Roman"/>
                <w:color w:val="auto"/>
                <w:sz w:val="24"/>
                <w:lang w:val="en-US" w:eastAsia="zh-CN"/>
              </w:rPr>
              <w:t>回注站回注。</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本项目压裂返排液临时暂存于重叠液罐内，用罐车定期拉运至</w:t>
            </w:r>
            <w:r>
              <w:rPr>
                <w:rFonts w:hint="eastAsia" w:cs="Times New Roman"/>
                <w:color w:val="auto"/>
                <w:sz w:val="24"/>
                <w:lang w:eastAsia="zh-CN"/>
              </w:rPr>
              <w:t>赵家坝污水处理站</w:t>
            </w:r>
            <w:r>
              <w:rPr>
                <w:rFonts w:hint="default" w:ascii="Times New Roman" w:hAnsi="Times New Roman" w:cs="Times New Roman"/>
                <w:color w:val="auto"/>
                <w:sz w:val="24"/>
              </w:rPr>
              <w:t>处理达标后</w:t>
            </w:r>
            <w:r>
              <w:rPr>
                <w:rFonts w:hint="eastAsia" w:cs="Times New Roman"/>
                <w:color w:val="auto"/>
                <w:sz w:val="24"/>
                <w:lang w:eastAsia="zh-CN"/>
              </w:rPr>
              <w:t>由罐车拉运至普光3井等</w:t>
            </w:r>
            <w:r>
              <w:rPr>
                <w:rFonts w:hint="default" w:ascii="Times New Roman" w:hAnsi="Times New Roman" w:cs="Times New Roman"/>
                <w:color w:val="auto"/>
                <w:sz w:val="24"/>
              </w:rPr>
              <w:t>回注站回注。根据普光气田钻井工程类比调查，试气工程废水污染物浓度情况见表4-12。</w:t>
            </w: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color w:val="auto"/>
                <w:sz w:val="24"/>
              </w:rPr>
            </w:pPr>
            <w:r>
              <w:rPr>
                <w:rFonts w:hint="default" w:ascii="Times New Roman" w:hAnsi="Times New Roman" w:cs="Times New Roman"/>
                <w:color w:val="auto"/>
                <w:sz w:val="24"/>
              </w:rPr>
              <w:t>表4-12  压裂返排液及洗井废水污染物浓度表（单位：mg/L）</w:t>
            </w:r>
          </w:p>
          <w:tbl>
            <w:tblPr>
              <w:tblStyle w:val="4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7"/>
              <w:gridCol w:w="1576"/>
              <w:gridCol w:w="1060"/>
              <w:gridCol w:w="1060"/>
              <w:gridCol w:w="1060"/>
              <w:gridCol w:w="932"/>
              <w:gridCol w:w="1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469" w:type="dxa"/>
                  <w:tcBorders>
                    <w:top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污染物名称</w:t>
                  </w:r>
                </w:p>
              </w:tc>
              <w:tc>
                <w:tcPr>
                  <w:tcW w:w="1767" w:type="dxa"/>
                  <w:tcBorders>
                    <w:top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pH</w:t>
                  </w:r>
                </w:p>
              </w:tc>
              <w:tc>
                <w:tcPr>
                  <w:tcW w:w="1178" w:type="dxa"/>
                  <w:tcBorders>
                    <w:top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COD</w:t>
                  </w:r>
                </w:p>
              </w:tc>
              <w:tc>
                <w:tcPr>
                  <w:tcW w:w="1178" w:type="dxa"/>
                  <w:tcBorders>
                    <w:top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SS</w:t>
                  </w:r>
                </w:p>
              </w:tc>
              <w:tc>
                <w:tcPr>
                  <w:tcW w:w="1178" w:type="dxa"/>
                  <w:tcBorders>
                    <w:top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石油类</w:t>
                  </w:r>
                </w:p>
              </w:tc>
              <w:tc>
                <w:tcPr>
                  <w:tcW w:w="1031" w:type="dxa"/>
                  <w:tcBorders>
                    <w:top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挥发酚</w:t>
                  </w:r>
                </w:p>
              </w:tc>
              <w:tc>
                <w:tcPr>
                  <w:tcW w:w="1259" w:type="dxa"/>
                  <w:tcBorders>
                    <w:top w:val="single" w:color="auto" w:sz="12" w:space="0"/>
                    <w:right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氯离子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469" w:type="dxa"/>
                  <w:tcBorders>
                    <w:left w:val="single" w:color="auto" w:sz="4" w:space="0"/>
                    <w:bottom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浓度</w:t>
                  </w:r>
                </w:p>
              </w:tc>
              <w:tc>
                <w:tcPr>
                  <w:tcW w:w="1767" w:type="dxa"/>
                  <w:tcBorders>
                    <w:bottom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4</w:t>
                  </w:r>
                  <w:r>
                    <w:rPr>
                      <w:rFonts w:hint="eastAsia" w:cs="Times New Roman"/>
                      <w:color w:val="auto"/>
                      <w:lang w:eastAsia="zh-CN"/>
                    </w:rPr>
                    <w:t>~</w:t>
                  </w:r>
                  <w:r>
                    <w:rPr>
                      <w:rFonts w:hint="default" w:ascii="Times New Roman" w:hAnsi="Times New Roman" w:cs="Times New Roman"/>
                      <w:color w:val="auto"/>
                    </w:rPr>
                    <w:t>6</w:t>
                  </w:r>
                </w:p>
              </w:tc>
              <w:tc>
                <w:tcPr>
                  <w:tcW w:w="1178" w:type="dxa"/>
                  <w:tcBorders>
                    <w:bottom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≤5000</w:t>
                  </w:r>
                </w:p>
              </w:tc>
              <w:tc>
                <w:tcPr>
                  <w:tcW w:w="1178" w:type="dxa"/>
                  <w:tcBorders>
                    <w:bottom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≤7500</w:t>
                  </w:r>
                </w:p>
              </w:tc>
              <w:tc>
                <w:tcPr>
                  <w:tcW w:w="1178" w:type="dxa"/>
                  <w:tcBorders>
                    <w:bottom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≤200</w:t>
                  </w:r>
                </w:p>
              </w:tc>
              <w:tc>
                <w:tcPr>
                  <w:tcW w:w="1031" w:type="dxa"/>
                  <w:tcBorders>
                    <w:bottom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≤7.0</w:t>
                  </w:r>
                </w:p>
              </w:tc>
              <w:tc>
                <w:tcPr>
                  <w:tcW w:w="1259" w:type="dxa"/>
                  <w:tcBorders>
                    <w:bottom w:val="single" w:color="auto" w:sz="12" w:space="0"/>
                    <w:right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≤4000</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3）生活污水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eastAsia" w:cs="Times New Roman"/>
                <w:color w:val="auto"/>
                <w:sz w:val="24"/>
                <w:lang w:val="en-US" w:eastAsia="zh-CN"/>
              </w:rPr>
              <w:t>试气</w:t>
            </w:r>
            <w:r>
              <w:rPr>
                <w:rFonts w:hint="default" w:ascii="Times New Roman" w:hAnsi="Times New Roman" w:cs="Times New Roman"/>
                <w:color w:val="auto"/>
                <w:sz w:val="24"/>
              </w:rPr>
              <w:t>期间的</w:t>
            </w:r>
            <w:r>
              <w:rPr>
                <w:rFonts w:hint="eastAsia" w:cs="Times New Roman"/>
                <w:color w:val="auto"/>
                <w:sz w:val="24"/>
                <w:lang w:val="en-US" w:eastAsia="zh-CN"/>
              </w:rPr>
              <w:t>人员</w:t>
            </w:r>
            <w:r>
              <w:rPr>
                <w:rFonts w:hint="default" w:ascii="Times New Roman" w:hAnsi="Times New Roman" w:cs="Times New Roman"/>
                <w:color w:val="auto"/>
                <w:sz w:val="24"/>
              </w:rPr>
              <w:t>一般为45人，每人每天生活用水按200L/d*人计，排污系数为0.9，则</w:t>
            </w:r>
            <w:r>
              <w:rPr>
                <w:rFonts w:hint="eastAsia" w:cs="Times New Roman"/>
                <w:color w:val="auto"/>
                <w:sz w:val="24"/>
                <w:lang w:val="en-US" w:eastAsia="zh-CN"/>
              </w:rPr>
              <w:t>试气</w:t>
            </w:r>
            <w:r>
              <w:rPr>
                <w:rFonts w:hint="default" w:ascii="Times New Roman" w:hAnsi="Times New Roman" w:cs="Times New Roman"/>
                <w:color w:val="auto"/>
                <w:sz w:val="24"/>
              </w:rPr>
              <w:t>期间井场的生活用水量为9m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/d，污水产生量为8.1m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/d。生活污水经生态厕所收集后外运</w:t>
            </w:r>
            <w:r>
              <w:rPr>
                <w:rFonts w:hint="eastAsia" w:cs="Times New Roman"/>
                <w:color w:val="auto"/>
                <w:sz w:val="24"/>
                <w:lang w:eastAsia="zh-CN"/>
              </w:rPr>
              <w:t>普光镇</w:t>
            </w:r>
            <w:r>
              <w:rPr>
                <w:rFonts w:hint="default" w:ascii="Times New Roman" w:hAnsi="Times New Roman" w:cs="Times New Roman"/>
                <w:color w:val="auto"/>
                <w:sz w:val="24"/>
              </w:rPr>
              <w:t>污水处理厂处理，不外排。本项目生活污水水质情况见下表4-13。</w:t>
            </w:r>
          </w:p>
          <w:p>
            <w:pPr>
              <w:keepNext w:val="0"/>
              <w:keepLines w:val="0"/>
              <w:suppressLineNumbers w:val="0"/>
              <w:spacing w:before="0" w:beforeAutospacing="0" w:after="0" w:afterAutospacing="0" w:line="360" w:lineRule="auto"/>
              <w:ind w:left="0" w:right="0" w:firstLine="482" w:firstLineChars="200"/>
              <w:jc w:val="center"/>
              <w:rPr>
                <w:rFonts w:hint="default" w:ascii="Times New Roman" w:hAnsi="Times New Roman" w:cs="Times New Roman"/>
                <w:b/>
                <w:bCs/>
                <w:color w:val="auto"/>
                <w:sz w:val="24"/>
              </w:rPr>
            </w:pPr>
            <w:r>
              <w:rPr>
                <w:rFonts w:hint="default" w:ascii="Times New Roman" w:hAnsi="Times New Roman" w:cs="Times New Roman"/>
                <w:b/>
                <w:bCs/>
                <w:color w:val="auto"/>
                <w:sz w:val="24"/>
              </w:rPr>
              <w:t>表4-13  项目生活污水水质</w:t>
            </w:r>
          </w:p>
          <w:tbl>
            <w:tblPr>
              <w:tblStyle w:val="44"/>
              <w:tblW w:w="82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8"/>
              <w:gridCol w:w="841"/>
              <w:gridCol w:w="1501"/>
              <w:gridCol w:w="1370"/>
              <w:gridCol w:w="1371"/>
              <w:gridCol w:w="13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894" w:type="dxa"/>
                  <w:tcBorders>
                    <w:top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主要污染物名称</w:t>
                  </w:r>
                </w:p>
              </w:tc>
              <w:tc>
                <w:tcPr>
                  <w:tcW w:w="891" w:type="dxa"/>
                  <w:tcBorders>
                    <w:top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pH</w:t>
                  </w:r>
                </w:p>
              </w:tc>
              <w:tc>
                <w:tcPr>
                  <w:tcW w:w="1605" w:type="dxa"/>
                  <w:tcBorders>
                    <w:top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悬浮物（mg/L</w:t>
                  </w:r>
                  <w:r>
                    <w:rPr>
                      <w:rFonts w:hint="eastAsia" w:cs="Times New Roman"/>
                      <w:color w:val="auto"/>
                      <w:lang w:eastAsia="zh-CN"/>
                    </w:rPr>
                    <w:t>）</w:t>
                  </w:r>
                </w:p>
              </w:tc>
              <w:tc>
                <w:tcPr>
                  <w:tcW w:w="1463" w:type="dxa"/>
                  <w:tcBorders>
                    <w:top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COD(mg/L)</w:t>
                  </w:r>
                </w:p>
              </w:tc>
              <w:tc>
                <w:tcPr>
                  <w:tcW w:w="1464" w:type="dxa"/>
                  <w:tcBorders>
                    <w:top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BOD5(mg/L)</w:t>
                  </w:r>
                </w:p>
              </w:tc>
              <w:tc>
                <w:tcPr>
                  <w:tcW w:w="1464" w:type="dxa"/>
                  <w:tcBorders>
                    <w:top w:val="single" w:color="auto" w:sz="12" w:space="0"/>
                    <w:right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氨氮（mg/L</w:t>
                  </w:r>
                  <w:r>
                    <w:rPr>
                      <w:rFonts w:hint="eastAsia" w:cs="Times New Roman"/>
                      <w:color w:val="auto"/>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894" w:type="dxa"/>
                  <w:tcBorders>
                    <w:left w:val="single" w:color="auto" w:sz="4" w:space="0"/>
                    <w:bottom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水质情况</w:t>
                  </w:r>
                </w:p>
              </w:tc>
              <w:tc>
                <w:tcPr>
                  <w:tcW w:w="891" w:type="dxa"/>
                  <w:tcBorders>
                    <w:bottom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7.0-9.0</w:t>
                  </w:r>
                </w:p>
              </w:tc>
              <w:tc>
                <w:tcPr>
                  <w:tcW w:w="1605" w:type="dxa"/>
                  <w:tcBorders>
                    <w:bottom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250-300</w:t>
                  </w:r>
                </w:p>
              </w:tc>
              <w:tc>
                <w:tcPr>
                  <w:tcW w:w="1463" w:type="dxa"/>
                  <w:tcBorders>
                    <w:bottom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350-400</w:t>
                  </w:r>
                </w:p>
              </w:tc>
              <w:tc>
                <w:tcPr>
                  <w:tcW w:w="1464" w:type="dxa"/>
                  <w:tcBorders>
                    <w:bottom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200-250</w:t>
                  </w:r>
                </w:p>
              </w:tc>
              <w:tc>
                <w:tcPr>
                  <w:tcW w:w="1464" w:type="dxa"/>
                  <w:tcBorders>
                    <w:bottom w:val="single" w:color="auto" w:sz="12" w:space="0"/>
                    <w:right w:val="single" w:color="auto" w:sz="12" w:space="0"/>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30-40</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（2）环境影响分析</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本项目使用清水洗井，压入井内的清水会在洗井结束后从井底返排出来，</w:t>
            </w:r>
            <w:r>
              <w:rPr>
                <w:rFonts w:hint="eastAsia" w:cs="Times New Roman"/>
                <w:color w:val="auto"/>
                <w:sz w:val="24"/>
                <w:lang w:eastAsia="zh-CN"/>
              </w:rPr>
              <w:t>普陆12HF井</w:t>
            </w:r>
            <w:r>
              <w:rPr>
                <w:rFonts w:hint="default" w:ascii="Times New Roman" w:hAnsi="Times New Roman" w:cs="Times New Roman"/>
                <w:color w:val="auto"/>
                <w:sz w:val="24"/>
              </w:rPr>
              <w:t>洗井废水约300</w:t>
            </w:r>
            <w:r>
              <w:rPr>
                <w:rFonts w:hint="default" w:ascii="Times New Roman" w:hAnsi="Times New Roman" w:cs="Times New Roman"/>
                <w:bCs/>
                <w:color w:val="auto"/>
                <w:sz w:val="24"/>
              </w:rPr>
              <w:t>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，经管道排入</w:t>
            </w:r>
            <w:r>
              <w:rPr>
                <w:rFonts w:hint="default" w:ascii="Times New Roman" w:hAnsi="Times New Roman" w:cs="Times New Roman"/>
                <w:color w:val="auto"/>
                <w:sz w:val="24"/>
              </w:rPr>
              <w:t>废水罐暂存，</w:t>
            </w:r>
            <w:r>
              <w:rPr>
                <w:rFonts w:hint="default" w:ascii="Times New Roman" w:hAnsi="Times New Roman" w:cs="Times New Roman"/>
                <w:color w:val="auto"/>
                <w:sz w:val="24"/>
                <w:lang w:val="en-US" w:eastAsia="zh-CN"/>
              </w:rPr>
              <w:t>优先</w:t>
            </w:r>
            <w:r>
              <w:rPr>
                <w:rFonts w:hint="default" w:ascii="Times New Roman" w:hAnsi="Times New Roman" w:cs="Times New Roman"/>
                <w:color w:val="auto"/>
                <w:sz w:val="24"/>
              </w:rPr>
              <w:t>用于后续配制压裂液，</w:t>
            </w:r>
            <w:r>
              <w:rPr>
                <w:rFonts w:hint="default" w:ascii="Times New Roman" w:hAnsi="Times New Roman" w:cs="Times New Roman"/>
                <w:color w:val="auto"/>
                <w:sz w:val="24"/>
                <w:lang w:val="en-US" w:eastAsia="zh-CN"/>
              </w:rPr>
              <w:t>不能回用时用密闭罐车定期拉运至</w:t>
            </w:r>
            <w:r>
              <w:rPr>
                <w:rFonts w:hint="eastAsia" w:cs="Times New Roman"/>
                <w:color w:val="auto"/>
                <w:sz w:val="24"/>
                <w:lang w:val="en-US" w:eastAsia="zh-CN"/>
              </w:rPr>
              <w:t>赵家坝污水处理站</w:t>
            </w:r>
            <w:r>
              <w:rPr>
                <w:rFonts w:hint="default" w:ascii="Times New Roman" w:hAnsi="Times New Roman" w:cs="Times New Roman"/>
                <w:color w:val="auto"/>
                <w:sz w:val="24"/>
                <w:lang w:val="en-US" w:eastAsia="zh-CN"/>
              </w:rPr>
              <w:t>处理达标后</w:t>
            </w:r>
            <w:r>
              <w:rPr>
                <w:rFonts w:hint="eastAsia" w:cs="Times New Roman"/>
                <w:color w:val="auto"/>
                <w:sz w:val="24"/>
                <w:lang w:val="en-US" w:eastAsia="zh-CN"/>
              </w:rPr>
              <w:t>由罐车拉运至普光3井等</w:t>
            </w:r>
            <w:r>
              <w:rPr>
                <w:rFonts w:hint="default" w:ascii="Times New Roman" w:hAnsi="Times New Roman" w:cs="Times New Roman"/>
                <w:color w:val="auto"/>
                <w:sz w:val="24"/>
                <w:lang w:val="en-US" w:eastAsia="zh-CN"/>
              </w:rPr>
              <w:t>回注站回注。</w:t>
            </w:r>
            <w:r>
              <w:rPr>
                <w:rFonts w:hint="eastAsia" w:cs="Times New Roman"/>
                <w:color w:val="auto"/>
                <w:sz w:val="24"/>
                <w:lang w:eastAsia="zh-CN"/>
              </w:rPr>
              <w:t>普陆12HF井</w:t>
            </w:r>
            <w:r>
              <w:rPr>
                <w:rFonts w:hint="default" w:ascii="Times New Roman" w:hAnsi="Times New Roman" w:cs="Times New Roman"/>
                <w:color w:val="auto"/>
                <w:sz w:val="24"/>
              </w:rPr>
              <w:t>压裂返排液产生总量共约</w:t>
            </w:r>
            <w:r>
              <w:rPr>
                <w:rFonts w:hint="eastAsia" w:cs="Times New Roman"/>
                <w:color w:val="auto"/>
                <w:sz w:val="24"/>
                <w:lang w:eastAsia="zh-CN"/>
              </w:rPr>
              <w:t>5775</w:t>
            </w:r>
            <w:r>
              <w:rPr>
                <w:rFonts w:hint="default" w:ascii="Times New Roman" w:hAnsi="Times New Roman" w:cs="Times New Roman"/>
                <w:color w:val="auto"/>
                <w:sz w:val="24"/>
              </w:rPr>
              <w:t>m</w:t>
            </w:r>
            <w:r>
              <w:rPr>
                <w:rFonts w:hint="default" w:ascii="Times New Roman" w:hAnsi="Times New Roman" w:cs="Times New Roman"/>
                <w:color w:val="auto"/>
                <w:sz w:val="24"/>
                <w:vertAlign w:val="superscript"/>
              </w:rPr>
              <w:t>3</w:t>
            </w:r>
            <w:r>
              <w:rPr>
                <w:rFonts w:hint="default" w:ascii="Times New Roman" w:hAnsi="Times New Roman" w:cs="Times New Roman"/>
                <w:color w:val="auto"/>
                <w:sz w:val="24"/>
              </w:rPr>
              <w:t>，压裂返排液临时储存于储备罐，最终采用罐车定期拉运至</w:t>
            </w:r>
            <w:r>
              <w:rPr>
                <w:rFonts w:hint="eastAsia" w:cs="Times New Roman"/>
                <w:color w:val="auto"/>
                <w:sz w:val="24"/>
                <w:lang w:eastAsia="zh-CN"/>
              </w:rPr>
              <w:t>赵家坝污水处理站</w:t>
            </w:r>
            <w:r>
              <w:rPr>
                <w:rFonts w:hint="default" w:ascii="Times New Roman" w:hAnsi="Times New Roman" w:cs="Times New Roman"/>
                <w:color w:val="auto"/>
                <w:sz w:val="24"/>
              </w:rPr>
              <w:t>处理达标后</w:t>
            </w:r>
            <w:r>
              <w:rPr>
                <w:rFonts w:hint="eastAsia" w:cs="Times New Roman"/>
                <w:color w:val="auto"/>
                <w:sz w:val="24"/>
                <w:lang w:eastAsia="zh-CN"/>
              </w:rPr>
              <w:t>由罐车拉运至普光3井等</w:t>
            </w:r>
            <w:r>
              <w:rPr>
                <w:rFonts w:hint="default" w:ascii="Times New Roman" w:hAnsi="Times New Roman" w:cs="Times New Roman"/>
                <w:color w:val="auto"/>
                <w:sz w:val="24"/>
              </w:rPr>
              <w:t>回注站回注。</w:t>
            </w:r>
          </w:p>
          <w:p>
            <w:pPr>
              <w:keepNext w:val="0"/>
              <w:keepLines w:val="0"/>
              <w:suppressLineNumbers w:val="0"/>
              <w:tabs>
                <w:tab w:val="left" w:pos="2321"/>
              </w:tabs>
              <w:overflowPunct w:val="0"/>
              <w:autoSpaceDE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综上所述，采取以上措施后不会对周边地表水环境造成不利影响。</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4.3.3噪声环境影响分析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（1）源强分析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由于本项目压裂过程均在昼间进行，压裂工程主要噪声源设备噪声值见下表。</w:t>
            </w:r>
          </w:p>
          <w:p>
            <w:pPr>
              <w:pStyle w:val="53"/>
              <w:keepNext w:val="0"/>
              <w:keepLines w:val="0"/>
              <w:suppressLineNumbers w:val="0"/>
              <w:spacing w:before="0" w:beforeAutospacing="0" w:after="0" w:afterAutospacing="0"/>
              <w:ind w:left="0" w:right="0"/>
              <w:rPr>
                <w:rFonts w:hint="default" w:ascii="Times New Roman" w:hAnsi="Times New Roman" w:cs="Times New Roman"/>
                <w:color w:val="auto"/>
                <w:sz w:val="24"/>
              </w:rPr>
            </w:pPr>
          </w:p>
          <w:p>
            <w:pPr>
              <w:pStyle w:val="19"/>
              <w:keepNext w:val="0"/>
              <w:keepLines w:val="0"/>
              <w:suppressLineNumbers w:val="0"/>
              <w:tabs>
                <w:tab w:val="left" w:pos="0"/>
                <w:tab w:val="left" w:pos="833"/>
              </w:tabs>
              <w:spacing w:before="0" w:beforeAutospacing="0" w:after="0" w:afterAutospacing="0" w:line="360" w:lineRule="auto"/>
              <w:ind w:left="0" w:right="0"/>
              <w:jc w:val="center"/>
              <w:rPr>
                <w:rFonts w:hint="default" w:ascii="Times New Roman" w:hAnsi="Times New Roman" w:cs="Times New Roman"/>
                <w:b/>
                <w:color w:val="auto"/>
                <w:sz w:val="24"/>
                <w:szCs w:val="24"/>
              </w:rPr>
            </w:pPr>
            <w:r>
              <w:rPr>
                <w:rFonts w:hint="default" w:ascii="Times New Roman" w:hAnsi="Times New Roman" w:cs="Times New Roman"/>
                <w:b/>
                <w:color w:val="auto"/>
                <w:sz w:val="24"/>
                <w:szCs w:val="24"/>
              </w:rPr>
              <w:t>表4-14 压裂工程主要噪声源特性</w:t>
            </w:r>
          </w:p>
          <w:tbl>
            <w:tblPr>
              <w:tblStyle w:val="44"/>
              <w:tblW w:w="797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51"/>
              <w:gridCol w:w="1529"/>
              <w:gridCol w:w="677"/>
              <w:gridCol w:w="539"/>
              <w:gridCol w:w="520"/>
              <w:gridCol w:w="710"/>
              <w:gridCol w:w="1894"/>
              <w:gridCol w:w="677"/>
              <w:gridCol w:w="77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7" w:hRule="atLeast"/>
                <w:tblHeader/>
                <w:jc w:val="center"/>
              </w:trPr>
              <w:tc>
                <w:tcPr>
                  <w:tcW w:w="651"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kern w:val="0"/>
                    </w:rPr>
                    <w:t>序号</w:t>
                  </w:r>
                </w:p>
              </w:tc>
              <w:tc>
                <w:tcPr>
                  <w:tcW w:w="1529"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kern w:val="0"/>
                    </w:rPr>
                    <w:t>声源名称</w:t>
                  </w:r>
                </w:p>
              </w:tc>
              <w:tc>
                <w:tcPr>
                  <w:tcW w:w="677"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型号</w:t>
                  </w:r>
                </w:p>
              </w:tc>
              <w:tc>
                <w:tcPr>
                  <w:tcW w:w="1769" w:type="dxa"/>
                  <w:gridSpan w:val="3"/>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空间相对位置/m</w:t>
                  </w:r>
                </w:p>
              </w:tc>
              <w:tc>
                <w:tcPr>
                  <w:tcW w:w="1894"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声源源强</w:t>
                  </w:r>
                </w:p>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kern w:val="0"/>
                    </w:rPr>
                    <w:t>（声压级/距声源距离）/（dB(A)/m）</w:t>
                  </w:r>
                </w:p>
              </w:tc>
              <w:tc>
                <w:tcPr>
                  <w:tcW w:w="677"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声源控制措施</w:t>
                  </w:r>
                </w:p>
              </w:tc>
              <w:tc>
                <w:tcPr>
                  <w:tcW w:w="779" w:type="dxa"/>
                  <w:vMerge w:val="restart"/>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kern w:val="0"/>
                    </w:rPr>
                    <w:t>运行时间（h</w:t>
                  </w:r>
                  <w:r>
                    <w:rPr>
                      <w:rFonts w:hint="eastAsia" w:cs="Times New Roman"/>
                      <w:color w:val="auto"/>
                      <w:kern w:val="0"/>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00" w:hRule="atLeast"/>
                <w:tblHeader/>
                <w:jc w:val="center"/>
              </w:trPr>
              <w:tc>
                <w:tcPr>
                  <w:tcW w:w="651"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c>
                <w:tcPr>
                  <w:tcW w:w="1529"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c>
                <w:tcPr>
                  <w:tcW w:w="677"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c>
                <w:tcPr>
                  <w:tcW w:w="539"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X</w:t>
                  </w:r>
                </w:p>
              </w:tc>
              <w:tc>
                <w:tcPr>
                  <w:tcW w:w="52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Y</w:t>
                  </w:r>
                </w:p>
              </w:tc>
              <w:tc>
                <w:tcPr>
                  <w:tcW w:w="71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Z</w:t>
                  </w:r>
                </w:p>
              </w:tc>
              <w:tc>
                <w:tcPr>
                  <w:tcW w:w="1894"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c>
                <w:tcPr>
                  <w:tcW w:w="677"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c>
                <w:tcPr>
                  <w:tcW w:w="779" w:type="dxa"/>
                  <w:vMerge w:val="continue"/>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651"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kern w:val="0"/>
                    </w:rPr>
                  </w:pPr>
                  <w:r>
                    <w:rPr>
                      <w:rFonts w:hint="default" w:ascii="Times New Roman" w:hAnsi="Times New Roman" w:cs="Times New Roman"/>
                      <w:color w:val="auto"/>
                      <w:kern w:val="0"/>
                    </w:rPr>
                    <w:t>1</w:t>
                  </w:r>
                </w:p>
              </w:tc>
              <w:tc>
                <w:tcPr>
                  <w:tcW w:w="1529"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压裂设备约12台（10用2备）</w:t>
                  </w:r>
                </w:p>
              </w:tc>
              <w:tc>
                <w:tcPr>
                  <w:tcW w:w="67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rPr>
                  </w:pPr>
                  <w:r>
                    <w:rPr>
                      <w:rFonts w:hint="default" w:ascii="Times New Roman" w:hAnsi="Times New Roman" w:cs="Times New Roman"/>
                      <w:color w:val="auto"/>
                      <w:kern w:val="0"/>
                    </w:rPr>
                    <w:t>/</w:t>
                  </w:r>
                </w:p>
              </w:tc>
              <w:tc>
                <w:tcPr>
                  <w:tcW w:w="539"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 w:val="20"/>
                    </w:rPr>
                  </w:pPr>
                  <w:r>
                    <w:rPr>
                      <w:rFonts w:hint="default" w:ascii="Times New Roman" w:hAnsi="Times New Roman" w:cs="Times New Roman"/>
                      <w:color w:val="auto"/>
                      <w:sz w:val="20"/>
                    </w:rPr>
                    <w:t>-35</w:t>
                  </w:r>
                </w:p>
              </w:tc>
              <w:tc>
                <w:tcPr>
                  <w:tcW w:w="52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 w:val="20"/>
                    </w:rPr>
                  </w:pPr>
                  <w:r>
                    <w:rPr>
                      <w:rFonts w:hint="default" w:ascii="Times New Roman" w:hAnsi="Times New Roman" w:cs="Times New Roman"/>
                      <w:color w:val="auto"/>
                      <w:sz w:val="20"/>
                    </w:rPr>
                    <w:t>16</w:t>
                  </w:r>
                </w:p>
              </w:tc>
              <w:tc>
                <w:tcPr>
                  <w:tcW w:w="710"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sz w:val="20"/>
                    </w:rPr>
                  </w:pPr>
                  <w:r>
                    <w:rPr>
                      <w:rFonts w:hint="default" w:ascii="Times New Roman" w:hAnsi="Times New Roman" w:cs="Times New Roman"/>
                      <w:color w:val="auto"/>
                      <w:sz w:val="20"/>
                    </w:rPr>
                    <w:t>2</w:t>
                  </w:r>
                </w:p>
              </w:tc>
              <w:tc>
                <w:tcPr>
                  <w:tcW w:w="189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100/1</w:t>
                  </w:r>
                </w:p>
              </w:tc>
              <w:tc>
                <w:tcPr>
                  <w:tcW w:w="677"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w:t>
                  </w:r>
                </w:p>
              </w:tc>
              <w:tc>
                <w:tcPr>
                  <w:tcW w:w="779" w:type="dxa"/>
                  <w:tcBorders>
                    <w:tl2br w:val="nil"/>
                    <w:tr2bl w:val="nil"/>
                  </w:tcBorders>
                  <w:vAlign w:val="center"/>
                </w:tcPr>
                <w:p>
                  <w:pPr>
                    <w:keepNext w:val="0"/>
                    <w:keepLines w:val="0"/>
                    <w:suppressLineNumbers w:val="0"/>
                    <w:spacing w:before="0" w:beforeAutospacing="0" w:after="0" w:afterAutospacing="0"/>
                    <w:ind w:left="0" w:right="0"/>
                    <w:contextualSpacing/>
                    <w:jc w:val="center"/>
                    <w:rPr>
                      <w:rFonts w:hint="default" w:ascii="Times New Roman" w:hAnsi="Times New Roman" w:cs="Times New Roman"/>
                      <w:color w:val="auto"/>
                    </w:rPr>
                  </w:pPr>
                  <w:r>
                    <w:rPr>
                      <w:rFonts w:hint="default" w:ascii="Times New Roman" w:hAnsi="Times New Roman" w:cs="Times New Roman"/>
                      <w:color w:val="auto"/>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7" w:hRule="atLeast"/>
                <w:jc w:val="center"/>
              </w:trPr>
              <w:tc>
                <w:tcPr>
                  <w:tcW w:w="7976" w:type="dxa"/>
                  <w:gridSpan w:val="9"/>
                  <w:tcBorders>
                    <w:tl2br w:val="nil"/>
                    <w:tr2bl w:val="nil"/>
                  </w:tcBorders>
                  <w:vAlign w:val="center"/>
                </w:tcPr>
                <w:p>
                  <w:pPr>
                    <w:keepNext w:val="0"/>
                    <w:keepLines w:val="0"/>
                    <w:suppressLineNumbers w:val="0"/>
                    <w:spacing w:before="0" w:beforeAutospacing="0" w:after="0" w:afterAutospacing="0"/>
                    <w:ind w:left="0" w:right="0"/>
                    <w:contextualSpacing/>
                    <w:rPr>
                      <w:rFonts w:hint="default" w:ascii="Times New Roman" w:hAnsi="Times New Roman" w:cs="Times New Roman"/>
                      <w:b/>
                      <w:color w:val="auto"/>
                    </w:rPr>
                  </w:pPr>
                  <w:r>
                    <w:rPr>
                      <w:rFonts w:hint="default" w:ascii="Times New Roman" w:hAnsi="Times New Roman" w:cs="Times New Roman"/>
                      <w:b/>
                      <w:color w:val="auto"/>
                    </w:rPr>
                    <w:t>注：以井场中心为原点</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测试作业及噪声：本项目压裂测试中产生的噪声主要有设备运行噪声、压裂作业噪声。压裂作业在白天进行，参与作业的压裂车约12台（10用2备），噪声主要来源于压裂车和泵注噪声，其噪声将随着压裂作业的完成而消失。</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①预测范围、预测点位</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井口周边200m范围的各居民点。</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②声源分析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根据各噪声设备的噪声级和布置，噪声源主要分布于井场井口周边30m内，钻井过程中采取相应噪声防治措施，同时在钻井过程中平稳操作，避免特种作业时产生非正常的噪声。</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（3）预测模式</w:t>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bCs/>
                <w:color w:val="auto"/>
                <w:sz w:val="24"/>
              </w:rPr>
            </w:pPr>
            <w:r>
              <w:rPr>
                <w:rFonts w:hint="default" w:ascii="Times New Roman" w:hAnsi="Times New Roman" w:cs="Times New Roman"/>
                <w:bCs/>
                <w:color w:val="auto"/>
                <w:sz w:val="24"/>
              </w:rPr>
              <w:t>预测时</w:t>
            </w:r>
            <w:r>
              <w:rPr>
                <w:rFonts w:hint="default" w:ascii="Times New Roman" w:hAnsi="Times New Roman" w:cs="Times New Roman"/>
                <w:color w:val="auto"/>
                <w:sz w:val="24"/>
              </w:rPr>
              <w:t>考虑</w:t>
            </w:r>
            <w:r>
              <w:rPr>
                <w:rFonts w:hint="default" w:ascii="Times New Roman" w:hAnsi="Times New Roman" w:cs="Times New Roman"/>
                <w:bCs/>
                <w:color w:val="auto"/>
                <w:sz w:val="24"/>
              </w:rPr>
              <w:t>声源在传播过程中经过距离衰减，采用《环境影响评价技术导则声环境》（HJ2.4-2021）中的“点声源的几何发散衰减”模式下的“无指向性点声源几何发散衰减”进行计算，预测模式如下：</w:t>
            </w:r>
          </w:p>
          <w:p>
            <w:pPr>
              <w:keepNext w:val="0"/>
              <w:keepLines w:val="0"/>
              <w:suppressLineNumbers w:val="0"/>
              <w:spacing w:before="0" w:beforeAutospacing="0" w:after="0" w:afterAutospacing="0" w:line="360" w:lineRule="auto"/>
              <w:ind w:left="0" w:right="0"/>
              <w:contextualSpacing/>
              <w:jc w:val="center"/>
              <w:rPr>
                <w:rFonts w:hint="default" w:ascii="Times New Roman" w:hAnsi="Times New Roman" w:cs="Times New Roman"/>
                <w:bCs/>
                <w:color w:val="auto"/>
                <w:sz w:val="24"/>
              </w:rPr>
            </w:pPr>
            <m:oMathPara>
              <m:oMath>
                <m:sSub>
                  <m:sSubPr>
                    <m:ctrlPr>
                      <w:rPr>
                        <w:rFonts w:hint="default" w:ascii="Cambria Math" w:hAnsi="Cambria Math" w:cs="Times New Roman"/>
                        <w:iCs/>
                        <w:color w:val="auto"/>
                        <w:sz w:val="24"/>
                      </w:rPr>
                    </m:ctrlPr>
                  </m:sSubPr>
                  <m:e>
                    <m:r>
                      <m:rPr>
                        <m:sty m:val="p"/>
                      </m:rPr>
                      <w:rPr>
                        <w:rFonts w:hint="default" w:ascii="Cambria Math" w:hAnsi="Cambria Math" w:cs="Times New Roman"/>
                        <w:color w:val="auto"/>
                        <w:sz w:val="24"/>
                      </w:rPr>
                      <m:t>L</m:t>
                    </m:r>
                    <m:ctrlPr>
                      <w:rPr>
                        <w:rFonts w:hint="default" w:ascii="Cambria Math" w:hAnsi="Cambria Math" w:cs="Times New Roman"/>
                        <w:iCs/>
                        <w:color w:val="auto"/>
                        <w:sz w:val="24"/>
                      </w:rPr>
                    </m:ctrlPr>
                  </m:e>
                  <m:sub>
                    <m:r>
                      <m:rPr>
                        <m:sty m:val="p"/>
                      </m:rPr>
                      <w:rPr>
                        <w:rFonts w:hint="default" w:ascii="Cambria Math" w:hAnsi="Cambria Math" w:cs="Times New Roman"/>
                        <w:color w:val="auto"/>
                        <w:sz w:val="24"/>
                      </w:rPr>
                      <m:t>P</m:t>
                    </m:r>
                    <m:ctrlPr>
                      <w:rPr>
                        <w:rFonts w:hint="default" w:ascii="Cambria Math" w:hAnsi="Cambria Math" w:cs="Times New Roman"/>
                        <w:iCs/>
                        <w:color w:val="auto"/>
                        <w:sz w:val="24"/>
                      </w:rPr>
                    </m:ctrlPr>
                  </m:sub>
                </m:sSub>
                <m:d>
                  <m:dPr>
                    <m:begChr m:val="（"/>
                    <m:endChr m:val="）"/>
                    <m:ctrlPr>
                      <w:rPr>
                        <w:rFonts w:hint="default" w:ascii="Cambria Math" w:hAnsi="Cambria Math" w:cs="Times New Roman"/>
                        <w:iCs/>
                        <w:color w:val="auto"/>
                        <w:sz w:val="24"/>
                      </w:rPr>
                    </m:ctrlPr>
                  </m:dPr>
                  <m:e>
                    <m:r>
                      <m:rPr>
                        <m:sty m:val="p"/>
                      </m:rPr>
                      <w:rPr>
                        <w:rFonts w:hint="default" w:ascii="Cambria Math" w:hAnsi="Cambria Math" w:cs="Times New Roman"/>
                        <w:color w:val="auto"/>
                        <w:sz w:val="24"/>
                      </w:rPr>
                      <m:t>r</m:t>
                    </m:r>
                    <m:ctrlPr>
                      <w:rPr>
                        <w:rFonts w:hint="default" w:ascii="Cambria Math" w:hAnsi="Cambria Math" w:cs="Times New Roman"/>
                        <w:iCs/>
                        <w:color w:val="auto"/>
                        <w:sz w:val="24"/>
                      </w:rPr>
                    </m:ctrlPr>
                  </m:e>
                </m:d>
                <m:r>
                  <m:rPr>
                    <m:sty m:val="p"/>
                  </m:rPr>
                  <w:rPr>
                    <w:rFonts w:hint="default" w:ascii="Cambria Math" w:hAnsi="Cambria Math" w:cs="Times New Roman"/>
                    <w:color w:val="auto"/>
                    <w:sz w:val="24"/>
                  </w:rPr>
                  <m:t>=</m:t>
                </m:r>
                <m:sSub>
                  <m:sSubPr>
                    <m:ctrlPr>
                      <w:rPr>
                        <w:rFonts w:hint="default" w:ascii="Cambria Math" w:hAnsi="Cambria Math" w:cs="Times New Roman"/>
                        <w:iCs/>
                        <w:color w:val="auto"/>
                        <w:sz w:val="24"/>
                      </w:rPr>
                    </m:ctrlPr>
                  </m:sSubPr>
                  <m:e>
                    <m:r>
                      <m:rPr>
                        <m:sty m:val="p"/>
                      </m:rPr>
                      <w:rPr>
                        <w:rFonts w:hint="default" w:ascii="Cambria Math" w:hAnsi="Cambria Math" w:cs="Times New Roman"/>
                        <w:color w:val="auto"/>
                        <w:sz w:val="24"/>
                      </w:rPr>
                      <m:t>L</m:t>
                    </m:r>
                    <m:ctrlPr>
                      <w:rPr>
                        <w:rFonts w:hint="default" w:ascii="Cambria Math" w:hAnsi="Cambria Math" w:cs="Times New Roman"/>
                        <w:iCs/>
                        <w:color w:val="auto"/>
                        <w:sz w:val="24"/>
                      </w:rPr>
                    </m:ctrlPr>
                  </m:e>
                  <m:sub>
                    <m:r>
                      <m:rPr>
                        <m:sty m:val="p"/>
                      </m:rPr>
                      <w:rPr>
                        <w:rFonts w:hint="default" w:ascii="Cambria Math" w:hAnsi="Cambria Math" w:cs="Times New Roman"/>
                        <w:color w:val="auto"/>
                        <w:sz w:val="24"/>
                      </w:rPr>
                      <m:t>p</m:t>
                    </m:r>
                    <m:ctrlPr>
                      <w:rPr>
                        <w:rFonts w:hint="default" w:ascii="Cambria Math" w:hAnsi="Cambria Math" w:cs="Times New Roman"/>
                        <w:iCs/>
                        <w:color w:val="auto"/>
                        <w:sz w:val="24"/>
                      </w:rPr>
                    </m:ctrlPr>
                  </m:sub>
                </m:sSub>
                <m:d>
                  <m:dPr>
                    <m:begChr m:val="（"/>
                    <m:endChr m:val="）"/>
                    <m:ctrlPr>
                      <w:rPr>
                        <w:rFonts w:hint="default" w:ascii="Cambria Math" w:hAnsi="Cambria Math" w:cs="Times New Roman"/>
                        <w:iCs/>
                        <w:color w:val="auto"/>
                        <w:sz w:val="24"/>
                      </w:rPr>
                    </m:ctrlPr>
                  </m:dPr>
                  <m:e>
                    <m:sSub>
                      <m:sSubPr>
                        <m:ctrlPr>
                          <w:rPr>
                            <w:rFonts w:hint="default" w:ascii="Cambria Math" w:hAnsi="Cambria Math" w:cs="Times New Roman"/>
                            <w:iCs/>
                            <w:color w:val="auto"/>
                            <w:sz w:val="24"/>
                          </w:rPr>
                        </m:ctrlPr>
                      </m:sSubPr>
                      <m:e>
                        <m:r>
                          <m:rPr>
                            <m:sty m:val="p"/>
                          </m:rPr>
                          <w:rPr>
                            <w:rFonts w:hint="default" w:ascii="Cambria Math" w:hAnsi="Cambria Math" w:cs="Times New Roman"/>
                            <w:color w:val="auto"/>
                            <w:sz w:val="24"/>
                          </w:rPr>
                          <m:t>r</m:t>
                        </m:r>
                        <m:ctrlPr>
                          <w:rPr>
                            <w:rFonts w:hint="default" w:ascii="Cambria Math" w:hAnsi="Cambria Math" w:cs="Times New Roman"/>
                            <w:iCs/>
                            <w:color w:val="auto"/>
                            <w:sz w:val="24"/>
                          </w:rPr>
                        </m:ctrlPr>
                      </m:e>
                      <m:sub>
                        <m:r>
                          <m:rPr>
                            <m:sty m:val="p"/>
                          </m:rPr>
                          <w:rPr>
                            <w:rFonts w:hint="default" w:ascii="Cambria Math" w:hAnsi="Cambria Math" w:cs="Times New Roman"/>
                            <w:color w:val="auto"/>
                            <w:sz w:val="24"/>
                          </w:rPr>
                          <m:t>0</m:t>
                        </m:r>
                        <m:ctrlPr>
                          <w:rPr>
                            <w:rFonts w:hint="default" w:ascii="Cambria Math" w:hAnsi="Cambria Math" w:cs="Times New Roman"/>
                            <w:iCs/>
                            <w:color w:val="auto"/>
                            <w:sz w:val="24"/>
                          </w:rPr>
                        </m:ctrlPr>
                      </m:sub>
                    </m:sSub>
                    <m:ctrlPr>
                      <w:rPr>
                        <w:rFonts w:hint="default" w:ascii="Cambria Math" w:hAnsi="Cambria Math" w:cs="Times New Roman"/>
                        <w:iCs/>
                        <w:color w:val="auto"/>
                        <w:sz w:val="24"/>
                      </w:rPr>
                    </m:ctrlPr>
                  </m:e>
                </m:d>
                <m:r>
                  <m:rPr>
                    <m:sty m:val="p"/>
                  </m:rPr>
                  <w:rPr>
                    <w:rFonts w:hint="default" w:ascii="Cambria Math" w:hAnsi="Cambria Math" w:cs="Times New Roman"/>
                    <w:color w:val="auto"/>
                    <w:sz w:val="24"/>
                  </w:rPr>
                  <m:t>−20lg⁡</m:t>
                </m:r>
                <m:r>
                  <m:rPr/>
                  <w:rPr>
                    <w:rFonts w:hint="eastAsia" w:hAnsi="Cambria Math" w:cs="Times New Roman"/>
                    <w:color w:val="auto"/>
                    <w:sz w:val="24"/>
                    <w:lang w:eastAsia="zh-CN"/>
                  </w:rPr>
                  <m:t>(</m:t>
                </m:r>
                <m:r>
                  <m:rPr>
                    <m:sty m:val="p"/>
                  </m:rPr>
                  <w:rPr>
                    <w:rFonts w:hint="default" w:ascii="Cambria Math" w:hAnsi="Cambria Math" w:cs="Times New Roman"/>
                    <w:color w:val="auto"/>
                    <w:sz w:val="24"/>
                  </w:rPr>
                  <m:t>r/</m:t>
                </m:r>
                <m:sSub>
                  <m:sSubPr>
                    <m:ctrlPr>
                      <w:rPr>
                        <w:rFonts w:hint="default" w:ascii="Cambria Math" w:hAnsi="Cambria Math" w:cs="Times New Roman"/>
                        <w:iCs/>
                        <w:color w:val="auto"/>
                        <w:sz w:val="24"/>
                      </w:rPr>
                    </m:ctrlPr>
                  </m:sSubPr>
                  <m:e>
                    <m:r>
                      <m:rPr>
                        <m:sty m:val="p"/>
                      </m:rPr>
                      <w:rPr>
                        <w:rFonts w:hint="default" w:ascii="Cambria Math" w:hAnsi="Cambria Math" w:cs="Times New Roman"/>
                        <w:color w:val="auto"/>
                        <w:sz w:val="24"/>
                      </w:rPr>
                      <m:t>r</m:t>
                    </m:r>
                    <m:ctrlPr>
                      <w:rPr>
                        <w:rFonts w:hint="default" w:ascii="Cambria Math" w:hAnsi="Cambria Math" w:cs="Times New Roman"/>
                        <w:iCs/>
                        <w:color w:val="auto"/>
                        <w:sz w:val="24"/>
                      </w:rPr>
                    </m:ctrlPr>
                  </m:e>
                  <m:sub>
                    <m:r>
                      <m:rPr>
                        <m:sty m:val="p"/>
                      </m:rPr>
                      <w:rPr>
                        <w:rFonts w:hint="default" w:ascii="Cambria Math" w:hAnsi="Cambria Math" w:cs="Times New Roman"/>
                        <w:color w:val="auto"/>
                        <w:sz w:val="24"/>
                      </w:rPr>
                      <m:t>0</m:t>
                    </m:r>
                    <m:ctrlPr>
                      <w:rPr>
                        <w:rFonts w:hint="default" w:ascii="Cambria Math" w:hAnsi="Cambria Math" w:cs="Times New Roman"/>
                        <w:iCs/>
                        <w:color w:val="auto"/>
                        <w:sz w:val="24"/>
                      </w:rPr>
                    </m:ctrlPr>
                  </m:sub>
                </m:sSub>
                <m:r>
                  <m:rPr/>
                  <w:rPr>
                    <w:rFonts w:hint="eastAsia" w:hAnsi="Cambria Math" w:cs="Times New Roman"/>
                    <w:color w:val="auto"/>
                    <w:sz w:val="24"/>
                    <w:lang w:eastAsia="zh-CN"/>
                  </w:rPr>
                  <m:t>)</m:t>
                </m:r>
              </m:oMath>
            </m:oMathPara>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lang w:val="pt-BR"/>
              </w:rPr>
            </w:pPr>
            <w:r>
              <w:rPr>
                <w:rFonts w:hint="default" w:ascii="Times New Roman" w:hAnsi="Times New Roman" w:cs="Times New Roman"/>
                <w:color w:val="auto"/>
                <w:sz w:val="24"/>
              </w:rPr>
              <w:t>式中</w:t>
            </w:r>
            <w:r>
              <w:rPr>
                <w:rFonts w:hint="default" w:ascii="Times New Roman" w:hAnsi="Times New Roman" w:cs="Times New Roman"/>
                <w:color w:val="auto"/>
                <w:sz w:val="24"/>
                <w:lang w:val="pt-BR"/>
              </w:rPr>
              <w:t>：</w:t>
            </w:r>
            <w:r>
              <w:rPr>
                <w:rFonts w:hint="default" w:ascii="Times New Roman" w:hAnsi="Times New Roman" w:cs="Times New Roman"/>
                <w:i/>
                <w:iCs/>
                <w:color w:val="auto"/>
                <w:sz w:val="24"/>
                <w:lang w:val="pt-BR"/>
              </w:rPr>
              <w:t>L</w:t>
            </w:r>
            <w:r>
              <w:rPr>
                <w:rFonts w:hint="default" w:ascii="Times New Roman" w:hAnsi="Times New Roman" w:cs="Times New Roman"/>
                <w:i/>
                <w:iCs/>
                <w:color w:val="auto"/>
                <w:sz w:val="24"/>
                <w:vertAlign w:val="subscript"/>
                <w:lang w:val="pt-BR"/>
              </w:rPr>
              <w:t>P</w:t>
            </w:r>
            <w:r>
              <w:rPr>
                <w:rFonts w:hint="default" w:ascii="Times New Roman" w:hAnsi="Times New Roman" w:cs="Times New Roman"/>
                <w:i/>
                <w:iCs/>
                <w:color w:val="auto"/>
                <w:sz w:val="24"/>
                <w:lang w:val="pt-BR"/>
              </w:rPr>
              <w:t>（r）</w:t>
            </w:r>
            <w:r>
              <w:rPr>
                <w:rFonts w:hint="default" w:ascii="Times New Roman" w:hAnsi="Times New Roman" w:cs="Times New Roman"/>
                <w:color w:val="auto"/>
                <w:sz w:val="24"/>
                <w:lang w:val="pt-BR"/>
              </w:rPr>
              <w:t xml:space="preserve"> — 预测点处声压级，dB；</w:t>
            </w:r>
          </w:p>
          <w:p>
            <w:pPr>
              <w:keepNext w:val="0"/>
              <w:keepLines w:val="0"/>
              <w:suppressLineNumbers w:val="0"/>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L</w:t>
            </w:r>
            <w:r>
              <w:rPr>
                <w:rFonts w:hint="default" w:ascii="Times New Roman" w:hAnsi="Times New Roman" w:cs="Times New Roman"/>
                <w:i/>
                <w:iCs/>
                <w:color w:val="auto"/>
                <w:sz w:val="24"/>
                <w:vertAlign w:val="subscript"/>
              </w:rPr>
              <w:t>P</w:t>
            </w:r>
            <w:r>
              <w:rPr>
                <w:rFonts w:hint="default" w:ascii="Times New Roman" w:hAnsi="Times New Roman" w:cs="Times New Roman"/>
                <w:i/>
                <w:iCs/>
                <w:color w:val="auto"/>
                <w:sz w:val="24"/>
              </w:rPr>
              <w:t>（r</w:t>
            </w:r>
            <w:r>
              <w:rPr>
                <w:rFonts w:hint="default" w:ascii="Times New Roman" w:hAnsi="Times New Roman" w:cs="Times New Roman"/>
                <w:i/>
                <w:iCs/>
                <w:color w:val="auto"/>
                <w:sz w:val="24"/>
                <w:vertAlign w:val="subscript"/>
              </w:rPr>
              <w:t>0</w:t>
            </w:r>
            <w:r>
              <w:rPr>
                <w:rFonts w:hint="default" w:ascii="Times New Roman" w:hAnsi="Times New Roman" w:cs="Times New Roman"/>
                <w:i/>
                <w:iCs/>
                <w:color w:val="auto"/>
                <w:sz w:val="24"/>
              </w:rPr>
              <w:t>）</w:t>
            </w:r>
            <w:r>
              <w:rPr>
                <w:rFonts w:hint="default" w:ascii="Times New Roman" w:hAnsi="Times New Roman" w:cs="Times New Roman"/>
                <w:color w:val="auto"/>
                <w:sz w:val="24"/>
              </w:rPr>
              <w:t>— 参考点r</w:t>
            </w:r>
            <w:r>
              <w:rPr>
                <w:rFonts w:hint="default" w:ascii="Times New Roman" w:hAnsi="Times New Roman" w:cs="Times New Roman"/>
                <w:color w:val="auto"/>
                <w:sz w:val="24"/>
                <w:vertAlign w:val="subscript"/>
              </w:rPr>
              <w:t>0</w:t>
            </w:r>
            <w:r>
              <w:rPr>
                <w:rFonts w:hint="default" w:ascii="Times New Roman" w:hAnsi="Times New Roman" w:cs="Times New Roman"/>
                <w:color w:val="auto"/>
                <w:sz w:val="24"/>
              </w:rPr>
              <w:t>处的声压级，dB；</w:t>
            </w:r>
          </w:p>
          <w:p>
            <w:pPr>
              <w:keepNext w:val="0"/>
              <w:keepLines w:val="0"/>
              <w:suppressLineNumbers w:val="0"/>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 xml:space="preserve">r </w:t>
            </w:r>
            <w:r>
              <w:rPr>
                <w:rFonts w:hint="default" w:ascii="Times New Roman" w:hAnsi="Times New Roman" w:cs="Times New Roman"/>
                <w:color w:val="auto"/>
                <w:sz w:val="24"/>
              </w:rPr>
              <w:t>— 预测点距声源的距离，m；</w:t>
            </w:r>
          </w:p>
          <w:p>
            <w:pPr>
              <w:keepNext w:val="0"/>
              <w:keepLines w:val="0"/>
              <w:suppressLineNumbers w:val="0"/>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r</w:t>
            </w:r>
            <w:r>
              <w:rPr>
                <w:rFonts w:hint="default" w:ascii="Times New Roman" w:hAnsi="Times New Roman" w:cs="Times New Roman"/>
                <w:i/>
                <w:iCs/>
                <w:color w:val="auto"/>
                <w:sz w:val="24"/>
                <w:vertAlign w:val="subscript"/>
              </w:rPr>
              <w:t>0</w:t>
            </w:r>
            <w:r>
              <w:rPr>
                <w:rFonts w:hint="default" w:ascii="Times New Roman" w:hAnsi="Times New Roman" w:cs="Times New Roman"/>
                <w:color w:val="auto"/>
                <w:sz w:val="24"/>
              </w:rPr>
              <w:t xml:space="preserve"> — 参考位置距声源的距离，m；</w:t>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多个声源发出的噪声在同一受声点的共同影响，噪声在预测点处产生的等效声级贡献值叠加的计算公式如下：</w:t>
            </w:r>
          </w:p>
          <w:p>
            <w:pPr>
              <w:keepNext w:val="0"/>
              <w:keepLines w:val="0"/>
              <w:suppressLineNumbers w:val="0"/>
              <w:spacing w:before="0" w:beforeAutospacing="0" w:after="0" w:afterAutospacing="0" w:line="360" w:lineRule="auto"/>
              <w:ind w:left="0" w:right="0" w:firstLine="480" w:firstLineChars="200"/>
              <w:contextualSpacing/>
              <w:jc w:val="center"/>
              <w:rPr>
                <w:rFonts w:hint="default" w:ascii="Times New Roman" w:hAnsi="Times New Roman" w:cs="Times New Roman"/>
                <w:color w:val="auto"/>
                <w:sz w:val="24"/>
              </w:rPr>
            </w:pPr>
            <w:r>
              <w:rPr>
                <w:rFonts w:hint="default" w:ascii="Times New Roman" w:hAnsi="Times New Roman" w:cs="Times New Roman"/>
                <w:color w:val="auto"/>
                <w:position w:val="-28"/>
                <w:sz w:val="24"/>
              </w:rPr>
              <w:drawing>
                <wp:inline distT="0" distB="0" distL="0" distR="0">
                  <wp:extent cx="1733550" cy="457200"/>
                  <wp:effectExtent l="0" t="0" r="0" b="0"/>
                  <wp:docPr id="27"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1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a:xfrm>
                            <a:off x="0" y="0"/>
                            <a:ext cx="1733550" cy="457200"/>
                          </a:xfrm>
                          <a:prstGeom prst="rect">
                            <a:avLst/>
                          </a:prstGeom>
                          <a:noFill/>
                          <a:ln>
                            <a:noFill/>
                          </a:ln>
                        </pic:spPr>
                      </pic:pic>
                    </a:graphicData>
                  </a:graphic>
                </wp:inline>
              </w:drawing>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式中：</w:t>
            </w:r>
            <w:r>
              <w:rPr>
                <w:rFonts w:hint="default" w:ascii="Times New Roman" w:hAnsi="Times New Roman" w:cs="Times New Roman"/>
                <w:i/>
                <w:iCs/>
                <w:color w:val="auto"/>
                <w:sz w:val="24"/>
              </w:rPr>
              <w:t>L</w:t>
            </w:r>
            <w:r>
              <w:rPr>
                <w:rFonts w:hint="default" w:ascii="Times New Roman" w:hAnsi="Times New Roman" w:cs="Times New Roman"/>
                <w:i/>
                <w:iCs/>
                <w:color w:val="auto"/>
                <w:sz w:val="24"/>
                <w:vertAlign w:val="subscript"/>
              </w:rPr>
              <w:t>eqg</w:t>
            </w:r>
            <w:r>
              <w:rPr>
                <w:rFonts w:hint="default" w:ascii="Times New Roman" w:hAnsi="Times New Roman" w:cs="Times New Roman"/>
                <w:color w:val="auto"/>
                <w:sz w:val="24"/>
              </w:rPr>
              <w:t xml:space="preserve"> — 建设项目在预测点的等效声级贡献值，dB；</w:t>
            </w:r>
          </w:p>
          <w:p>
            <w:pPr>
              <w:keepNext w:val="0"/>
              <w:keepLines w:val="0"/>
              <w:suppressLineNumbers w:val="0"/>
              <w:tabs>
                <w:tab w:val="left" w:pos="750"/>
              </w:tabs>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L</w:t>
            </w:r>
            <w:r>
              <w:rPr>
                <w:rFonts w:hint="default" w:ascii="Times New Roman" w:hAnsi="Times New Roman" w:cs="Times New Roman"/>
                <w:i/>
                <w:iCs/>
                <w:color w:val="auto"/>
                <w:sz w:val="24"/>
                <w:vertAlign w:val="subscript"/>
              </w:rPr>
              <w:t>Ai</w:t>
            </w:r>
            <w:r>
              <w:rPr>
                <w:rFonts w:hint="default" w:ascii="Times New Roman" w:hAnsi="Times New Roman" w:cs="Times New Roman"/>
                <w:i/>
                <w:iCs/>
                <w:color w:val="auto"/>
                <w:sz w:val="24"/>
              </w:rPr>
              <w:t xml:space="preserve"> </w:t>
            </w:r>
            <w:r>
              <w:rPr>
                <w:rFonts w:hint="default" w:ascii="Times New Roman" w:hAnsi="Times New Roman" w:cs="Times New Roman"/>
                <w:color w:val="auto"/>
                <w:sz w:val="24"/>
              </w:rPr>
              <w:t xml:space="preserve">— </w:t>
            </w:r>
            <w:r>
              <w:rPr>
                <w:rFonts w:hint="default" w:ascii="Times New Roman" w:hAnsi="Times New Roman" w:cs="Times New Roman"/>
                <w:i/>
                <w:iCs/>
                <w:color w:val="auto"/>
                <w:sz w:val="24"/>
              </w:rPr>
              <w:t>i</w:t>
            </w:r>
            <w:r>
              <w:rPr>
                <w:rFonts w:hint="default" w:ascii="Times New Roman" w:hAnsi="Times New Roman" w:cs="Times New Roman"/>
                <w:color w:val="auto"/>
                <w:sz w:val="24"/>
              </w:rPr>
              <w:t>声源在预测点产生的A声级，dB；</w:t>
            </w:r>
          </w:p>
          <w:p>
            <w:pPr>
              <w:keepNext w:val="0"/>
              <w:keepLines w:val="0"/>
              <w:suppressLineNumbers w:val="0"/>
              <w:tabs>
                <w:tab w:val="left" w:pos="750"/>
              </w:tabs>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T</w:t>
            </w:r>
            <w:r>
              <w:rPr>
                <w:rFonts w:hint="default" w:ascii="Times New Roman" w:hAnsi="Times New Roman" w:cs="Times New Roman"/>
                <w:color w:val="auto"/>
                <w:sz w:val="24"/>
              </w:rPr>
              <w:t xml:space="preserve"> — 预测计算的时间段，s；</w:t>
            </w:r>
          </w:p>
          <w:p>
            <w:pPr>
              <w:keepNext w:val="0"/>
              <w:keepLines w:val="0"/>
              <w:suppressLineNumbers w:val="0"/>
              <w:tabs>
                <w:tab w:val="left" w:pos="750"/>
              </w:tabs>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t</w:t>
            </w:r>
            <w:r>
              <w:rPr>
                <w:rFonts w:hint="default" w:ascii="Times New Roman" w:hAnsi="Times New Roman" w:cs="Times New Roman"/>
                <w:i/>
                <w:iCs/>
                <w:color w:val="auto"/>
                <w:sz w:val="24"/>
                <w:vertAlign w:val="subscript"/>
              </w:rPr>
              <w:t>i</w:t>
            </w:r>
            <w:r>
              <w:rPr>
                <w:rFonts w:hint="default" w:ascii="Times New Roman" w:hAnsi="Times New Roman" w:cs="Times New Roman"/>
                <w:color w:val="auto"/>
                <w:sz w:val="24"/>
              </w:rPr>
              <w:t xml:space="preserve"> —</w:t>
            </w:r>
            <w:r>
              <w:rPr>
                <w:rFonts w:hint="default" w:ascii="Times New Roman" w:hAnsi="Times New Roman" w:cs="Times New Roman"/>
                <w:i/>
                <w:iCs/>
                <w:color w:val="auto"/>
                <w:sz w:val="24"/>
              </w:rPr>
              <w:t>i</w:t>
            </w:r>
            <w:r>
              <w:rPr>
                <w:rFonts w:hint="default" w:ascii="Times New Roman" w:hAnsi="Times New Roman" w:cs="Times New Roman"/>
                <w:color w:val="auto"/>
                <w:sz w:val="24"/>
              </w:rPr>
              <w:t>声源在T时段内的运行时间，s。</w:t>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声源在敏感点处的贡献值叠加背景值即为该敏感点处噪声预测值，计算</w:t>
            </w:r>
            <w:r>
              <w:rPr>
                <w:rFonts w:hint="default" w:ascii="Times New Roman" w:hAnsi="Times New Roman" w:cs="Times New Roman"/>
                <w:bCs/>
                <w:color w:val="auto"/>
                <w:sz w:val="24"/>
              </w:rPr>
              <w:t>采用《环境影响评价技术导则 声环境》（HJ2.4-2021）</w:t>
            </w:r>
            <w:r>
              <w:rPr>
                <w:rFonts w:hint="default" w:ascii="Times New Roman" w:hAnsi="Times New Roman" w:cs="Times New Roman"/>
                <w:color w:val="auto"/>
                <w:sz w:val="24"/>
              </w:rPr>
              <w:t>3.11中（3）式，公式为：</w:t>
            </w:r>
          </w:p>
          <w:p>
            <w:pPr>
              <w:keepNext w:val="0"/>
              <w:keepLines w:val="0"/>
              <w:suppressLineNumbers w:val="0"/>
              <w:spacing w:before="0" w:beforeAutospacing="0" w:after="0" w:afterAutospacing="0" w:line="360" w:lineRule="auto"/>
              <w:ind w:left="0" w:right="0" w:firstLine="480" w:firstLineChars="200"/>
              <w:contextualSpacing/>
              <w:jc w:val="center"/>
              <w:rPr>
                <w:rFonts w:hint="default" w:ascii="Times New Roman" w:hAnsi="Times New Roman" w:cs="Times New Roman"/>
                <w:color w:val="auto"/>
                <w:sz w:val="24"/>
              </w:rPr>
            </w:pPr>
            <w:r>
              <w:rPr>
                <w:rFonts w:hint="default" w:ascii="Times New Roman" w:hAnsi="Times New Roman" w:cs="Times New Roman"/>
                <w:color w:val="auto"/>
                <w:position w:val="-12"/>
                <w:sz w:val="24"/>
              </w:rPr>
              <w:drawing>
                <wp:inline distT="0" distB="0" distL="0" distR="0">
                  <wp:extent cx="2286000" cy="279400"/>
                  <wp:effectExtent l="0" t="0" r="0" b="0"/>
                  <wp:docPr id="28"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0"/>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a:xfrm>
                            <a:off x="0" y="0"/>
                            <a:ext cx="2286000" cy="279400"/>
                          </a:xfrm>
                          <a:prstGeom prst="rect">
                            <a:avLst/>
                          </a:prstGeom>
                          <a:noFill/>
                          <a:ln>
                            <a:noFill/>
                          </a:ln>
                        </pic:spPr>
                      </pic:pic>
                    </a:graphicData>
                  </a:graphic>
                </wp:inline>
              </w:drawing>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式中：</w:t>
            </w:r>
            <w:r>
              <w:rPr>
                <w:rFonts w:hint="default" w:ascii="Times New Roman" w:hAnsi="Times New Roman" w:cs="Times New Roman"/>
                <w:i/>
                <w:iCs/>
                <w:color w:val="auto"/>
                <w:sz w:val="24"/>
              </w:rPr>
              <w:t>L</w:t>
            </w:r>
            <w:r>
              <w:rPr>
                <w:rFonts w:hint="default" w:ascii="Times New Roman" w:hAnsi="Times New Roman" w:cs="Times New Roman"/>
                <w:i/>
                <w:iCs/>
                <w:color w:val="auto"/>
                <w:sz w:val="24"/>
                <w:vertAlign w:val="subscript"/>
              </w:rPr>
              <w:t>eqg</w:t>
            </w:r>
            <w:r>
              <w:rPr>
                <w:rFonts w:hint="default" w:ascii="Times New Roman" w:hAnsi="Times New Roman" w:cs="Times New Roman"/>
                <w:i/>
                <w:iCs/>
                <w:color w:val="auto"/>
                <w:sz w:val="24"/>
              </w:rPr>
              <w:t xml:space="preserve"> </w:t>
            </w:r>
            <w:r>
              <w:rPr>
                <w:rFonts w:hint="default" w:ascii="Times New Roman" w:hAnsi="Times New Roman" w:cs="Times New Roman"/>
                <w:color w:val="auto"/>
                <w:sz w:val="24"/>
              </w:rPr>
              <w:t>— 建设项目声源在预测点的等效声级贡献值，dB；</w:t>
            </w:r>
          </w:p>
          <w:p>
            <w:pPr>
              <w:keepNext w:val="0"/>
              <w:keepLines w:val="0"/>
              <w:suppressLineNumbers w:val="0"/>
              <w:spacing w:before="0" w:beforeAutospacing="0" w:after="0" w:afterAutospacing="0" w:line="360" w:lineRule="auto"/>
              <w:ind w:left="0" w:right="0" w:firstLine="1200" w:firstLineChars="500"/>
              <w:contextualSpacing/>
              <w:rPr>
                <w:rFonts w:hint="default" w:ascii="Times New Roman" w:hAnsi="Times New Roman" w:cs="Times New Roman"/>
                <w:color w:val="auto"/>
                <w:sz w:val="24"/>
              </w:rPr>
            </w:pPr>
            <w:r>
              <w:rPr>
                <w:rFonts w:hint="default" w:ascii="Times New Roman" w:hAnsi="Times New Roman" w:cs="Times New Roman"/>
                <w:i/>
                <w:iCs/>
                <w:color w:val="auto"/>
                <w:sz w:val="24"/>
              </w:rPr>
              <w:t>L</w:t>
            </w:r>
            <w:r>
              <w:rPr>
                <w:rFonts w:hint="default" w:ascii="Times New Roman" w:hAnsi="Times New Roman" w:cs="Times New Roman"/>
                <w:i/>
                <w:iCs/>
                <w:color w:val="auto"/>
                <w:sz w:val="24"/>
                <w:vertAlign w:val="subscript"/>
              </w:rPr>
              <w:t>eqb</w:t>
            </w:r>
            <w:r>
              <w:rPr>
                <w:rFonts w:hint="default" w:ascii="Times New Roman" w:hAnsi="Times New Roman" w:cs="Times New Roman"/>
                <w:color w:val="auto"/>
                <w:sz w:val="24"/>
              </w:rPr>
              <w:t xml:space="preserve"> — 预测点的背景值，dB。</w:t>
            </w:r>
          </w:p>
          <w:p>
            <w:pPr>
              <w:keepNext w:val="0"/>
              <w:keepLines w:val="0"/>
              <w:suppressLineNumbers w:val="0"/>
              <w:tabs>
                <w:tab w:val="left" w:pos="750"/>
              </w:tabs>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default" w:ascii="Times New Roman" w:hAnsi="Times New Roman" w:cs="Times New Roman"/>
                <w:color w:val="auto"/>
                <w:sz w:val="24"/>
              </w:rPr>
              <w:t>预测结果见下表。</w:t>
            </w:r>
          </w:p>
          <w:p>
            <w:pPr>
              <w:keepNext w:val="0"/>
              <w:keepLines w:val="0"/>
              <w:suppressLineNumbers w:val="0"/>
              <w:autoSpaceDE w:val="0"/>
              <w:autoSpaceDN w:val="0"/>
              <w:spacing w:before="0" w:beforeAutospacing="0" w:after="0" w:afterAutospacing="0" w:line="360" w:lineRule="auto"/>
              <w:ind w:left="0" w:right="0"/>
              <w:contextualSpacing/>
              <w:jc w:val="center"/>
              <w:rPr>
                <w:rFonts w:hint="default" w:ascii="Times New Roman" w:hAnsi="Times New Roman" w:cs="Times New Roman"/>
                <w:b/>
                <w:color w:val="auto"/>
                <w:sz w:val="24"/>
              </w:rPr>
            </w:pPr>
            <w:r>
              <w:rPr>
                <w:rFonts w:hint="default" w:ascii="Times New Roman" w:hAnsi="Times New Roman" w:cs="Times New Roman"/>
                <w:b/>
                <w:color w:val="auto"/>
                <w:sz w:val="24"/>
              </w:rPr>
              <w:t>表4-15 压裂设备厂界噪声预测结果与达标分析表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814"/>
              <w:gridCol w:w="1634"/>
              <w:gridCol w:w="2334"/>
              <w:gridCol w:w="233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4" w:hRule="exact"/>
                <w:jc w:val="center"/>
              </w:trPr>
              <w:tc>
                <w:tcPr>
                  <w:tcW w:w="1461"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预测方位</w:t>
                  </w:r>
                </w:p>
              </w:tc>
              <w:tc>
                <w:tcPr>
                  <w:tcW w:w="1317"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时段</w:t>
                  </w:r>
                </w:p>
              </w:tc>
              <w:tc>
                <w:tcPr>
                  <w:tcW w:w="1881"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预测值dBA</w:t>
                  </w:r>
                </w:p>
              </w:tc>
              <w:tc>
                <w:tcPr>
                  <w:tcW w:w="1882"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标准限值dBA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461"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317"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81"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882"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97" w:hRule="exact"/>
                <w:jc w:val="center"/>
              </w:trPr>
              <w:tc>
                <w:tcPr>
                  <w:tcW w:w="1461"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东侧</w:t>
                  </w:r>
                </w:p>
              </w:tc>
              <w:tc>
                <w:tcPr>
                  <w:tcW w:w="131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昼间</w:t>
                  </w:r>
                </w:p>
              </w:tc>
              <w:tc>
                <w:tcPr>
                  <w:tcW w:w="1881"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szCs w:val="21"/>
                    </w:rPr>
                    <w:t>62.7</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70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97" w:hRule="exact"/>
                <w:jc w:val="center"/>
              </w:trPr>
              <w:tc>
                <w:tcPr>
                  <w:tcW w:w="1461"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南侧</w:t>
                  </w:r>
                </w:p>
              </w:tc>
              <w:tc>
                <w:tcPr>
                  <w:tcW w:w="131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昼间</w:t>
                  </w:r>
                </w:p>
              </w:tc>
              <w:tc>
                <w:tcPr>
                  <w:tcW w:w="1881"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szCs w:val="21"/>
                    </w:rPr>
                    <w:t>67.5</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70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97" w:hRule="exact"/>
                <w:jc w:val="center"/>
              </w:trPr>
              <w:tc>
                <w:tcPr>
                  <w:tcW w:w="1461"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西侧</w:t>
                  </w:r>
                </w:p>
              </w:tc>
              <w:tc>
                <w:tcPr>
                  <w:tcW w:w="131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昼间</w:t>
                  </w:r>
                </w:p>
              </w:tc>
              <w:tc>
                <w:tcPr>
                  <w:tcW w:w="1881"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szCs w:val="21"/>
                    </w:rPr>
                    <w:t>67.4</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70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97" w:hRule="exact"/>
                <w:jc w:val="center"/>
              </w:trPr>
              <w:tc>
                <w:tcPr>
                  <w:tcW w:w="1461"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北侧</w:t>
                  </w:r>
                </w:p>
              </w:tc>
              <w:tc>
                <w:tcPr>
                  <w:tcW w:w="1317"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昼间</w:t>
                  </w:r>
                </w:p>
              </w:tc>
              <w:tc>
                <w:tcPr>
                  <w:tcW w:w="1881"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szCs w:val="21"/>
                    </w:rPr>
                    <w:t>67.3</w:t>
                  </w:r>
                </w:p>
              </w:tc>
              <w:tc>
                <w:tcPr>
                  <w:tcW w:w="1882"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cs="Times New Roman"/>
                      <w:color w:val="auto"/>
                      <w:szCs w:val="21"/>
                    </w:rPr>
                  </w:pPr>
                  <w:r>
                    <w:rPr>
                      <w:rFonts w:hint="default" w:ascii="Times New Roman" w:hAnsi="Times New Roman" w:cs="Times New Roman"/>
                      <w:color w:val="auto"/>
                      <w:kern w:val="0"/>
                      <w:szCs w:val="21"/>
                      <w:lang w:bidi="ar"/>
                    </w:rPr>
                    <w:t>70</w:t>
                  </w:r>
                </w:p>
              </w:tc>
            </w:tr>
          </w:tbl>
          <w:p>
            <w:pPr>
              <w:keepNext w:val="0"/>
              <w:keepLines w:val="0"/>
              <w:suppressLineNumbers w:val="0"/>
              <w:spacing w:before="0" w:beforeAutospacing="0" w:after="0" w:afterAutospacing="0"/>
              <w:ind w:left="0" w:right="0"/>
              <w:contextualSpacing/>
              <w:rPr>
                <w:rFonts w:hint="default" w:ascii="Times New Roman" w:hAnsi="Times New Roman" w:cs="Times New Roman"/>
                <w:color w:val="auto"/>
                <w:sz w:val="24"/>
              </w:rPr>
            </w:pPr>
            <w:r>
              <w:rPr>
                <w:rFonts w:hint="default" w:ascii="Times New Roman" w:hAnsi="Times New Roman" w:cs="Times New Roman"/>
                <w:color w:val="auto"/>
                <w:sz w:val="24"/>
              </w:rPr>
              <w:drawing>
                <wp:inline distT="0" distB="0" distL="114300" distR="114300">
                  <wp:extent cx="5161915" cy="2917190"/>
                  <wp:effectExtent l="0" t="0" r="635" b="16510"/>
                  <wp:docPr id="3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
                          <pic:cNvPicPr>
                            <a:picLocks noChangeAspect="1"/>
                          </pic:cNvPicPr>
                        </pic:nvPicPr>
                        <pic:blipFill>
                          <a:blip r:embed="rId22"/>
                          <a:stretch>
                            <a:fillRect/>
                          </a:stretch>
                        </pic:blipFill>
                        <pic:spPr>
                          <a:xfrm>
                            <a:off x="0" y="0"/>
                            <a:ext cx="5161915" cy="2917190"/>
                          </a:xfrm>
                          <a:prstGeom prst="rect">
                            <a:avLst/>
                          </a:prstGeom>
                          <a:noFill/>
                          <a:ln>
                            <a:noFill/>
                          </a:ln>
                        </pic:spPr>
                      </pic:pic>
                    </a:graphicData>
                  </a:graphic>
                </wp:inline>
              </w:drawing>
            </w:r>
          </w:p>
          <w:p>
            <w:pPr>
              <w:keepNext w:val="0"/>
              <w:keepLines w:val="0"/>
              <w:suppressLineNumbers w:val="0"/>
              <w:autoSpaceDE w:val="0"/>
              <w:autoSpaceDN w:val="0"/>
              <w:spacing w:before="0" w:beforeAutospacing="0" w:after="0" w:afterAutospacing="0" w:line="360" w:lineRule="auto"/>
              <w:ind w:left="0" w:right="0"/>
              <w:contextualSpacing/>
              <w:jc w:val="center"/>
              <w:rPr>
                <w:rFonts w:hint="default" w:ascii="Times New Roman" w:hAnsi="Times New Roman" w:cs="Times New Roman"/>
                <w:b/>
                <w:color w:val="auto"/>
                <w:sz w:val="24"/>
              </w:rPr>
            </w:pPr>
            <w:r>
              <w:rPr>
                <w:rFonts w:hint="default" w:ascii="Times New Roman" w:hAnsi="Times New Roman" w:cs="Times New Roman"/>
                <w:b/>
                <w:color w:val="auto"/>
                <w:sz w:val="24"/>
              </w:rPr>
              <w:t>表4-16 压裂设备噪声对周围居民影响预测</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54"/>
              <w:gridCol w:w="1332"/>
              <w:gridCol w:w="1342"/>
              <w:gridCol w:w="1155"/>
              <w:gridCol w:w="1344"/>
              <w:gridCol w:w="1344"/>
              <w:gridCol w:w="114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54"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序号</w:t>
                  </w:r>
                </w:p>
              </w:tc>
              <w:tc>
                <w:tcPr>
                  <w:tcW w:w="1332" w:type="dxa"/>
                  <w:vMerge w:val="restar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声环境保护目标名称</w:t>
                  </w:r>
                </w:p>
              </w:tc>
              <w:tc>
                <w:tcPr>
                  <w:tcW w:w="1342"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噪声现状值/dB(A)</w:t>
                  </w:r>
                </w:p>
              </w:tc>
              <w:tc>
                <w:tcPr>
                  <w:tcW w:w="115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噪声标准/dB(A)</w:t>
                  </w:r>
                </w:p>
              </w:tc>
              <w:tc>
                <w:tcPr>
                  <w:tcW w:w="134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噪声贡献值/dB(A)</w:t>
                  </w:r>
                </w:p>
              </w:tc>
              <w:tc>
                <w:tcPr>
                  <w:tcW w:w="134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噪声预测值/dB(A)</w:t>
                  </w:r>
                </w:p>
              </w:tc>
              <w:tc>
                <w:tcPr>
                  <w:tcW w:w="1146"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b/>
                      <w:color w:val="auto"/>
                      <w:szCs w:val="21"/>
                    </w:rPr>
                    <w:t>较现状增量/dB(A)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54"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332" w:type="dxa"/>
                  <w:vMerge w:val="continue"/>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342"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1155"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1344"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1344"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c>
                <w:tcPr>
                  <w:tcW w:w="1146"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昼间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69" w:hRule="atLeast"/>
                <w:jc w:val="center"/>
              </w:trPr>
              <w:tc>
                <w:tcPr>
                  <w:tcW w:w="454"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w:t>
                  </w:r>
                </w:p>
              </w:tc>
              <w:tc>
                <w:tcPr>
                  <w:tcW w:w="1332" w:type="dxa"/>
                  <w:tcBorders>
                    <w:tl2br w:val="nil"/>
                    <w:tr2bl w:val="nil"/>
                  </w:tcBorders>
                  <w:shd w:val="clear" w:color="auto" w:fill="FFFFFF"/>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1#居民点</w:t>
                  </w:r>
                </w:p>
              </w:tc>
              <w:tc>
                <w:tcPr>
                  <w:tcW w:w="1342"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56</w:t>
                  </w:r>
                </w:p>
              </w:tc>
              <w:tc>
                <w:tcPr>
                  <w:tcW w:w="1155"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60</w:t>
                  </w:r>
                </w:p>
              </w:tc>
              <w:tc>
                <w:tcPr>
                  <w:tcW w:w="1344"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66.5</w:t>
                  </w:r>
                </w:p>
              </w:tc>
              <w:tc>
                <w:tcPr>
                  <w:tcW w:w="1344" w:type="dxa"/>
                  <w:tcBorders>
                    <w:tl2br w:val="nil"/>
                    <w:tr2bl w:val="nil"/>
                  </w:tcBorders>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66.9</w:t>
                  </w:r>
                </w:p>
              </w:tc>
              <w:tc>
                <w:tcPr>
                  <w:tcW w:w="1146" w:type="dxa"/>
                  <w:tcBorders>
                    <w:tl2br w:val="nil"/>
                    <w:tr2bl w:val="nil"/>
                  </w:tcBorders>
                  <w:shd w:val="clear" w:color="auto" w:fill="FFFFFF"/>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10.9</w:t>
                  </w:r>
                </w:p>
              </w:tc>
            </w:tr>
          </w:tbl>
          <w:p>
            <w:pPr>
              <w:keepNext w:val="0"/>
              <w:keepLines w:val="0"/>
              <w:suppressLineNumbers w:val="0"/>
              <w:spacing w:before="0" w:beforeAutospacing="0" w:after="0" w:afterAutospacing="0" w:line="360" w:lineRule="auto"/>
              <w:ind w:left="0" w:right="0" w:firstLine="480" w:firstLineChars="200"/>
              <w:contextualSpacing/>
              <w:rPr>
                <w:rFonts w:hint="default" w:ascii="Times New Roman" w:hAnsi="Times New Roman" w:cs="Times New Roman"/>
                <w:color w:val="auto"/>
                <w:sz w:val="24"/>
              </w:rPr>
            </w:pPr>
            <w:r>
              <w:rPr>
                <w:rFonts w:hint="eastAsia" w:cs="Times New Roman"/>
                <w:color w:val="auto"/>
                <w:sz w:val="24"/>
                <w:lang w:val="en-US" w:eastAsia="zh-CN"/>
              </w:rPr>
              <w:t>试气</w:t>
            </w:r>
            <w:r>
              <w:rPr>
                <w:rFonts w:hint="default" w:ascii="Times New Roman" w:hAnsi="Times New Roman" w:cs="Times New Roman"/>
                <w:color w:val="auto"/>
                <w:sz w:val="24"/>
              </w:rPr>
              <w:t>工程施工时间较短，且均在昼间进行，同类型项目均存在此类现象，随着施工结束噪声影响随之消失，因此不会对当地声环境造成影响。评价要求对距离较</w:t>
            </w:r>
            <w:r>
              <w:rPr>
                <w:rFonts w:hint="eastAsia" w:cs="Times New Roman"/>
                <w:color w:val="auto"/>
                <w:sz w:val="24"/>
                <w:lang w:eastAsia="zh-CN"/>
              </w:rPr>
              <w:t>近的</w:t>
            </w:r>
            <w:r>
              <w:rPr>
                <w:rFonts w:hint="default" w:ascii="Times New Roman" w:hAnsi="Times New Roman" w:cs="Times New Roman"/>
                <w:color w:val="auto"/>
                <w:sz w:val="24"/>
              </w:rPr>
              <w:t>居民采取临时安置措施，因此对周边敏感点造成影响较小。</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4.3.4固体废物环境影响分析</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试气工程阶段产生的固体废物主要有废油、废包装材料等，还有井队员工产生的生活垃圾。</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①废油</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试气工程期间废油的主要来源是：机械（压裂车等）润滑废油；清洗、保养产生的废油，如更换柴油发电机、发电机零部件产生的废油。类比区域内已完钻的探井，本工程完井测试阶段共产生废油约0.03t。废油属于危险废物（HW08）。</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②废油桶</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拟建项目设备维护润滑油使用后会产生废油桶，根据建设单位提供的资料，润滑油采用铁桶包装，则废油桶重约0.06t。废油桶属于危险废物（HW08）。</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③废棉纱/手套</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kern w:val="0"/>
                <w:sz w:val="24"/>
              </w:rPr>
            </w:pPr>
            <w:r>
              <w:rPr>
                <w:rFonts w:hint="default" w:ascii="Times New Roman" w:hAnsi="Times New Roman" w:cs="Times New Roman"/>
                <w:bCs/>
                <w:color w:val="auto"/>
                <w:sz w:val="24"/>
              </w:rPr>
              <w:t>试气工程期间设备维护会产生废棉纱/手套，类比区域内已完钻的探井，本工程废棉纱/手套产生量约0.1t。废棉纱/手套属于危险废物（HW49）。</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eastAsia" w:cs="Times New Roman"/>
                <w:bCs/>
                <w:color w:val="auto"/>
                <w:sz w:val="24"/>
                <w:lang w:val="en-US" w:eastAsia="zh-CN"/>
              </w:rPr>
              <w:t>④</w:t>
            </w:r>
            <w:r>
              <w:rPr>
                <w:rFonts w:hint="default" w:ascii="Times New Roman" w:hAnsi="Times New Roman" w:cs="Times New Roman"/>
                <w:bCs/>
                <w:color w:val="auto"/>
                <w:sz w:val="24"/>
                <w:lang w:val="en-US" w:eastAsia="zh-CN"/>
              </w:rPr>
              <w:t>压裂返排液絮凝沉淀污泥</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本项目压裂返排液</w:t>
            </w:r>
            <w:r>
              <w:rPr>
                <w:rFonts w:hint="default" w:ascii="Times New Roman" w:hAnsi="Times New Roman" w:cs="Times New Roman"/>
                <w:bCs/>
                <w:color w:val="auto"/>
                <w:sz w:val="24"/>
                <w:lang w:val="en-US" w:eastAsia="zh-CN"/>
              </w:rPr>
              <w:t>暂存过程</w:t>
            </w:r>
            <w:r>
              <w:rPr>
                <w:rFonts w:hint="default" w:ascii="Times New Roman" w:hAnsi="Times New Roman" w:cs="Times New Roman"/>
                <w:bCs/>
                <w:color w:val="auto"/>
                <w:sz w:val="24"/>
              </w:rPr>
              <w:t>经絮凝沉淀后</w:t>
            </w:r>
            <w:r>
              <w:rPr>
                <w:rFonts w:hint="default" w:ascii="Times New Roman" w:hAnsi="Times New Roman" w:cs="Times New Roman"/>
                <w:bCs/>
                <w:color w:val="auto"/>
                <w:sz w:val="24"/>
                <w:lang w:val="en-US" w:eastAsia="zh-CN"/>
              </w:rPr>
              <w:t>产生压裂返排液絮凝沉淀污泥</w:t>
            </w:r>
            <w:r>
              <w:rPr>
                <w:rFonts w:hint="default" w:ascii="Times New Roman" w:hAnsi="Times New Roman" w:cs="Times New Roman"/>
                <w:bCs/>
                <w:color w:val="auto"/>
                <w:sz w:val="24"/>
              </w:rPr>
              <w:t>，</w:t>
            </w:r>
            <w:r>
              <w:rPr>
                <w:rFonts w:hint="default" w:ascii="Times New Roman" w:hAnsi="Times New Roman" w:cs="Times New Roman"/>
                <w:bCs/>
                <w:color w:val="auto"/>
                <w:sz w:val="24"/>
                <w:lang w:val="en-US" w:eastAsia="zh-CN"/>
              </w:rPr>
              <w:t>根据区域压裂返排液污泥处置情况，1000m</w:t>
            </w:r>
            <w:r>
              <w:rPr>
                <w:rFonts w:hint="default" w:ascii="Times New Roman" w:hAnsi="Times New Roman" w:cs="Times New Roman"/>
                <w:bCs/>
                <w:color w:val="auto"/>
                <w:sz w:val="24"/>
                <w:vertAlign w:val="superscript"/>
                <w:lang w:val="en-US" w:eastAsia="zh-CN"/>
              </w:rPr>
              <w:t>3</w:t>
            </w:r>
            <w:r>
              <w:rPr>
                <w:rFonts w:hint="default" w:ascii="Times New Roman" w:hAnsi="Times New Roman" w:cs="Times New Roman"/>
                <w:bCs/>
                <w:color w:val="auto"/>
                <w:sz w:val="24"/>
                <w:lang w:val="en-US" w:eastAsia="zh-CN"/>
              </w:rPr>
              <w:t>压裂返排液将产生1m</w:t>
            </w:r>
            <w:r>
              <w:rPr>
                <w:rFonts w:hint="default" w:ascii="Times New Roman" w:hAnsi="Times New Roman" w:cs="Times New Roman"/>
                <w:bCs/>
                <w:color w:val="auto"/>
                <w:sz w:val="24"/>
                <w:vertAlign w:val="superscript"/>
                <w:lang w:val="en-US" w:eastAsia="zh-CN"/>
              </w:rPr>
              <w:t>3</w:t>
            </w:r>
            <w:r>
              <w:rPr>
                <w:rFonts w:hint="default" w:ascii="Times New Roman" w:hAnsi="Times New Roman" w:cs="Times New Roman"/>
                <w:bCs/>
                <w:color w:val="auto"/>
                <w:sz w:val="24"/>
                <w:lang w:val="en-US" w:eastAsia="zh-CN"/>
              </w:rPr>
              <w:t>压裂返排液污泥，本项目压裂返排液产生量为</w:t>
            </w:r>
            <w:r>
              <w:rPr>
                <w:rFonts w:hint="eastAsia" w:cs="Times New Roman"/>
                <w:bCs/>
                <w:color w:val="auto"/>
                <w:sz w:val="24"/>
                <w:lang w:val="en-US" w:eastAsia="zh-CN"/>
              </w:rPr>
              <w:t>5775</w:t>
            </w:r>
            <w:r>
              <w:rPr>
                <w:rFonts w:hint="default" w:ascii="Times New Roman" w:hAnsi="Times New Roman" w:cs="Times New Roman"/>
                <w:bCs/>
                <w:color w:val="auto"/>
                <w:sz w:val="24"/>
                <w:lang w:val="en-US" w:eastAsia="zh-CN"/>
              </w:rPr>
              <w:t>m</w:t>
            </w:r>
            <w:r>
              <w:rPr>
                <w:rFonts w:hint="default" w:ascii="Times New Roman" w:hAnsi="Times New Roman" w:cs="Times New Roman"/>
                <w:bCs/>
                <w:color w:val="auto"/>
                <w:sz w:val="24"/>
                <w:vertAlign w:val="superscript"/>
                <w:lang w:val="en-US" w:eastAsia="zh-CN"/>
              </w:rPr>
              <w:t>3</w:t>
            </w:r>
            <w:r>
              <w:rPr>
                <w:rFonts w:hint="default" w:ascii="Times New Roman" w:hAnsi="Times New Roman" w:cs="Times New Roman"/>
                <w:bCs/>
                <w:color w:val="auto"/>
                <w:sz w:val="24"/>
                <w:lang w:val="en-US" w:eastAsia="zh-CN"/>
              </w:rPr>
              <w:t>，因此压裂返排液污泥产生量约为</w:t>
            </w:r>
            <w:r>
              <w:rPr>
                <w:rFonts w:hint="eastAsia" w:cs="Times New Roman"/>
                <w:bCs/>
                <w:color w:val="auto"/>
                <w:sz w:val="24"/>
                <w:lang w:val="en-US" w:eastAsia="zh-CN"/>
              </w:rPr>
              <w:t>5.78</w:t>
            </w:r>
            <w:r>
              <w:rPr>
                <w:rFonts w:hint="default" w:ascii="Times New Roman" w:hAnsi="Times New Roman" w:cs="Times New Roman"/>
                <w:bCs/>
                <w:color w:val="auto"/>
                <w:sz w:val="24"/>
                <w:lang w:val="en-US" w:eastAsia="zh-CN"/>
              </w:rPr>
              <w:t>m</w:t>
            </w:r>
            <w:r>
              <w:rPr>
                <w:rFonts w:hint="default" w:ascii="Times New Roman" w:hAnsi="Times New Roman" w:cs="Times New Roman"/>
                <w:bCs/>
                <w:color w:val="auto"/>
                <w:sz w:val="24"/>
                <w:vertAlign w:val="superscript"/>
                <w:lang w:val="en-US" w:eastAsia="zh-CN"/>
              </w:rPr>
              <w:t>3</w:t>
            </w:r>
            <w:r>
              <w:rPr>
                <w:rFonts w:hint="default" w:ascii="Times New Roman" w:hAnsi="Times New Roman" w:cs="Times New Roman"/>
                <w:bCs/>
                <w:color w:val="auto"/>
                <w:sz w:val="24"/>
                <w:lang w:val="en-US" w:eastAsia="zh-CN"/>
              </w:rPr>
              <w:t>，根据其处置情况属于危险废物，因此评价要求收集后交由有资质单位处置</w:t>
            </w:r>
            <w:r>
              <w:rPr>
                <w:rFonts w:hint="eastAsia" w:cs="Times New Roman"/>
                <w:bCs/>
                <w:color w:val="auto"/>
                <w:sz w:val="24"/>
                <w:lang w:val="en-US" w:eastAsia="zh-CN"/>
              </w:rPr>
              <w:t>。</w:t>
            </w:r>
            <w:r>
              <w:rPr>
                <w:rFonts w:hint="default" w:ascii="Times New Roman" w:hAnsi="Times New Roman" w:cs="Times New Roman"/>
                <w:bCs/>
                <w:color w:val="auto"/>
                <w:sz w:val="24"/>
              </w:rPr>
              <w:t>危险废物汇总表见下表。</w:t>
            </w:r>
          </w:p>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b/>
                <w:bCs/>
                <w:color w:val="auto"/>
                <w:sz w:val="24"/>
              </w:rPr>
            </w:pPr>
            <w:r>
              <w:rPr>
                <w:rFonts w:hint="default" w:ascii="Times New Roman" w:hAnsi="Times New Roman" w:cs="Times New Roman"/>
                <w:b/>
                <w:bCs/>
                <w:color w:val="auto"/>
                <w:sz w:val="24"/>
              </w:rPr>
              <w:t>表4-17  危险废物统计表</w:t>
            </w:r>
          </w:p>
          <w:tbl>
            <w:tblPr>
              <w:tblStyle w:val="44"/>
              <w:tblW w:w="500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15" w:type="dxa"/>
                <w:left w:w="15" w:type="dxa"/>
                <w:bottom w:w="15" w:type="dxa"/>
                <w:right w:w="15" w:type="dxa"/>
              </w:tblCellMar>
            </w:tblPr>
            <w:tblGrid>
              <w:gridCol w:w="314"/>
              <w:gridCol w:w="992"/>
              <w:gridCol w:w="544"/>
              <w:gridCol w:w="645"/>
              <w:gridCol w:w="653"/>
              <w:gridCol w:w="645"/>
              <w:gridCol w:w="645"/>
              <w:gridCol w:w="406"/>
              <w:gridCol w:w="652"/>
              <w:gridCol w:w="518"/>
              <w:gridCol w:w="510"/>
              <w:gridCol w:w="551"/>
              <w:gridCol w:w="107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15" w:type="dxa"/>
                  <w:left w:w="15" w:type="dxa"/>
                  <w:bottom w:w="15" w:type="dxa"/>
                  <w:right w:w="15" w:type="dxa"/>
                </w:tblCellMar>
              </w:tblPrEx>
              <w:trPr>
                <w:trHeight w:val="369" w:hRule="atLeast"/>
                <w:tblHeader/>
                <w:jc w:val="center"/>
              </w:trPr>
              <w:tc>
                <w:tcPr>
                  <w:tcW w:w="192"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序号</w:t>
                  </w:r>
                </w:p>
              </w:tc>
              <w:tc>
                <w:tcPr>
                  <w:tcW w:w="608"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废物名称</w:t>
                  </w:r>
                </w:p>
              </w:tc>
              <w:tc>
                <w:tcPr>
                  <w:tcW w:w="333"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废物类别</w:t>
                  </w:r>
                </w:p>
              </w:tc>
              <w:tc>
                <w:tcPr>
                  <w:tcW w:w="395"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废物代码</w:t>
                  </w:r>
                </w:p>
              </w:tc>
              <w:tc>
                <w:tcPr>
                  <w:tcW w:w="400"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性质判断</w:t>
                  </w:r>
                </w:p>
              </w:tc>
              <w:tc>
                <w:tcPr>
                  <w:tcW w:w="395"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产生量</w:t>
                  </w:r>
                </w:p>
              </w:tc>
              <w:tc>
                <w:tcPr>
                  <w:tcW w:w="395"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产生工序及装置</w:t>
                  </w:r>
                </w:p>
              </w:tc>
              <w:tc>
                <w:tcPr>
                  <w:tcW w:w="249"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形态</w:t>
                  </w:r>
                </w:p>
              </w:tc>
              <w:tc>
                <w:tcPr>
                  <w:tcW w:w="400"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主要成分</w:t>
                  </w:r>
                </w:p>
              </w:tc>
              <w:tc>
                <w:tcPr>
                  <w:tcW w:w="317"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有害成分</w:t>
                  </w:r>
                </w:p>
              </w:tc>
              <w:tc>
                <w:tcPr>
                  <w:tcW w:w="312"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产废周期</w:t>
                  </w:r>
                </w:p>
              </w:tc>
              <w:tc>
                <w:tcPr>
                  <w:tcW w:w="338"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危险特性</w:t>
                  </w:r>
                </w:p>
              </w:tc>
              <w:tc>
                <w:tcPr>
                  <w:tcW w:w="657" w:type="pct"/>
                  <w:tcBorders>
                    <w:tl2br w:val="nil"/>
                    <w:tr2bl w:val="nil"/>
                  </w:tcBorders>
                  <w:shd w:val="clear" w:color="auto" w:fill="FFFFFF" w:themeFill="background1"/>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污染防治措施</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15" w:type="dxa"/>
                  <w:left w:w="15" w:type="dxa"/>
                  <w:bottom w:w="15" w:type="dxa"/>
                  <w:right w:w="15" w:type="dxa"/>
                </w:tblCellMar>
              </w:tblPrEx>
              <w:trPr>
                <w:trHeight w:val="369" w:hRule="atLeast"/>
                <w:jc w:val="center"/>
              </w:trPr>
              <w:tc>
                <w:tcPr>
                  <w:tcW w:w="192" w:type="pct"/>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1</w:t>
                  </w:r>
                </w:p>
              </w:tc>
              <w:tc>
                <w:tcPr>
                  <w:tcW w:w="608"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废润滑油</w:t>
                  </w:r>
                </w:p>
              </w:tc>
              <w:tc>
                <w:tcPr>
                  <w:tcW w:w="333"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HW08</w:t>
                  </w:r>
                </w:p>
              </w:tc>
              <w:tc>
                <w:tcPr>
                  <w:tcW w:w="395"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900-217-08</w:t>
                  </w:r>
                </w:p>
              </w:tc>
              <w:tc>
                <w:tcPr>
                  <w:tcW w:w="400" w:type="pct"/>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危险废物</w:t>
                  </w:r>
                </w:p>
              </w:tc>
              <w:tc>
                <w:tcPr>
                  <w:tcW w:w="395"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0.03</w:t>
                  </w:r>
                </w:p>
              </w:tc>
              <w:tc>
                <w:tcPr>
                  <w:tcW w:w="395"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设备维护</w:t>
                  </w:r>
                </w:p>
              </w:tc>
              <w:tc>
                <w:tcPr>
                  <w:tcW w:w="249"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液态</w:t>
                  </w:r>
                </w:p>
              </w:tc>
              <w:tc>
                <w:tcPr>
                  <w:tcW w:w="400"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矿物油</w:t>
                  </w:r>
                </w:p>
              </w:tc>
              <w:tc>
                <w:tcPr>
                  <w:tcW w:w="317"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矿物油</w:t>
                  </w:r>
                </w:p>
              </w:tc>
              <w:tc>
                <w:tcPr>
                  <w:tcW w:w="312" w:type="pct"/>
                  <w:vMerge w:val="restar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试气工程施工期间</w:t>
                  </w:r>
                </w:p>
              </w:tc>
              <w:tc>
                <w:tcPr>
                  <w:tcW w:w="338" w:type="pct"/>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T</w:t>
                  </w:r>
                </w:p>
              </w:tc>
              <w:tc>
                <w:tcPr>
                  <w:tcW w:w="657" w:type="pct"/>
                  <w:vMerge w:val="restart"/>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收集后暂存于危险废物贮存点，</w:t>
                  </w:r>
                  <w:r>
                    <w:rPr>
                      <w:rFonts w:hint="default" w:ascii="Times New Roman" w:hAnsi="Times New Roman" w:cs="Times New Roman"/>
                      <w:bCs/>
                      <w:color w:val="auto"/>
                      <w:szCs w:val="21"/>
                      <w:lang w:val="en-US" w:eastAsia="zh-CN"/>
                    </w:rPr>
                    <w:t>就近</w:t>
                  </w:r>
                  <w:r>
                    <w:rPr>
                      <w:rFonts w:hint="default" w:ascii="Times New Roman" w:hAnsi="Times New Roman" w:cs="Times New Roman"/>
                      <w:bCs/>
                      <w:color w:val="auto"/>
                      <w:szCs w:val="21"/>
                    </w:rPr>
                    <w:t>委托有资质单位</w:t>
                  </w:r>
                  <w:r>
                    <w:rPr>
                      <w:rFonts w:hint="eastAsia" w:cs="Times New Roman"/>
                      <w:bCs/>
                      <w:color w:val="auto"/>
                      <w:szCs w:val="21"/>
                      <w:lang w:eastAsia="zh-CN"/>
                    </w:rPr>
                    <w:t>处理</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15" w:type="dxa"/>
                  <w:left w:w="15" w:type="dxa"/>
                  <w:bottom w:w="15" w:type="dxa"/>
                  <w:right w:w="15" w:type="dxa"/>
                </w:tblCellMar>
              </w:tblPrEx>
              <w:trPr>
                <w:trHeight w:val="369" w:hRule="atLeast"/>
                <w:jc w:val="center"/>
              </w:trPr>
              <w:tc>
                <w:tcPr>
                  <w:tcW w:w="192" w:type="pct"/>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2</w:t>
                  </w:r>
                </w:p>
              </w:tc>
              <w:tc>
                <w:tcPr>
                  <w:tcW w:w="608"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废油桶</w:t>
                  </w:r>
                </w:p>
              </w:tc>
              <w:tc>
                <w:tcPr>
                  <w:tcW w:w="333"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HW08</w:t>
                  </w:r>
                </w:p>
              </w:tc>
              <w:tc>
                <w:tcPr>
                  <w:tcW w:w="395"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900-249-08</w:t>
                  </w:r>
                </w:p>
              </w:tc>
              <w:tc>
                <w:tcPr>
                  <w:tcW w:w="400" w:type="pct"/>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危险废物</w:t>
                  </w:r>
                </w:p>
              </w:tc>
              <w:tc>
                <w:tcPr>
                  <w:tcW w:w="395"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0.06</w:t>
                  </w:r>
                </w:p>
              </w:tc>
              <w:tc>
                <w:tcPr>
                  <w:tcW w:w="395"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设备维护</w:t>
                  </w:r>
                </w:p>
              </w:tc>
              <w:tc>
                <w:tcPr>
                  <w:tcW w:w="249"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固态</w:t>
                  </w:r>
                </w:p>
              </w:tc>
              <w:tc>
                <w:tcPr>
                  <w:tcW w:w="400"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铁、矿物油</w:t>
                  </w:r>
                </w:p>
              </w:tc>
              <w:tc>
                <w:tcPr>
                  <w:tcW w:w="317"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矿物油</w:t>
                  </w:r>
                </w:p>
              </w:tc>
              <w:tc>
                <w:tcPr>
                  <w:tcW w:w="312" w:type="pct"/>
                  <w:vMerge w:val="continue"/>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p>
              </w:tc>
              <w:tc>
                <w:tcPr>
                  <w:tcW w:w="338" w:type="pct"/>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T</w:t>
                  </w:r>
                </w:p>
              </w:tc>
              <w:tc>
                <w:tcPr>
                  <w:tcW w:w="657" w:type="pct"/>
                  <w:vMerge w:val="continue"/>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15" w:type="dxa"/>
                  <w:left w:w="15" w:type="dxa"/>
                  <w:bottom w:w="15" w:type="dxa"/>
                  <w:right w:w="15" w:type="dxa"/>
                </w:tblCellMar>
              </w:tblPrEx>
              <w:trPr>
                <w:trHeight w:val="369" w:hRule="atLeast"/>
                <w:jc w:val="center"/>
              </w:trPr>
              <w:tc>
                <w:tcPr>
                  <w:tcW w:w="192" w:type="pct"/>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3</w:t>
                  </w:r>
                </w:p>
              </w:tc>
              <w:tc>
                <w:tcPr>
                  <w:tcW w:w="608"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rPr>
                    <w:t>废棉纱/手套</w:t>
                  </w:r>
                </w:p>
              </w:tc>
              <w:tc>
                <w:tcPr>
                  <w:tcW w:w="333"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HW49</w:t>
                  </w:r>
                </w:p>
              </w:tc>
              <w:tc>
                <w:tcPr>
                  <w:tcW w:w="395"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szCs w:val="21"/>
                    </w:rPr>
                    <w:t>900-041-49</w:t>
                  </w:r>
                </w:p>
              </w:tc>
              <w:tc>
                <w:tcPr>
                  <w:tcW w:w="400" w:type="pct"/>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危险废物</w:t>
                  </w:r>
                </w:p>
              </w:tc>
              <w:tc>
                <w:tcPr>
                  <w:tcW w:w="395"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0.1</w:t>
                  </w:r>
                </w:p>
              </w:tc>
              <w:tc>
                <w:tcPr>
                  <w:tcW w:w="395"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设备维护</w:t>
                  </w:r>
                </w:p>
              </w:tc>
              <w:tc>
                <w:tcPr>
                  <w:tcW w:w="249"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固态</w:t>
                  </w:r>
                </w:p>
              </w:tc>
              <w:tc>
                <w:tcPr>
                  <w:tcW w:w="400"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棉纱、矿物油</w:t>
                  </w:r>
                </w:p>
              </w:tc>
              <w:tc>
                <w:tcPr>
                  <w:tcW w:w="317"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color w:val="auto"/>
                      <w:kern w:val="0"/>
                      <w:szCs w:val="21"/>
                    </w:rPr>
                    <w:t>矿物油</w:t>
                  </w:r>
                </w:p>
              </w:tc>
              <w:tc>
                <w:tcPr>
                  <w:tcW w:w="312" w:type="pct"/>
                  <w:vMerge w:val="continue"/>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bCs/>
                      <w:color w:val="auto"/>
                      <w:szCs w:val="21"/>
                    </w:rPr>
                  </w:pPr>
                </w:p>
              </w:tc>
              <w:tc>
                <w:tcPr>
                  <w:tcW w:w="338" w:type="pct"/>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zCs w:val="21"/>
                    </w:rPr>
                    <w:t>T/I</w:t>
                  </w:r>
                </w:p>
              </w:tc>
              <w:tc>
                <w:tcPr>
                  <w:tcW w:w="657" w:type="pct"/>
                  <w:vMerge w:val="continue"/>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15" w:type="dxa"/>
                  <w:left w:w="15" w:type="dxa"/>
                  <w:bottom w:w="15" w:type="dxa"/>
                  <w:right w:w="15" w:type="dxa"/>
                </w:tblCellMar>
              </w:tblPrEx>
              <w:trPr>
                <w:trHeight w:val="369" w:hRule="atLeast"/>
                <w:jc w:val="center"/>
              </w:trPr>
              <w:tc>
                <w:tcPr>
                  <w:tcW w:w="192" w:type="pct"/>
                  <w:tcBorders>
                    <w:tl2br w:val="nil"/>
                    <w:tr2bl w:val="nil"/>
                  </w:tcBorders>
                  <w:vAlign w:val="center"/>
                </w:tcPr>
                <w:p>
                  <w:pPr>
                    <w:pStyle w:val="401"/>
                    <w:keepNext w:val="0"/>
                    <w:keepLines w:val="0"/>
                    <w:suppressLineNumbers w:val="0"/>
                    <w:spacing w:before="0" w:beforeAutospacing="0" w:after="0" w:afterAutospacing="0"/>
                    <w:ind w:left="0" w:leftChars="0" w:right="0" w:rightChars="0"/>
                    <w:jc w:val="center"/>
                    <w:rPr>
                      <w:rFonts w:hint="default" w:ascii="Times New Roman" w:hAnsi="Times New Roman" w:cs="Times New Roman"/>
                      <w:bCs/>
                      <w:color w:val="auto"/>
                      <w:szCs w:val="21"/>
                    </w:rPr>
                  </w:pPr>
                  <w:r>
                    <w:rPr>
                      <w:rFonts w:hint="eastAsia" w:cs="Times New Roman"/>
                      <w:bCs/>
                      <w:color w:val="auto"/>
                      <w:szCs w:val="21"/>
                      <w:lang w:val="en-US" w:eastAsia="zh-CN"/>
                    </w:rPr>
                    <w:t>4</w:t>
                  </w:r>
                </w:p>
              </w:tc>
              <w:tc>
                <w:tcPr>
                  <w:tcW w:w="608"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leftChars="0" w:right="0" w:rightChars="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val="en-US" w:eastAsia="zh-CN"/>
                    </w:rPr>
                    <w:t>压裂返排液絮凝沉淀污泥</w:t>
                  </w:r>
                </w:p>
              </w:tc>
              <w:tc>
                <w:tcPr>
                  <w:tcW w:w="333"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leftChars="0" w:right="0" w:rightChars="0"/>
                    <w:jc w:val="center"/>
                    <w:rPr>
                      <w:rFonts w:hint="default" w:ascii="Times New Roman" w:hAnsi="Times New Roman" w:cs="Times New Roman"/>
                      <w:color w:val="auto"/>
                      <w:szCs w:val="21"/>
                    </w:rPr>
                  </w:pPr>
                  <w:r>
                    <w:rPr>
                      <w:rFonts w:hint="eastAsia" w:cs="Times New Roman"/>
                      <w:color w:val="auto"/>
                      <w:szCs w:val="21"/>
                      <w:lang w:val="en-US" w:eastAsia="zh-CN"/>
                    </w:rPr>
                    <w:t>HW49</w:t>
                  </w:r>
                </w:p>
              </w:tc>
              <w:tc>
                <w:tcPr>
                  <w:tcW w:w="395"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leftChars="0" w:right="0" w:rightChars="0"/>
                    <w:jc w:val="center"/>
                    <w:rPr>
                      <w:rFonts w:hint="default" w:ascii="Times New Roman" w:hAnsi="Times New Roman" w:cs="Times New Roman"/>
                      <w:color w:val="auto"/>
                      <w:szCs w:val="21"/>
                    </w:rPr>
                  </w:pPr>
                  <w:r>
                    <w:rPr>
                      <w:rFonts w:hint="eastAsia" w:cs="Times New Roman"/>
                      <w:color w:val="auto"/>
                      <w:szCs w:val="21"/>
                      <w:lang w:val="en-US" w:eastAsia="zh-CN"/>
                    </w:rPr>
                    <w:t>772-006-49</w:t>
                  </w:r>
                </w:p>
              </w:tc>
              <w:tc>
                <w:tcPr>
                  <w:tcW w:w="400" w:type="pct"/>
                  <w:tcBorders>
                    <w:tl2br w:val="nil"/>
                    <w:tr2bl w:val="nil"/>
                  </w:tcBorders>
                  <w:vAlign w:val="center"/>
                </w:tcPr>
                <w:p>
                  <w:pPr>
                    <w:pStyle w:val="401"/>
                    <w:keepNext w:val="0"/>
                    <w:keepLines w:val="0"/>
                    <w:suppressLineNumbers w:val="0"/>
                    <w:spacing w:before="0" w:beforeAutospacing="0" w:after="0" w:afterAutospacing="0"/>
                    <w:ind w:left="0" w:leftChars="0" w:right="0" w:rightChars="0"/>
                    <w:jc w:val="center"/>
                    <w:rPr>
                      <w:rFonts w:hint="default" w:ascii="Times New Roman" w:hAnsi="Times New Roman" w:cs="Times New Roman"/>
                      <w:bCs/>
                      <w:color w:val="auto"/>
                      <w:szCs w:val="21"/>
                    </w:rPr>
                  </w:pPr>
                  <w:r>
                    <w:rPr>
                      <w:rFonts w:hint="eastAsia" w:cs="Times New Roman"/>
                      <w:bCs/>
                      <w:color w:val="auto"/>
                      <w:szCs w:val="21"/>
                      <w:lang w:val="en-US" w:eastAsia="zh-CN"/>
                    </w:rPr>
                    <w:t>危险废物</w:t>
                  </w:r>
                </w:p>
              </w:tc>
              <w:tc>
                <w:tcPr>
                  <w:tcW w:w="395"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leftChars="0" w:right="0" w:rightChars="0"/>
                    <w:jc w:val="center"/>
                    <w:rPr>
                      <w:rFonts w:hint="default" w:ascii="Times New Roman" w:hAnsi="Times New Roman" w:cs="Times New Roman"/>
                      <w:color w:val="auto"/>
                      <w:kern w:val="0"/>
                      <w:szCs w:val="21"/>
                    </w:rPr>
                  </w:pPr>
                  <w:r>
                    <w:rPr>
                      <w:rFonts w:hint="eastAsia" w:cs="Times New Roman"/>
                      <w:color w:val="auto"/>
                      <w:kern w:val="0"/>
                      <w:szCs w:val="21"/>
                      <w:lang w:val="en-US" w:eastAsia="zh-CN"/>
                    </w:rPr>
                    <w:t>5.78m</w:t>
                  </w:r>
                  <w:r>
                    <w:rPr>
                      <w:rFonts w:hint="eastAsia" w:cs="Times New Roman"/>
                      <w:color w:val="auto"/>
                      <w:kern w:val="0"/>
                      <w:szCs w:val="21"/>
                      <w:vertAlign w:val="superscript"/>
                      <w:lang w:val="en-US" w:eastAsia="zh-CN"/>
                    </w:rPr>
                    <w:t>3</w:t>
                  </w:r>
                </w:p>
              </w:tc>
              <w:tc>
                <w:tcPr>
                  <w:tcW w:w="395"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leftChars="0" w:right="0" w:rightChars="0"/>
                    <w:jc w:val="center"/>
                    <w:rPr>
                      <w:rFonts w:hint="default" w:ascii="Times New Roman" w:hAnsi="Times New Roman" w:cs="Times New Roman"/>
                      <w:color w:val="auto"/>
                      <w:kern w:val="0"/>
                      <w:szCs w:val="21"/>
                    </w:rPr>
                  </w:pPr>
                  <w:r>
                    <w:rPr>
                      <w:rFonts w:hint="eastAsia" w:cs="Times New Roman"/>
                      <w:color w:val="auto"/>
                      <w:kern w:val="0"/>
                      <w:szCs w:val="21"/>
                      <w:lang w:val="en-US" w:eastAsia="zh-CN"/>
                    </w:rPr>
                    <w:t>压裂返排液处理</w:t>
                  </w:r>
                </w:p>
              </w:tc>
              <w:tc>
                <w:tcPr>
                  <w:tcW w:w="249"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leftChars="0" w:right="0" w:rightChars="0"/>
                    <w:jc w:val="center"/>
                    <w:rPr>
                      <w:rFonts w:hint="default" w:ascii="Times New Roman" w:hAnsi="Times New Roman" w:cs="Times New Roman"/>
                      <w:color w:val="auto"/>
                      <w:kern w:val="0"/>
                      <w:szCs w:val="21"/>
                    </w:rPr>
                  </w:pPr>
                  <w:r>
                    <w:rPr>
                      <w:rFonts w:hint="eastAsia" w:cs="Times New Roman"/>
                      <w:color w:val="auto"/>
                      <w:kern w:val="0"/>
                      <w:szCs w:val="21"/>
                      <w:lang w:val="en-US" w:eastAsia="zh-CN"/>
                    </w:rPr>
                    <w:t>半固态</w:t>
                  </w:r>
                </w:p>
              </w:tc>
              <w:tc>
                <w:tcPr>
                  <w:tcW w:w="400"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leftChars="0" w:right="0" w:rightChars="0"/>
                    <w:jc w:val="center"/>
                    <w:rPr>
                      <w:rFonts w:hint="default" w:ascii="Times New Roman" w:hAnsi="Times New Roman" w:cs="Times New Roman"/>
                      <w:color w:val="auto"/>
                      <w:kern w:val="0"/>
                      <w:szCs w:val="21"/>
                    </w:rPr>
                  </w:pPr>
                  <w:r>
                    <w:rPr>
                      <w:rFonts w:hint="eastAsia" w:cs="Times New Roman"/>
                      <w:color w:val="auto"/>
                      <w:kern w:val="0"/>
                      <w:szCs w:val="21"/>
                      <w:lang w:val="en-US" w:eastAsia="zh-CN"/>
                    </w:rPr>
                    <w:t>矿物油</w:t>
                  </w:r>
                </w:p>
              </w:tc>
              <w:tc>
                <w:tcPr>
                  <w:tcW w:w="317"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leftChars="0" w:right="0" w:rightChars="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Cs w:val="21"/>
                      <w:lang w:val="en-US" w:eastAsia="zh-CN"/>
                    </w:rPr>
                    <w:t>矿物油</w:t>
                  </w:r>
                </w:p>
              </w:tc>
              <w:tc>
                <w:tcPr>
                  <w:tcW w:w="312" w:type="pct"/>
                  <w:vMerge w:val="continue"/>
                  <w:tcBorders>
                    <w:tl2br w:val="nil"/>
                    <w:tr2bl w:val="nil"/>
                  </w:tcBorders>
                  <w:vAlign w:val="center"/>
                </w:tcPr>
                <w:p>
                  <w:pPr>
                    <w:keepNext w:val="0"/>
                    <w:keepLines w:val="0"/>
                    <w:suppressLineNumbers w:val="0"/>
                    <w:topLinePunct/>
                    <w:adjustRightInd w:val="0"/>
                    <w:snapToGrid w:val="0"/>
                    <w:spacing w:before="0" w:beforeAutospacing="0" w:after="0" w:afterAutospacing="0"/>
                    <w:ind w:left="0" w:leftChars="0" w:right="0" w:rightChars="0"/>
                    <w:jc w:val="center"/>
                    <w:rPr>
                      <w:rFonts w:hint="default" w:ascii="Times New Roman" w:hAnsi="Times New Roman" w:cs="Times New Roman"/>
                      <w:bCs/>
                      <w:color w:val="auto"/>
                      <w:szCs w:val="21"/>
                    </w:rPr>
                  </w:pPr>
                </w:p>
              </w:tc>
              <w:tc>
                <w:tcPr>
                  <w:tcW w:w="338" w:type="pct"/>
                  <w:tcBorders>
                    <w:tl2br w:val="nil"/>
                    <w:tr2bl w:val="nil"/>
                  </w:tcBorders>
                  <w:vAlign w:val="center"/>
                </w:tcPr>
                <w:p>
                  <w:pPr>
                    <w:pStyle w:val="401"/>
                    <w:keepNext w:val="0"/>
                    <w:keepLines w:val="0"/>
                    <w:suppressLineNumbers w:val="0"/>
                    <w:spacing w:before="0" w:beforeAutospacing="0" w:after="0" w:afterAutospacing="0"/>
                    <w:ind w:left="0" w:leftChars="0" w:right="0" w:rightChars="0"/>
                    <w:jc w:val="center"/>
                    <w:rPr>
                      <w:rFonts w:hint="default" w:ascii="Times New Roman" w:hAnsi="Times New Roman" w:cs="Times New Roman"/>
                      <w:bCs/>
                      <w:color w:val="auto"/>
                      <w:szCs w:val="21"/>
                    </w:rPr>
                  </w:pPr>
                  <w:r>
                    <w:rPr>
                      <w:rFonts w:hint="eastAsia" w:cs="Times New Roman"/>
                      <w:bCs/>
                      <w:color w:val="auto"/>
                      <w:szCs w:val="21"/>
                      <w:lang w:val="en-US" w:eastAsia="zh-CN"/>
                    </w:rPr>
                    <w:t>I</w:t>
                  </w:r>
                </w:p>
              </w:tc>
              <w:tc>
                <w:tcPr>
                  <w:tcW w:w="657" w:type="pct"/>
                  <w:vMerge w:val="continue"/>
                  <w:tcBorders>
                    <w:tl2br w:val="nil"/>
                    <w:tr2bl w:val="nil"/>
                  </w:tcBorders>
                  <w:vAlign w:val="center"/>
                </w:tcPr>
                <w:p>
                  <w:pPr>
                    <w:pStyle w:val="401"/>
                    <w:keepNext w:val="0"/>
                    <w:keepLines w:val="0"/>
                    <w:suppressLineNumbers w:val="0"/>
                    <w:spacing w:before="0" w:beforeAutospacing="0" w:after="0" w:afterAutospacing="0"/>
                    <w:ind w:left="0" w:right="0"/>
                    <w:jc w:val="center"/>
                    <w:rPr>
                      <w:rFonts w:hint="default" w:ascii="Times New Roman" w:hAnsi="Times New Roman" w:cs="Times New Roman"/>
                      <w:bCs/>
                      <w:color w:val="auto"/>
                      <w:szCs w:val="21"/>
                    </w:rPr>
                  </w:pPr>
                </w:p>
              </w:tc>
            </w:tr>
          </w:tbl>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eastAsia" w:cs="Times New Roman"/>
                <w:bCs/>
                <w:color w:val="auto"/>
                <w:sz w:val="24"/>
                <w:lang w:eastAsia="zh-CN"/>
              </w:rPr>
              <w:t>⑤</w:t>
            </w:r>
            <w:r>
              <w:rPr>
                <w:rFonts w:hint="default" w:ascii="Times New Roman" w:hAnsi="Times New Roman" w:cs="Times New Roman"/>
                <w:bCs/>
                <w:color w:val="auto"/>
                <w:sz w:val="24"/>
              </w:rPr>
              <w:t>废包装材料</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试气工程期间产生的废包装材料主要为各原辅材料的包装袋/箱，为一般废物，其产生量约0.3t，集中收集后定期运至就近的废品回收站进行处理。</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eastAsia" w:cs="Times New Roman"/>
                <w:bCs/>
                <w:color w:val="auto"/>
                <w:sz w:val="24"/>
                <w:lang w:eastAsia="zh-CN"/>
              </w:rPr>
              <w:t>⑥</w:t>
            </w:r>
            <w:r>
              <w:rPr>
                <w:rFonts w:hint="default" w:ascii="Times New Roman" w:hAnsi="Times New Roman" w:cs="Times New Roman"/>
                <w:bCs/>
                <w:color w:val="auto"/>
                <w:sz w:val="24"/>
              </w:rPr>
              <w:t>生活垃圾</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试气工程员工约45人，生活垃圾产生量按每人每天产生0.</w:t>
            </w:r>
            <w:r>
              <w:rPr>
                <w:rFonts w:hint="eastAsia" w:cs="Times New Roman"/>
                <w:bCs/>
                <w:color w:val="auto"/>
                <w:sz w:val="24"/>
                <w:lang w:val="en-US" w:eastAsia="zh-CN"/>
              </w:rPr>
              <w:t>2</w:t>
            </w:r>
            <w:r>
              <w:rPr>
                <w:rFonts w:hint="default" w:ascii="Times New Roman" w:hAnsi="Times New Roman" w:cs="Times New Roman"/>
                <w:bCs/>
                <w:color w:val="auto"/>
                <w:sz w:val="24"/>
              </w:rPr>
              <w:t>kg计算，试气工程时长约</w:t>
            </w:r>
            <w:r>
              <w:rPr>
                <w:rFonts w:hint="eastAsia" w:cs="Times New Roman"/>
                <w:bCs/>
                <w:color w:val="auto"/>
                <w:sz w:val="24"/>
                <w:lang w:val="en-US" w:eastAsia="zh-CN"/>
              </w:rPr>
              <w:t>98</w:t>
            </w:r>
            <w:r>
              <w:rPr>
                <w:rFonts w:hint="default" w:ascii="Times New Roman" w:hAnsi="Times New Roman" w:cs="Times New Roman"/>
                <w:bCs/>
                <w:color w:val="auto"/>
                <w:sz w:val="24"/>
              </w:rPr>
              <w:t>天，则生活垃圾产生量为0.</w:t>
            </w:r>
            <w:r>
              <w:rPr>
                <w:rFonts w:hint="eastAsia" w:cs="Times New Roman"/>
                <w:bCs/>
                <w:color w:val="auto"/>
                <w:sz w:val="24"/>
                <w:lang w:val="en-US" w:eastAsia="zh-CN"/>
              </w:rPr>
              <w:t>882</w:t>
            </w:r>
            <w:r>
              <w:rPr>
                <w:rFonts w:hint="default" w:ascii="Times New Roman" w:hAnsi="Times New Roman" w:cs="Times New Roman"/>
                <w:bCs/>
                <w:color w:val="auto"/>
                <w:sz w:val="24"/>
              </w:rPr>
              <w:t>t。</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本工程完井测试固废产生量见下表。</w:t>
            </w:r>
          </w:p>
          <w:p>
            <w:pPr>
              <w:keepNext w:val="0"/>
              <w:keepLines w:val="0"/>
              <w:suppressLineNumbers w:val="0"/>
              <w:adjustRightInd w:val="0"/>
              <w:snapToGrid w:val="0"/>
              <w:spacing w:before="0" w:beforeAutospacing="0" w:after="0" w:afterAutospacing="0" w:line="360" w:lineRule="auto"/>
              <w:ind w:left="0" w:right="0"/>
              <w:jc w:val="center"/>
              <w:rPr>
                <w:rFonts w:hint="default" w:ascii="Times New Roman" w:hAnsi="Times New Roman" w:cs="Times New Roman"/>
                <w:b/>
                <w:bCs/>
                <w:color w:val="auto"/>
                <w:sz w:val="24"/>
              </w:rPr>
            </w:pPr>
            <w:r>
              <w:rPr>
                <w:rFonts w:hint="default" w:ascii="Times New Roman" w:hAnsi="Times New Roman" w:cs="Times New Roman"/>
                <w:b/>
                <w:bCs/>
                <w:color w:val="auto"/>
                <w:sz w:val="24"/>
              </w:rPr>
              <w:t>表4-18  本工程完井阶段固体废物统计表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364"/>
              <w:gridCol w:w="963"/>
              <w:gridCol w:w="1378"/>
              <w:gridCol w:w="1649"/>
              <w:gridCol w:w="276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jc w:val="center"/>
              </w:trPr>
              <w:tc>
                <w:tcPr>
                  <w:tcW w:w="840"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固废类型</w:t>
                  </w:r>
                </w:p>
              </w:tc>
              <w:tc>
                <w:tcPr>
                  <w:tcW w:w="593"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产生量t</w:t>
                  </w:r>
                </w:p>
              </w:tc>
              <w:tc>
                <w:tcPr>
                  <w:tcW w:w="848"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固废性质</w:t>
                  </w:r>
                </w:p>
              </w:tc>
              <w:tc>
                <w:tcPr>
                  <w:tcW w:w="1015"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代码</w:t>
                  </w:r>
                </w:p>
              </w:tc>
              <w:tc>
                <w:tcPr>
                  <w:tcW w:w="1701"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处置方式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840"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废油</w:t>
                  </w:r>
                </w:p>
              </w:tc>
              <w:tc>
                <w:tcPr>
                  <w:tcW w:w="593"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0.03</w:t>
                  </w:r>
                </w:p>
              </w:tc>
              <w:tc>
                <w:tcPr>
                  <w:tcW w:w="848" w:type="pct"/>
                  <w:vMerge w:val="restart"/>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危险废物</w:t>
                  </w:r>
                </w:p>
              </w:tc>
              <w:tc>
                <w:tcPr>
                  <w:tcW w:w="1015"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color w:val="auto"/>
                      <w:spacing w:val="-10"/>
                      <w:szCs w:val="21"/>
                    </w:rPr>
                  </w:pPr>
                  <w:r>
                    <w:rPr>
                      <w:rFonts w:hint="default" w:ascii="Times New Roman" w:hAnsi="Times New Roman" w:cs="Times New Roman"/>
                      <w:color w:val="auto"/>
                      <w:spacing w:val="-10"/>
                      <w:szCs w:val="21"/>
                    </w:rPr>
                    <w:t>HW08</w:t>
                  </w:r>
                  <w:r>
                    <w:rPr>
                      <w:rFonts w:hint="eastAsia" w:cs="Times New Roman"/>
                      <w:color w:val="auto"/>
                      <w:spacing w:val="-10"/>
                      <w:szCs w:val="21"/>
                      <w:lang w:eastAsia="zh-CN"/>
                    </w:rPr>
                    <w:t>:</w:t>
                  </w:r>
                  <w:r>
                    <w:rPr>
                      <w:rFonts w:hint="default" w:ascii="Times New Roman" w:hAnsi="Times New Roman" w:cs="Times New Roman"/>
                      <w:color w:val="auto"/>
                      <w:spacing w:val="-10"/>
                      <w:szCs w:val="21"/>
                    </w:rPr>
                    <w:t>900-217-08</w:t>
                  </w:r>
                </w:p>
              </w:tc>
              <w:tc>
                <w:tcPr>
                  <w:tcW w:w="1701"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废油桶收集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840"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color w:val="auto"/>
                      <w:spacing w:val="-10"/>
                      <w:kern w:val="0"/>
                      <w:szCs w:val="21"/>
                    </w:rPr>
                  </w:pPr>
                  <w:r>
                    <w:rPr>
                      <w:rFonts w:hint="default" w:ascii="Times New Roman" w:hAnsi="Times New Roman" w:cs="Times New Roman"/>
                      <w:color w:val="auto"/>
                      <w:spacing w:val="-10"/>
                      <w:kern w:val="0"/>
                      <w:szCs w:val="21"/>
                    </w:rPr>
                    <w:t>废油桶</w:t>
                  </w:r>
                </w:p>
              </w:tc>
              <w:tc>
                <w:tcPr>
                  <w:tcW w:w="593"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color w:val="auto"/>
                      <w:spacing w:val="-10"/>
                      <w:kern w:val="0"/>
                      <w:szCs w:val="21"/>
                    </w:rPr>
                  </w:pPr>
                  <w:r>
                    <w:rPr>
                      <w:rFonts w:hint="default" w:ascii="Times New Roman" w:hAnsi="Times New Roman" w:cs="Times New Roman"/>
                      <w:color w:val="auto"/>
                      <w:spacing w:val="-10"/>
                      <w:kern w:val="0"/>
                      <w:szCs w:val="21"/>
                    </w:rPr>
                    <w:t>0.06</w:t>
                  </w:r>
                </w:p>
              </w:tc>
              <w:tc>
                <w:tcPr>
                  <w:tcW w:w="848" w:type="pct"/>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015"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color w:val="auto"/>
                      <w:spacing w:val="-10"/>
                      <w:szCs w:val="21"/>
                    </w:rPr>
                  </w:pPr>
                  <w:r>
                    <w:rPr>
                      <w:rFonts w:hint="default" w:ascii="Times New Roman" w:hAnsi="Times New Roman" w:cs="Times New Roman"/>
                      <w:color w:val="auto"/>
                      <w:spacing w:val="-10"/>
                      <w:szCs w:val="21"/>
                    </w:rPr>
                    <w:t>HW08</w:t>
                  </w:r>
                  <w:r>
                    <w:rPr>
                      <w:rFonts w:hint="eastAsia" w:cs="Times New Roman"/>
                      <w:color w:val="auto"/>
                      <w:spacing w:val="-10"/>
                      <w:szCs w:val="21"/>
                      <w:lang w:eastAsia="zh-CN"/>
                    </w:rPr>
                    <w:t>:</w:t>
                  </w:r>
                  <w:r>
                    <w:rPr>
                      <w:rFonts w:hint="default" w:ascii="Times New Roman" w:hAnsi="Times New Roman" w:cs="Times New Roman"/>
                      <w:color w:val="auto"/>
                      <w:spacing w:val="-10"/>
                      <w:szCs w:val="21"/>
                    </w:rPr>
                    <w:t>900-249-08</w:t>
                  </w:r>
                </w:p>
              </w:tc>
              <w:tc>
                <w:tcPr>
                  <w:tcW w:w="1701" w:type="pct"/>
                  <w:vMerge w:val="restar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废油桶收集暂存于危险废物贮存点，拟及时</w:t>
                  </w:r>
                  <w:r>
                    <w:rPr>
                      <w:rFonts w:hint="default" w:ascii="Times New Roman" w:hAnsi="Times New Roman" w:cs="Times New Roman"/>
                      <w:color w:val="auto"/>
                      <w:sz w:val="21"/>
                      <w:szCs w:val="21"/>
                      <w:lang w:val="en-US" w:eastAsia="zh-CN"/>
                    </w:rPr>
                    <w:t>就近</w:t>
                  </w:r>
                  <w:r>
                    <w:rPr>
                      <w:rFonts w:hint="default" w:ascii="Times New Roman" w:hAnsi="Times New Roman" w:cs="Times New Roman"/>
                      <w:color w:val="auto"/>
                      <w:sz w:val="21"/>
                      <w:szCs w:val="21"/>
                    </w:rPr>
                    <w:t>交由有资质单位处置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840"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color w:val="auto"/>
                      <w:spacing w:val="-10"/>
                      <w:kern w:val="0"/>
                      <w:szCs w:val="21"/>
                    </w:rPr>
                  </w:pPr>
                  <w:r>
                    <w:rPr>
                      <w:rFonts w:hint="default" w:ascii="Times New Roman" w:hAnsi="Times New Roman" w:cs="Times New Roman"/>
                      <w:color w:val="auto"/>
                      <w:spacing w:val="-10"/>
                      <w:kern w:val="0"/>
                      <w:szCs w:val="21"/>
                    </w:rPr>
                    <w:t>废棉纱/手套</w:t>
                  </w:r>
                </w:p>
              </w:tc>
              <w:tc>
                <w:tcPr>
                  <w:tcW w:w="593"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color w:val="auto"/>
                      <w:spacing w:val="-10"/>
                      <w:kern w:val="0"/>
                      <w:szCs w:val="21"/>
                    </w:rPr>
                  </w:pPr>
                  <w:r>
                    <w:rPr>
                      <w:rFonts w:hint="default" w:ascii="Times New Roman" w:hAnsi="Times New Roman" w:cs="Times New Roman"/>
                      <w:color w:val="auto"/>
                      <w:spacing w:val="-10"/>
                      <w:kern w:val="0"/>
                      <w:szCs w:val="21"/>
                    </w:rPr>
                    <w:t>0.1</w:t>
                  </w:r>
                </w:p>
              </w:tc>
              <w:tc>
                <w:tcPr>
                  <w:tcW w:w="848" w:type="pct"/>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015" w:type="pct"/>
                  <w:tcBorders>
                    <w:tl2br w:val="nil"/>
                    <w:tr2bl w:val="nil"/>
                  </w:tcBorders>
                  <w:vAlign w:val="center"/>
                </w:tcPr>
                <w:p>
                  <w:pPr>
                    <w:keepNext w:val="0"/>
                    <w:keepLines w:val="0"/>
                    <w:suppressLineNumbers w:val="0"/>
                    <w:topLinePunct/>
                    <w:adjustRightInd w:val="0"/>
                    <w:snapToGrid w:val="0"/>
                    <w:spacing w:before="0" w:beforeAutospacing="0" w:after="0" w:afterAutospacing="0"/>
                    <w:ind w:left="0" w:right="0"/>
                    <w:jc w:val="center"/>
                    <w:rPr>
                      <w:rFonts w:hint="default" w:ascii="Times New Roman" w:hAnsi="Times New Roman" w:cs="Times New Roman"/>
                      <w:color w:val="auto"/>
                      <w:spacing w:val="-10"/>
                      <w:szCs w:val="21"/>
                    </w:rPr>
                  </w:pPr>
                  <w:r>
                    <w:rPr>
                      <w:rFonts w:hint="default" w:ascii="Times New Roman" w:hAnsi="Times New Roman" w:cs="Times New Roman"/>
                      <w:color w:val="auto"/>
                      <w:spacing w:val="-10"/>
                      <w:szCs w:val="21"/>
                    </w:rPr>
                    <w:t>HW49</w:t>
                  </w:r>
                  <w:r>
                    <w:rPr>
                      <w:rFonts w:hint="eastAsia" w:cs="Times New Roman"/>
                      <w:color w:val="auto"/>
                      <w:spacing w:val="-10"/>
                      <w:szCs w:val="21"/>
                      <w:lang w:eastAsia="zh-CN"/>
                    </w:rPr>
                    <w:t>:</w:t>
                  </w:r>
                  <w:r>
                    <w:rPr>
                      <w:rFonts w:hint="default" w:ascii="Times New Roman" w:hAnsi="Times New Roman" w:cs="Times New Roman"/>
                      <w:color w:val="auto"/>
                      <w:spacing w:val="-10"/>
                      <w:szCs w:val="21"/>
                    </w:rPr>
                    <w:t>900-041-49</w:t>
                  </w:r>
                </w:p>
              </w:tc>
              <w:tc>
                <w:tcPr>
                  <w:tcW w:w="1701" w:type="pct"/>
                  <w:vMerge w:val="continue"/>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840" w:type="pct"/>
                  <w:tcBorders>
                    <w:tl2br w:val="nil"/>
                    <w:tr2bl w:val="nil"/>
                  </w:tcBorders>
                  <w:vAlign w:val="center"/>
                </w:tcPr>
                <w:p>
                  <w:pPr>
                    <w:pStyle w:val="26"/>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color w:val="auto"/>
                      <w:spacing w:val="-10"/>
                      <w:kern w:val="0"/>
                      <w:szCs w:val="21"/>
                    </w:rPr>
                  </w:pPr>
                  <w:r>
                    <w:rPr>
                      <w:rFonts w:hint="default" w:ascii="Times New Roman" w:hAnsi="Times New Roman" w:cs="Times New Roman"/>
                      <w:color w:val="auto"/>
                      <w:sz w:val="21"/>
                      <w:szCs w:val="21"/>
                      <w:lang w:val="en-US" w:eastAsia="zh-CN"/>
                    </w:rPr>
                    <w:t>压裂返排液絮凝沉淀污泥</w:t>
                  </w:r>
                </w:p>
              </w:tc>
              <w:tc>
                <w:tcPr>
                  <w:tcW w:w="593" w:type="pct"/>
                  <w:tcBorders>
                    <w:tl2br w:val="nil"/>
                    <w:tr2bl w:val="nil"/>
                  </w:tcBorders>
                  <w:vAlign w:val="center"/>
                </w:tcPr>
                <w:p>
                  <w:pPr>
                    <w:pStyle w:val="26"/>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color w:val="auto"/>
                      <w:spacing w:val="-10"/>
                      <w:kern w:val="0"/>
                      <w:szCs w:val="21"/>
                      <w:lang w:val="en-US"/>
                    </w:rPr>
                  </w:pPr>
                  <w:r>
                    <w:rPr>
                      <w:rFonts w:hint="eastAsia" w:cs="Times New Roman"/>
                      <w:color w:val="auto"/>
                      <w:sz w:val="21"/>
                      <w:szCs w:val="21"/>
                      <w:lang w:val="en-US" w:eastAsia="zh-CN"/>
                    </w:rPr>
                    <w:t>5.78m</w:t>
                  </w:r>
                  <w:r>
                    <w:rPr>
                      <w:rFonts w:hint="eastAsia" w:cs="Times New Roman"/>
                      <w:color w:val="auto"/>
                      <w:sz w:val="21"/>
                      <w:szCs w:val="21"/>
                      <w:vertAlign w:val="superscript"/>
                      <w:lang w:val="en-US" w:eastAsia="zh-CN"/>
                    </w:rPr>
                    <w:t>3</w:t>
                  </w:r>
                </w:p>
              </w:tc>
              <w:tc>
                <w:tcPr>
                  <w:tcW w:w="848" w:type="pct"/>
                  <w:tcBorders>
                    <w:tl2br w:val="nil"/>
                    <w:tr2bl w:val="nil"/>
                  </w:tcBorders>
                  <w:vAlign w:val="center"/>
                </w:tcPr>
                <w:p>
                  <w:pPr>
                    <w:pStyle w:val="26"/>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color w:val="auto"/>
                      <w:szCs w:val="21"/>
                    </w:rPr>
                  </w:pPr>
                  <w:r>
                    <w:rPr>
                      <w:rFonts w:hint="eastAsia" w:cs="Times New Roman"/>
                      <w:color w:val="auto"/>
                      <w:sz w:val="21"/>
                      <w:szCs w:val="21"/>
                      <w:lang w:val="en-US" w:eastAsia="zh-CN"/>
                    </w:rPr>
                    <w:t>危险废物</w:t>
                  </w:r>
                </w:p>
              </w:tc>
              <w:tc>
                <w:tcPr>
                  <w:tcW w:w="1015" w:type="pct"/>
                  <w:tcBorders>
                    <w:tl2br w:val="nil"/>
                    <w:tr2bl w:val="nil"/>
                  </w:tcBorders>
                  <w:vAlign w:val="center"/>
                </w:tcPr>
                <w:p>
                  <w:pPr>
                    <w:pStyle w:val="26"/>
                    <w:keepNext w:val="0"/>
                    <w:keepLines w:val="0"/>
                    <w:suppressLineNumbers w:val="0"/>
                    <w:spacing w:before="0" w:beforeAutospacing="0" w:after="0" w:afterAutospacing="0" w:line="240" w:lineRule="auto"/>
                    <w:ind w:left="0" w:leftChars="0" w:right="0" w:rightChars="0"/>
                    <w:jc w:val="center"/>
                    <w:rPr>
                      <w:rFonts w:hint="default" w:ascii="Times New Roman" w:hAnsi="Times New Roman" w:cs="Times New Roman"/>
                      <w:color w:val="auto"/>
                      <w:spacing w:val="-10"/>
                      <w:szCs w:val="21"/>
                    </w:rPr>
                  </w:pPr>
                  <w:r>
                    <w:rPr>
                      <w:rFonts w:hint="eastAsia" w:cs="Times New Roman"/>
                      <w:color w:val="auto"/>
                      <w:sz w:val="21"/>
                      <w:szCs w:val="21"/>
                      <w:lang w:val="en-US" w:eastAsia="zh-CN"/>
                    </w:rPr>
                    <w:t>HW49:772-006-49</w:t>
                  </w:r>
                </w:p>
              </w:tc>
              <w:tc>
                <w:tcPr>
                  <w:tcW w:w="1701" w:type="pct"/>
                  <w:vMerge w:val="continue"/>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840"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废包装材料</w:t>
                  </w:r>
                </w:p>
              </w:tc>
              <w:tc>
                <w:tcPr>
                  <w:tcW w:w="593"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0.3</w:t>
                  </w:r>
                </w:p>
              </w:tc>
              <w:tc>
                <w:tcPr>
                  <w:tcW w:w="848"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一般固废</w:t>
                  </w:r>
                </w:p>
              </w:tc>
              <w:tc>
                <w:tcPr>
                  <w:tcW w:w="1015"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SW59:900-099-S59</w:t>
                  </w:r>
                </w:p>
              </w:tc>
              <w:tc>
                <w:tcPr>
                  <w:tcW w:w="1701"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收集后定期运至就近的废品回收站进行处理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840"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生活垃圾</w:t>
                  </w:r>
                </w:p>
              </w:tc>
              <w:tc>
                <w:tcPr>
                  <w:tcW w:w="593"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eastAsia="宋体" w:cs="Times New Roman"/>
                      <w:color w:val="auto"/>
                      <w:sz w:val="21"/>
                      <w:szCs w:val="21"/>
                      <w:lang w:val="en-US" w:eastAsia="zh-CN"/>
                    </w:rPr>
                  </w:pPr>
                  <w:r>
                    <w:rPr>
                      <w:rFonts w:hint="default" w:ascii="Times New Roman" w:hAnsi="Times New Roman" w:cs="Times New Roman"/>
                      <w:color w:val="auto"/>
                      <w:sz w:val="21"/>
                      <w:szCs w:val="21"/>
                    </w:rPr>
                    <w:t>0.</w:t>
                  </w:r>
                  <w:r>
                    <w:rPr>
                      <w:rFonts w:hint="eastAsia" w:cs="Times New Roman"/>
                      <w:color w:val="auto"/>
                      <w:sz w:val="21"/>
                      <w:szCs w:val="21"/>
                      <w:lang w:val="en-US" w:eastAsia="zh-CN"/>
                    </w:rPr>
                    <w:t>882</w:t>
                  </w:r>
                </w:p>
              </w:tc>
              <w:tc>
                <w:tcPr>
                  <w:tcW w:w="848"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生活垃圾</w:t>
                  </w:r>
                </w:p>
              </w:tc>
              <w:tc>
                <w:tcPr>
                  <w:tcW w:w="1015"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w:t>
                  </w:r>
                </w:p>
              </w:tc>
              <w:tc>
                <w:tcPr>
                  <w:tcW w:w="1701" w:type="pct"/>
                  <w:tcBorders>
                    <w:tl2br w:val="nil"/>
                    <w:tr2bl w:val="nil"/>
                  </w:tcBorders>
                  <w:vAlign w:val="center"/>
                </w:tcPr>
                <w:p>
                  <w:pPr>
                    <w:pStyle w:val="26"/>
                    <w:keepNext w:val="0"/>
                    <w:keepLines w:val="0"/>
                    <w:suppressLineNumbers w:val="0"/>
                    <w:spacing w:before="0" w:beforeAutospacing="0" w:after="0" w:afterAutospacing="0" w:line="240" w:lineRule="auto"/>
                    <w:ind w:left="0" w:right="0"/>
                    <w:jc w:val="center"/>
                    <w:rPr>
                      <w:rFonts w:hint="default" w:ascii="Times New Roman" w:hAnsi="Times New Roman" w:cs="Times New Roman"/>
                      <w:color w:val="auto"/>
                      <w:sz w:val="21"/>
                      <w:szCs w:val="21"/>
                    </w:rPr>
                  </w:pPr>
                  <w:r>
                    <w:rPr>
                      <w:rFonts w:hint="default" w:ascii="Times New Roman" w:hAnsi="Times New Roman" w:cs="Times New Roman"/>
                      <w:color w:val="auto"/>
                      <w:sz w:val="21"/>
                      <w:szCs w:val="21"/>
                    </w:rPr>
                    <w:t>垃圾桶集中收集后，交当地环卫部门处理</w:t>
                  </w:r>
                </w:p>
              </w:tc>
            </w:tr>
          </w:tbl>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根据上表，完井测试期间各类固废分类收集，得到有效处置，可合理处置各类固废，对周围环境不会造成污染影响。</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4.4地下水环境影响分析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根据地下水环境影响评价专题报告可知，事故工况下，废水泄漏在3650天内污染物COD、氯化物、石油类均无超标现场。项目所处的位置，地下水径流速度慢，含水层有效孔隙度小，污染物扩散速度较慢，污染影响范围小，且水文地质条件简单，一旦事故发生后可以有足够的时间来处理，并可达到良好的效果，对居民饮用水井的影响可接受。</w:t>
            </w:r>
          </w:p>
          <w:p>
            <w:pPr>
              <w:keepNext w:val="0"/>
              <w:keepLines w:val="0"/>
              <w:suppressLineNumbers w:val="0"/>
              <w:spacing w:before="0" w:beforeAutospacing="0" w:after="0" w:afterAutospacing="0" w:line="360" w:lineRule="auto"/>
              <w:ind w:left="0" w:right="0" w:firstLine="482" w:firstLineChars="200"/>
              <w:rPr>
                <w:rFonts w:hint="default" w:ascii="Times New Roman" w:hAnsi="Times New Roman" w:cs="Times New Roman"/>
                <w:color w:val="auto"/>
                <w:sz w:val="24"/>
              </w:rPr>
            </w:pPr>
            <w:r>
              <w:rPr>
                <w:rFonts w:hint="default" w:ascii="Times New Roman" w:hAnsi="Times New Roman" w:cs="Times New Roman"/>
                <w:b/>
                <w:bCs/>
                <w:color w:val="auto"/>
                <w:sz w:val="24"/>
              </w:rPr>
              <w:t>项目地下水环境影响分析详见《地下水环境影响评价专题报告》</w:t>
            </w:r>
            <w:r>
              <w:rPr>
                <w:rFonts w:hint="default" w:ascii="Times New Roman" w:hAnsi="Times New Roman" w:cs="Times New Roman"/>
                <w:color w:val="auto"/>
                <w:sz w:val="24"/>
              </w:rPr>
              <w:t>。</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4.5环境风险影响分析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工程属不含硫化氢天然气井钻井工程，项目建设存在一定环境风险，主要为废水泄漏外溢和井喷，但事故发生概率低。在严格按照各类作业操作规程进行施工作业，严格执行报告提出的风险防范措施并制定环境风险应急预案后，项目环境风险处于可接受水平。</w:t>
            </w:r>
          </w:p>
          <w:p>
            <w:pPr>
              <w:keepNext w:val="0"/>
              <w:keepLines w:val="0"/>
              <w:suppressLineNumbers w:val="0"/>
              <w:spacing w:before="0" w:beforeAutospacing="0" w:after="0" w:afterAutospacing="0" w:line="360" w:lineRule="auto"/>
              <w:ind w:left="0" w:right="0" w:firstLine="482" w:firstLineChars="200"/>
              <w:rPr>
                <w:rFonts w:hint="default" w:ascii="Times New Roman" w:hAnsi="Times New Roman" w:cs="Times New Roman"/>
                <w:b/>
                <w:bCs/>
                <w:color w:val="auto"/>
                <w:sz w:val="24"/>
              </w:rPr>
            </w:pPr>
            <w:r>
              <w:rPr>
                <w:rFonts w:hint="default" w:ascii="Times New Roman" w:hAnsi="Times New Roman" w:cs="Times New Roman"/>
                <w:b/>
                <w:bCs/>
                <w:color w:val="auto"/>
                <w:sz w:val="24"/>
              </w:rPr>
              <w:t>项目环境风险影响分析详见《环境风险影响评价专题报告》。</w:t>
            </w:r>
          </w:p>
          <w:p>
            <w:pPr>
              <w:keepNext w:val="0"/>
              <w:keepLines w:val="0"/>
              <w:suppressLineNumbers w:val="0"/>
              <w:spacing w:before="0" w:beforeAutospacing="0" w:after="0" w:afterAutospacing="0" w:line="360" w:lineRule="auto"/>
              <w:ind w:left="0" w:right="0"/>
              <w:rPr>
                <w:rFonts w:hint="default" w:ascii="Times New Roman" w:hAnsi="Times New Roman" w:cs="Times New Roman"/>
                <w:color w:val="auto"/>
                <w:sz w:val="24"/>
              </w:rPr>
            </w:pPr>
            <w:r>
              <w:rPr>
                <w:rFonts w:hint="default" w:ascii="Times New Roman" w:hAnsi="Times New Roman" w:cs="Times New Roman"/>
                <w:b/>
                <w:bCs/>
                <w:color w:val="auto"/>
                <w:sz w:val="24"/>
              </w:rPr>
              <w:t>4.6土壤环境影响分析</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4.6.1影响途径</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施工期对土壤的影响主要有两方面，一是工程排放的污染物对土壤质地性状的影响，对土壤的污染主要是落地油污、钻井泥浆等泄漏后可能导致土壤污染；二是工程建设钻井和地面工程建设的开挖、填埋对土壤结构的破坏，挖掘、碾压、践踏及堆积物等均会使土壤结构破坏，土壤生产力下降。土壤环境影响类型与影响途径表见下表。</w:t>
            </w:r>
          </w:p>
          <w:p>
            <w:pPr>
              <w:pStyle w:val="19"/>
              <w:keepNext w:val="0"/>
              <w:keepLines w:val="0"/>
              <w:widowControl w:val="0"/>
              <w:suppressLineNumbers w:val="0"/>
              <w:tabs>
                <w:tab w:val="left" w:pos="0"/>
                <w:tab w:val="left" w:pos="833"/>
              </w:tabs>
              <w:spacing w:before="0" w:beforeAutospacing="0" w:after="0" w:afterAutospacing="0" w:line="360" w:lineRule="auto"/>
              <w:ind w:left="420" w:right="0"/>
              <w:jc w:val="center"/>
              <w:rPr>
                <w:rFonts w:hint="default" w:ascii="Times New Roman" w:hAnsi="Times New Roman" w:cs="Times New Roman"/>
                <w:b/>
                <w:color w:val="auto"/>
                <w:sz w:val="24"/>
                <w:szCs w:val="24"/>
              </w:rPr>
            </w:pPr>
            <w:r>
              <w:rPr>
                <w:rFonts w:hint="default" w:ascii="Times New Roman" w:hAnsi="Times New Roman" w:cs="Times New Roman"/>
                <w:b/>
                <w:color w:val="auto"/>
                <w:sz w:val="24"/>
                <w:szCs w:val="24"/>
              </w:rPr>
              <w:t>表4-19 建设项目土壤环境影响类型与影响途径表</w:t>
            </w:r>
          </w:p>
          <w:tbl>
            <w:tblPr>
              <w:tblStyle w:val="45"/>
              <w:tblW w:w="7999" w:type="dxa"/>
              <w:tblInd w:w="12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829"/>
              <w:gridCol w:w="1542"/>
              <w:gridCol w:w="1542"/>
              <w:gridCol w:w="1543"/>
              <w:gridCol w:w="154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829" w:type="dxa"/>
                  <w:vMerge w:val="restart"/>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不同时段</w:t>
                  </w:r>
                </w:p>
              </w:tc>
              <w:tc>
                <w:tcPr>
                  <w:tcW w:w="6170" w:type="dxa"/>
                  <w:gridSpan w:val="4"/>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污染影响型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829" w:type="dxa"/>
                  <w:vMerge w:val="continue"/>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p>
              </w:tc>
              <w:tc>
                <w:tcPr>
                  <w:tcW w:w="1542" w:type="dxa"/>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color w:val="auto"/>
                      <w:szCs w:val="21"/>
                    </w:rPr>
                    <w:t>大气沉降</w:t>
                  </w:r>
                </w:p>
              </w:tc>
              <w:tc>
                <w:tcPr>
                  <w:tcW w:w="1542" w:type="dxa"/>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color w:val="auto"/>
                      <w:szCs w:val="21"/>
                    </w:rPr>
                    <w:t>地面漫流</w:t>
                  </w:r>
                </w:p>
              </w:tc>
              <w:tc>
                <w:tcPr>
                  <w:tcW w:w="1543" w:type="dxa"/>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color w:val="auto"/>
                      <w:szCs w:val="21"/>
                    </w:rPr>
                    <w:t>垂直入渗</w:t>
                  </w:r>
                </w:p>
              </w:tc>
              <w:tc>
                <w:tcPr>
                  <w:tcW w:w="1543" w:type="dxa"/>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color w:val="auto"/>
                      <w:szCs w:val="21"/>
                    </w:rPr>
                    <w:t>其他</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829" w:type="dxa"/>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b/>
                      <w:color w:val="auto"/>
                      <w:sz w:val="21"/>
                      <w:szCs w:val="21"/>
                    </w:rPr>
                    <w:t>钻井期</w:t>
                  </w:r>
                </w:p>
              </w:tc>
              <w:tc>
                <w:tcPr>
                  <w:tcW w:w="1542" w:type="dxa"/>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color w:val="auto"/>
                      <w:szCs w:val="21"/>
                    </w:rPr>
                    <w:t>-</w:t>
                  </w:r>
                </w:p>
              </w:tc>
              <w:tc>
                <w:tcPr>
                  <w:tcW w:w="1542" w:type="dxa"/>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color w:val="auto"/>
                      <w:szCs w:val="21"/>
                    </w:rPr>
                    <w:t>√</w:t>
                  </w:r>
                </w:p>
              </w:tc>
              <w:tc>
                <w:tcPr>
                  <w:tcW w:w="1543" w:type="dxa"/>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color w:val="auto"/>
                      <w:szCs w:val="21"/>
                    </w:rPr>
                    <w:t>√</w:t>
                  </w:r>
                </w:p>
              </w:tc>
              <w:tc>
                <w:tcPr>
                  <w:tcW w:w="1543" w:type="dxa"/>
                  <w:tcBorders>
                    <w:tl2br w:val="nil"/>
                    <w:tr2bl w:val="nil"/>
                  </w:tcBorders>
                  <w:vAlign w:val="center"/>
                </w:tcPr>
                <w:p>
                  <w:pPr>
                    <w:pStyle w:val="19"/>
                    <w:keepNext w:val="0"/>
                    <w:keepLines w:val="0"/>
                    <w:widowControl w:val="0"/>
                    <w:suppressLineNumbers w:val="0"/>
                    <w:tabs>
                      <w:tab w:val="left" w:pos="0"/>
                      <w:tab w:val="left" w:pos="833"/>
                    </w:tabs>
                    <w:spacing w:before="0" w:beforeAutospacing="0" w:after="0" w:afterAutospacing="0" w:line="240" w:lineRule="auto"/>
                    <w:ind w:left="0" w:right="0"/>
                    <w:jc w:val="center"/>
                    <w:rPr>
                      <w:rFonts w:hint="default" w:ascii="Times New Roman" w:hAnsi="Times New Roman" w:cs="Times New Roman"/>
                      <w:b/>
                      <w:color w:val="auto"/>
                      <w:sz w:val="21"/>
                      <w:szCs w:val="21"/>
                    </w:rPr>
                  </w:pPr>
                  <w:r>
                    <w:rPr>
                      <w:rFonts w:hint="default" w:ascii="Times New Roman" w:hAnsi="Times New Roman" w:cs="Times New Roman"/>
                      <w:color w:val="auto"/>
                      <w:szCs w:val="21"/>
                    </w:rPr>
                    <w:t>-</w:t>
                  </w:r>
                </w:p>
              </w:tc>
            </w:tr>
          </w:tbl>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4.6.2影响源与影响因子</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color w:val="auto"/>
                <w:sz w:val="24"/>
              </w:rPr>
            </w:pPr>
            <w:r>
              <w:rPr>
                <w:rFonts w:hint="default" w:ascii="Times New Roman" w:hAnsi="Times New Roman" w:cs="Times New Roman"/>
                <w:color w:val="auto"/>
                <w:kern w:val="0"/>
                <w:sz w:val="24"/>
                <w:lang w:bidi="ar"/>
              </w:rPr>
              <w:t>根据工程分析，项目的主要土壤影响源为井场</w:t>
            </w:r>
            <w:r>
              <w:rPr>
                <w:rFonts w:hint="default" w:ascii="Times New Roman" w:hAnsi="Times New Roman" w:cs="Times New Roman"/>
                <w:color w:val="auto"/>
                <w:sz w:val="24"/>
              </w:rPr>
              <w:t>污染区（泥浆循环区、井口区、动力机组区、泥浆不落地平台）废水、固废入渗影响，重叠液罐废水的入渗影响，油罐区废水的入渗影响，井场区雨水的漫流影响。</w:t>
            </w:r>
          </w:p>
          <w:p>
            <w:pPr>
              <w:pStyle w:val="19"/>
              <w:keepNext w:val="0"/>
              <w:keepLines w:val="0"/>
              <w:widowControl w:val="0"/>
              <w:suppressLineNumbers w:val="0"/>
              <w:tabs>
                <w:tab w:val="left" w:pos="0"/>
                <w:tab w:val="left" w:pos="833"/>
              </w:tabs>
              <w:spacing w:before="0" w:beforeAutospacing="0" w:after="0" w:afterAutospacing="0" w:line="360" w:lineRule="auto"/>
              <w:ind w:left="420" w:right="0"/>
              <w:jc w:val="center"/>
              <w:rPr>
                <w:rFonts w:hint="default" w:ascii="Times New Roman" w:hAnsi="Times New Roman" w:cs="Times New Roman"/>
                <w:b/>
                <w:color w:val="auto"/>
                <w:sz w:val="24"/>
                <w:szCs w:val="24"/>
              </w:rPr>
            </w:pPr>
            <w:r>
              <w:rPr>
                <w:rFonts w:hint="default" w:ascii="Times New Roman" w:hAnsi="Times New Roman" w:cs="Times New Roman"/>
                <w:b/>
                <w:color w:val="auto"/>
                <w:sz w:val="24"/>
                <w:szCs w:val="24"/>
              </w:rPr>
              <w:t>表4-20 土壤环境影响源及影响因子识别表</w:t>
            </w:r>
          </w:p>
          <w:tbl>
            <w:tblPr>
              <w:tblStyle w:val="44"/>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0" w:type="dxa"/>
                <w:bottom w:w="0" w:type="dxa"/>
                <w:right w:w="0" w:type="dxa"/>
              </w:tblCellMar>
            </w:tblPr>
            <w:tblGrid>
              <w:gridCol w:w="1331"/>
              <w:gridCol w:w="1515"/>
              <w:gridCol w:w="1101"/>
              <w:gridCol w:w="1627"/>
              <w:gridCol w:w="1430"/>
              <w:gridCol w:w="94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69" w:hRule="atLeast"/>
                <w:jc w:val="center"/>
              </w:trPr>
              <w:tc>
                <w:tcPr>
                  <w:tcW w:w="1331"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污染源</w:t>
                  </w:r>
                </w:p>
              </w:tc>
              <w:tc>
                <w:tcPr>
                  <w:tcW w:w="1515"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工艺流程/节点</w:t>
                  </w:r>
                </w:p>
              </w:tc>
              <w:tc>
                <w:tcPr>
                  <w:tcW w:w="1101"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污染途径</w:t>
                  </w:r>
                </w:p>
              </w:tc>
              <w:tc>
                <w:tcPr>
                  <w:tcW w:w="1627"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全部污染物指标</w:t>
                  </w:r>
                </w:p>
              </w:tc>
              <w:tc>
                <w:tcPr>
                  <w:tcW w:w="1430"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特征因子</w:t>
                  </w:r>
                </w:p>
              </w:tc>
              <w:tc>
                <w:tcPr>
                  <w:tcW w:w="941"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69" w:hRule="atLeast"/>
                <w:jc w:val="center"/>
              </w:trPr>
              <w:tc>
                <w:tcPr>
                  <w:tcW w:w="1331" w:type="dxa"/>
                  <w:vMerge w:val="restart"/>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井场</w:t>
                  </w:r>
                </w:p>
              </w:tc>
              <w:tc>
                <w:tcPr>
                  <w:tcW w:w="1515"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污染区（泥浆循环区、井口区、动力机组区、泥浆不落地平台）</w:t>
                  </w:r>
                </w:p>
              </w:tc>
              <w:tc>
                <w:tcPr>
                  <w:tcW w:w="1101"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垂直入渗</w:t>
                  </w:r>
                </w:p>
              </w:tc>
              <w:tc>
                <w:tcPr>
                  <w:tcW w:w="1627"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COD、SS、硫化物、石油类</w:t>
                  </w:r>
                </w:p>
              </w:tc>
              <w:tc>
                <w:tcPr>
                  <w:tcW w:w="1430"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石油烃、硫化物</w:t>
                  </w:r>
                </w:p>
              </w:tc>
              <w:tc>
                <w:tcPr>
                  <w:tcW w:w="941"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连续</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69" w:hRule="atLeast"/>
                <w:jc w:val="center"/>
              </w:trPr>
              <w:tc>
                <w:tcPr>
                  <w:tcW w:w="1331"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lang w:val="zh-CN" w:bidi="zh-CN"/>
                    </w:rPr>
                  </w:pPr>
                </w:p>
              </w:tc>
              <w:tc>
                <w:tcPr>
                  <w:tcW w:w="1515" w:type="dxa"/>
                  <w:vMerge w:val="restart"/>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清洁区</w:t>
                  </w:r>
                </w:p>
              </w:tc>
              <w:tc>
                <w:tcPr>
                  <w:tcW w:w="1101"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垂直入渗</w:t>
                  </w:r>
                </w:p>
              </w:tc>
              <w:tc>
                <w:tcPr>
                  <w:tcW w:w="1627" w:type="dxa"/>
                  <w:vMerge w:val="restart"/>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COD、SS、硫化物、石油类</w:t>
                  </w:r>
                </w:p>
              </w:tc>
              <w:tc>
                <w:tcPr>
                  <w:tcW w:w="1430" w:type="dxa"/>
                  <w:vMerge w:val="restart"/>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石油烃、硫化物</w:t>
                  </w:r>
                </w:p>
              </w:tc>
              <w:tc>
                <w:tcPr>
                  <w:tcW w:w="941"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连续</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69" w:hRule="atLeast"/>
                <w:jc w:val="center"/>
              </w:trPr>
              <w:tc>
                <w:tcPr>
                  <w:tcW w:w="1331"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lang w:val="zh-CN" w:bidi="zh-CN"/>
                    </w:rPr>
                  </w:pPr>
                </w:p>
              </w:tc>
              <w:tc>
                <w:tcPr>
                  <w:tcW w:w="1515"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lang w:val="zh-CN" w:bidi="zh-CN"/>
                    </w:rPr>
                  </w:pPr>
                </w:p>
              </w:tc>
              <w:tc>
                <w:tcPr>
                  <w:tcW w:w="1101"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地面漫流</w:t>
                  </w:r>
                </w:p>
              </w:tc>
              <w:tc>
                <w:tcPr>
                  <w:tcW w:w="1627"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lang w:val="zh-CN" w:bidi="zh-CN"/>
                    </w:rPr>
                  </w:pPr>
                </w:p>
              </w:tc>
              <w:tc>
                <w:tcPr>
                  <w:tcW w:w="1430"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lang w:val="zh-CN" w:bidi="zh-CN"/>
                    </w:rPr>
                  </w:pPr>
                </w:p>
              </w:tc>
              <w:tc>
                <w:tcPr>
                  <w:tcW w:w="941"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连续</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69" w:hRule="atLeast"/>
                <w:jc w:val="center"/>
              </w:trPr>
              <w:tc>
                <w:tcPr>
                  <w:tcW w:w="1331" w:type="dxa"/>
                  <w:vMerge w:val="restart"/>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油罐区、</w:t>
                  </w:r>
                  <w:r>
                    <w:rPr>
                      <w:rFonts w:hint="default" w:ascii="Times New Roman" w:hAnsi="Times New Roman" w:eastAsia="宋体" w:cs="Times New Roman"/>
                      <w:color w:val="auto"/>
                      <w:szCs w:val="21"/>
                      <w:lang w:val="en-US"/>
                    </w:rPr>
                    <w:t>环境监测池</w:t>
                  </w:r>
                </w:p>
              </w:tc>
              <w:tc>
                <w:tcPr>
                  <w:tcW w:w="1515"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lang w:val="en-US"/>
                    </w:rPr>
                  </w:pPr>
                  <w:r>
                    <w:rPr>
                      <w:rFonts w:hint="default" w:ascii="Times New Roman" w:hAnsi="Times New Roman" w:eastAsia="宋体" w:cs="Times New Roman"/>
                      <w:color w:val="auto"/>
                      <w:szCs w:val="21"/>
                      <w:lang w:val="en-US"/>
                    </w:rPr>
                    <w:t>/</w:t>
                  </w:r>
                </w:p>
              </w:tc>
              <w:tc>
                <w:tcPr>
                  <w:tcW w:w="1101"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垂直入渗</w:t>
                  </w:r>
                </w:p>
              </w:tc>
              <w:tc>
                <w:tcPr>
                  <w:tcW w:w="1627" w:type="dxa"/>
                  <w:vMerge w:val="restart"/>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石油类</w:t>
                  </w:r>
                </w:p>
              </w:tc>
              <w:tc>
                <w:tcPr>
                  <w:tcW w:w="1430" w:type="dxa"/>
                  <w:vMerge w:val="restart"/>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石油烃</w:t>
                  </w:r>
                </w:p>
              </w:tc>
              <w:tc>
                <w:tcPr>
                  <w:tcW w:w="941" w:type="dxa"/>
                  <w:tcBorders>
                    <w:tl2br w:val="nil"/>
                    <w:tr2bl w:val="nil"/>
                  </w:tcBorders>
                  <w:vAlign w:val="center"/>
                </w:tcPr>
                <w:p>
                  <w:pPr>
                    <w:pStyle w:val="254"/>
                    <w:keepNext w:val="0"/>
                    <w:keepLines w:val="0"/>
                    <w:suppressLineNumbers w:val="0"/>
                    <w:spacing w:before="0" w:beforeAutospacing="0" w:after="0" w:afterAutospacing="0"/>
                    <w:ind w:left="0" w:right="0" w:firstLine="3"/>
                    <w:jc w:val="center"/>
                    <w:rPr>
                      <w:rFonts w:hint="default" w:ascii="Times New Roman" w:hAnsi="Times New Roman" w:eastAsia="宋体" w:cs="Times New Roman"/>
                      <w:color w:val="auto"/>
                      <w:szCs w:val="21"/>
                      <w:lang w:val="en-US"/>
                    </w:rPr>
                  </w:pPr>
                  <w:r>
                    <w:rPr>
                      <w:rFonts w:hint="default" w:ascii="Times New Roman" w:hAnsi="Times New Roman" w:eastAsia="宋体" w:cs="Times New Roman"/>
                      <w:color w:val="auto"/>
                      <w:szCs w:val="21"/>
                      <w:lang w:val="en-US"/>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369" w:hRule="atLeast"/>
                <w:jc w:val="center"/>
              </w:trPr>
              <w:tc>
                <w:tcPr>
                  <w:tcW w:w="1331"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lang w:val="zh-CN" w:bidi="zh-CN"/>
                    </w:rPr>
                  </w:pPr>
                </w:p>
              </w:tc>
              <w:tc>
                <w:tcPr>
                  <w:tcW w:w="1515"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rPr>
                  </w:pPr>
                  <w:r>
                    <w:rPr>
                      <w:rFonts w:hint="default" w:ascii="Times New Roman" w:hAnsi="Times New Roman" w:eastAsia="宋体" w:cs="Times New Roman"/>
                      <w:color w:val="auto"/>
                      <w:szCs w:val="21"/>
                      <w:lang w:val="en-US"/>
                    </w:rPr>
                    <w:t>/</w:t>
                  </w:r>
                </w:p>
              </w:tc>
              <w:tc>
                <w:tcPr>
                  <w:tcW w:w="1101"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rPr>
                  </w:pPr>
                  <w:r>
                    <w:rPr>
                      <w:rFonts w:hint="default" w:ascii="Times New Roman" w:hAnsi="Times New Roman" w:eastAsia="宋体" w:cs="Times New Roman"/>
                      <w:color w:val="auto"/>
                      <w:szCs w:val="21"/>
                    </w:rPr>
                    <w:t>地面漫流</w:t>
                  </w:r>
                </w:p>
              </w:tc>
              <w:tc>
                <w:tcPr>
                  <w:tcW w:w="1627"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lang w:val="zh-CN" w:bidi="zh-CN"/>
                    </w:rPr>
                  </w:pPr>
                </w:p>
              </w:tc>
              <w:tc>
                <w:tcPr>
                  <w:tcW w:w="1430" w:type="dxa"/>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lang w:val="zh-CN" w:bidi="zh-CN"/>
                    </w:rPr>
                  </w:pPr>
                </w:p>
              </w:tc>
              <w:tc>
                <w:tcPr>
                  <w:tcW w:w="941" w:type="dxa"/>
                  <w:tcBorders>
                    <w:tl2br w:val="nil"/>
                    <w:tr2bl w:val="nil"/>
                  </w:tcBorders>
                  <w:vAlign w:val="center"/>
                </w:tcPr>
                <w:p>
                  <w:pPr>
                    <w:pStyle w:val="254"/>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Cs w:val="21"/>
                      <w:lang w:val="en-US"/>
                    </w:rPr>
                  </w:pPr>
                  <w:r>
                    <w:rPr>
                      <w:rFonts w:hint="default" w:ascii="Times New Roman" w:hAnsi="Times New Roman" w:eastAsia="宋体" w:cs="Times New Roman"/>
                      <w:color w:val="auto"/>
                      <w:szCs w:val="21"/>
                      <w:lang w:val="en-US"/>
                    </w:rPr>
                    <w:t>/</w:t>
                  </w:r>
                </w:p>
              </w:tc>
            </w:tr>
          </w:tbl>
          <w:p>
            <w:pPr>
              <w:keepNext w:val="0"/>
              <w:keepLines w:val="0"/>
              <w:suppressLineNumbers w:val="0"/>
              <w:spacing w:before="0" w:beforeAutospacing="0" w:after="0" w:afterAutospacing="0" w:line="360" w:lineRule="auto"/>
              <w:ind w:left="0" w:right="0"/>
              <w:rPr>
                <w:rFonts w:hint="default" w:ascii="Times New Roman" w:hAnsi="Times New Roman" w:cs="Times New Roman"/>
                <w:b/>
                <w:bCs/>
                <w:snapToGrid w:val="0"/>
                <w:color w:val="auto"/>
                <w:kern w:val="0"/>
                <w:sz w:val="24"/>
              </w:rPr>
            </w:pPr>
            <w:r>
              <w:rPr>
                <w:rFonts w:hint="default" w:ascii="Times New Roman" w:hAnsi="Times New Roman" w:cs="Times New Roman"/>
                <w:b/>
                <w:bCs/>
                <w:snapToGrid w:val="0"/>
                <w:color w:val="auto"/>
                <w:kern w:val="0"/>
                <w:sz w:val="24"/>
              </w:rPr>
              <w:t>4.6.2土壤环境影响分析</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color w:val="auto"/>
                <w:sz w:val="24"/>
              </w:rPr>
              <w:t>本项目土壤环境影响分析将从如下方面进行分析：</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bCs/>
                <w:snapToGrid w:val="0"/>
                <w:color w:val="auto"/>
                <w:kern w:val="0"/>
                <w:sz w:val="24"/>
              </w:rPr>
              <w:t>（1）破坏土壤结构</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bCs/>
                <w:snapToGrid w:val="0"/>
                <w:color w:val="auto"/>
                <w:kern w:val="0"/>
                <w:sz w:val="24"/>
              </w:rPr>
              <w:t>土壤结构是在当地自然条件下土壤经过长期的发育过程形成的较为稳定的结构系统，在施工开挖过程中会破坏原有土壤结构。土壤中的分层特征和团粒结构是经过长期发展形成的，遭到破坏后，恢复需要较长的时间。</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bCs/>
                <w:snapToGrid w:val="0"/>
                <w:color w:val="auto"/>
                <w:kern w:val="0"/>
                <w:sz w:val="24"/>
              </w:rPr>
              <w:t>（2）改变土壤质地</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bCs/>
                <w:snapToGrid w:val="0"/>
                <w:color w:val="auto"/>
                <w:kern w:val="0"/>
                <w:sz w:val="24"/>
              </w:rPr>
              <w:t>土壤质地因所处地形和土壤形成条件的不同而有较大的变化，即使同一土壤剖面，表层与底层的土壤质地也有明显的不同。由于土壤在形成过程中层次分明，表层为耕作层，中层一般为淋溶淀积层，底层是母质层。土壤类型不同，各层次的理化性质和厚度会存在较大的差别。</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bCs/>
                <w:snapToGrid w:val="0"/>
                <w:color w:val="auto"/>
                <w:kern w:val="0"/>
                <w:sz w:val="24"/>
              </w:rPr>
              <w:t>（3）影响土壤紧实度</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bCs/>
                <w:snapToGrid w:val="0"/>
                <w:color w:val="auto"/>
                <w:kern w:val="0"/>
                <w:sz w:val="24"/>
              </w:rPr>
              <w:t>基础施工后一般在短时期难以恢复其原有的紧实度。表层过于疏松时，因灌溉和降水容易造成水分下渗，使土层明显下陷形成凹沟。过于紧实时又会影响植物根系下扎。施工期间的车辆和重型机械的碾压也会造成管道两侧表层过于紧实，对植物生长产生不良影响。</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bCs/>
                <w:snapToGrid w:val="0"/>
                <w:color w:val="auto"/>
                <w:kern w:val="0"/>
                <w:sz w:val="24"/>
              </w:rPr>
              <w:t>（4）施工废弃物对土壤环境的影响</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bCs/>
                <w:snapToGrid w:val="0"/>
                <w:color w:val="auto"/>
                <w:kern w:val="0"/>
                <w:sz w:val="24"/>
              </w:rPr>
              <w:t>项目</w:t>
            </w:r>
            <w:r>
              <w:rPr>
                <w:rFonts w:hint="eastAsia" w:cs="Times New Roman"/>
                <w:bCs/>
                <w:snapToGrid w:val="0"/>
                <w:color w:val="auto"/>
                <w:kern w:val="0"/>
                <w:sz w:val="24"/>
                <w:lang w:eastAsia="zh-CN"/>
              </w:rPr>
              <w:t>施工</w:t>
            </w:r>
            <w:r>
              <w:rPr>
                <w:rFonts w:hint="default" w:ascii="Times New Roman" w:hAnsi="Times New Roman" w:cs="Times New Roman"/>
                <w:bCs/>
                <w:snapToGrid w:val="0"/>
                <w:color w:val="auto"/>
                <w:kern w:val="0"/>
                <w:sz w:val="24"/>
              </w:rPr>
              <w:t>产生的泥浆若落入土地，有可能把固体废弃物残留于土壤之中。这些固体废物一般都比较难于分解，影响环境景观和作物生长，若埋于土壤中则会对作物根系的生长和发育造成影响。</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bCs/>
                <w:snapToGrid w:val="0"/>
                <w:color w:val="auto"/>
                <w:kern w:val="0"/>
                <w:sz w:val="24"/>
              </w:rPr>
              <w:t>（5）项目建设对土壤养分现状的影响</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bCs/>
                <w:snapToGrid w:val="0"/>
                <w:color w:val="auto"/>
                <w:kern w:val="0"/>
                <w:sz w:val="24"/>
              </w:rPr>
              <w:t>土体构型是土壤剖面中各种土层的组合情况。不同土层的特征及理化性质差异较大。就养分状况分布而言，表土层远较心土层好，其有机质、全氮、速效磷和速效钾等含量高，紧密度与孔隙状况适中强。施工势必扰动原有土体构型，使土壤养分分布状况受到影响，严重者会造成土壤性质的恶化，并影响其表层生长的植被，甚至难以恢复。</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bCs/>
                <w:snapToGrid w:val="0"/>
                <w:color w:val="auto"/>
                <w:kern w:val="0"/>
                <w:sz w:val="24"/>
              </w:rPr>
            </w:pPr>
            <w:r>
              <w:rPr>
                <w:rFonts w:hint="default" w:ascii="Times New Roman" w:hAnsi="Times New Roman" w:cs="Times New Roman"/>
                <w:bCs/>
                <w:snapToGrid w:val="0"/>
                <w:color w:val="auto"/>
                <w:kern w:val="0"/>
                <w:sz w:val="24"/>
              </w:rPr>
              <w:t>（6）事故状态下对土壤的影响</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color w:val="auto"/>
                <w:sz w:val="24"/>
              </w:rPr>
            </w:pPr>
            <w:r>
              <w:rPr>
                <w:rFonts w:hint="default" w:ascii="Times New Roman" w:hAnsi="Times New Roman" w:cs="Times New Roman"/>
                <w:bCs/>
                <w:snapToGrid w:val="0"/>
                <w:color w:val="auto"/>
                <w:kern w:val="0"/>
                <w:sz w:val="24"/>
              </w:rPr>
              <w:t>本项目施工期间，事故情况下，发生井喷、柴油罐泄漏后，钻井液中污染物或柴油泄漏对土壤质量影响较大。根据区域钻井情况，项目发生井喷的概率很小。当柴油罐穿孔泄漏，在泄漏初期由于泄漏的柴油量少，可收集在围堰内，不会泄漏至外环境；但若长时间泄漏，柴油可能溢出围堰，造成大面积土壤环境的污染。泄漏的大量原油进入土壤环境中，油类物质在土壤中下渗至一定深度，随泄漏历时的延长，下渗深度增加不大（油类物质一般在土壤内部20cm左右范围内积聚），会影响土壤中微生物生存，破坏土壤结构，增加土壤中石油类污染物。</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4.6.3其他影响源调查</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
                <w:bCs/>
                <w:color w:val="auto"/>
                <w:sz w:val="24"/>
              </w:rPr>
            </w:pPr>
            <w:r>
              <w:rPr>
                <w:rFonts w:hint="default" w:ascii="Times New Roman" w:hAnsi="Times New Roman" w:cs="Times New Roman"/>
                <w:color w:val="auto"/>
                <w:sz w:val="24"/>
              </w:rPr>
              <w:t>项目周边为农村地区，无与建设项目产生同种特征因子或造成相同土壤环境影响后果的影响源。为防止项目实施过程中对周边土壤环境造成影响，采取以下措施：</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（1）岩屑堆放区设置雨棚，防止雨水淋滤导致污染物下渗污染。</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（2）针对渗入影响落实地下水评价内容提出的防渗分区及防渗措施。</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针对地面漫流影响实施井场清污分流措施，在井场四周设置雨水排水沟，场外雨水随雨水沟排放；井场分为清洁区和污染区，通过挡墙隔离。污染区雨水进入集水坑收集泵提升废水罐处理后回用。油罐区雨水经过环境监测池处理后排入循环罐内回用。以上措施分别纳入地下水的分区防渗和地表水的清污分流措施投资，经济可行，技术简单可行。</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4.7生态环境影响分析</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bookmarkStart w:id="30" w:name="_Hlk66980492"/>
            <w:r>
              <w:rPr>
                <w:rFonts w:hint="default" w:ascii="Times New Roman" w:hAnsi="Times New Roman" w:cs="Times New Roman"/>
                <w:b/>
                <w:color w:val="auto"/>
                <w:sz w:val="24"/>
              </w:rPr>
              <w:t>4.7.1生态影响分析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本项目总占地面积为</w:t>
            </w:r>
            <w:r>
              <w:rPr>
                <w:rFonts w:hint="eastAsia" w:cs="Times New Roman"/>
                <w:color w:val="auto"/>
                <w:sz w:val="24"/>
                <w:lang w:eastAsia="zh-CN"/>
              </w:rPr>
              <w:t>22420</w:t>
            </w:r>
            <w:r>
              <w:rPr>
                <w:rFonts w:hint="default" w:ascii="Times New Roman" w:hAnsi="Times New Roman" w:cs="Times New Roman"/>
                <w:color w:val="auto"/>
                <w:sz w:val="24"/>
              </w:rPr>
              <w:t>m</w:t>
            </w:r>
            <w:r>
              <w:rPr>
                <w:rFonts w:hint="default" w:ascii="Times New Roman" w:hAnsi="Times New Roman" w:cs="Times New Roman"/>
                <w:color w:val="auto"/>
                <w:sz w:val="24"/>
                <w:vertAlign w:val="superscript"/>
              </w:rPr>
              <w:t>2</w:t>
            </w:r>
            <w:r>
              <w:rPr>
                <w:rFonts w:hint="default" w:ascii="Times New Roman" w:hAnsi="Times New Roman" w:cs="Times New Roman"/>
                <w:color w:val="auto"/>
                <w:sz w:val="24"/>
              </w:rPr>
              <w:t>，本工程影响生态环境的因素主要是在钻前施工期间，在此期间会对井场、井场道路所</w:t>
            </w:r>
            <w:r>
              <w:rPr>
                <w:rFonts w:hint="eastAsia" w:cs="Times New Roman"/>
                <w:color w:val="auto"/>
                <w:sz w:val="24"/>
                <w:lang w:eastAsia="zh-CN"/>
              </w:rPr>
              <w:t>占用</w:t>
            </w:r>
            <w:r>
              <w:rPr>
                <w:rFonts w:hint="default" w:ascii="Times New Roman" w:hAnsi="Times New Roman" w:cs="Times New Roman"/>
                <w:color w:val="auto"/>
                <w:sz w:val="24"/>
              </w:rPr>
              <w:t>土地的植被进行清除，改变土地利用现状；对井场及井场道路用地进行开挖、平整会改变土壤结构，造成地表裸露，开挖的土石方临时就近堆放，引起新的水土流失；环境改变和施工噪声可能会影响周围栖息的动物。对区域土地利用格局产生的影响甚微。</w:t>
            </w:r>
          </w:p>
          <w:bookmarkEnd w:id="30"/>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4.7.2项目占地对土地利用影响分析</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bookmarkStart w:id="31" w:name="_Hlk66980532"/>
            <w:r>
              <w:rPr>
                <w:rFonts w:hint="default" w:ascii="Times New Roman" w:hAnsi="Times New Roman" w:cs="Times New Roman"/>
                <w:color w:val="auto"/>
                <w:sz w:val="24"/>
              </w:rPr>
              <w:t>本项目临时占地面积约</w:t>
            </w:r>
            <w:r>
              <w:rPr>
                <w:rFonts w:hint="eastAsia" w:cs="Times New Roman"/>
                <w:color w:val="auto"/>
                <w:sz w:val="24"/>
                <w:lang w:eastAsia="zh-CN"/>
              </w:rPr>
              <w:t>22420</w:t>
            </w:r>
            <w:r>
              <w:rPr>
                <w:rFonts w:hint="default" w:ascii="Times New Roman" w:hAnsi="Times New Roman" w:cs="Times New Roman"/>
                <w:color w:val="auto"/>
                <w:sz w:val="24"/>
              </w:rPr>
              <w:t>m</w:t>
            </w:r>
            <w:r>
              <w:rPr>
                <w:rFonts w:hint="default" w:ascii="Times New Roman" w:hAnsi="Times New Roman" w:cs="Times New Roman"/>
                <w:color w:val="auto"/>
                <w:sz w:val="24"/>
                <w:vertAlign w:val="superscript"/>
              </w:rPr>
              <w:t>2</w:t>
            </w:r>
            <w:r>
              <w:rPr>
                <w:rFonts w:hint="default" w:ascii="Times New Roman" w:hAnsi="Times New Roman" w:cs="Times New Roman"/>
                <w:color w:val="auto"/>
                <w:sz w:val="24"/>
              </w:rPr>
              <w:t>，本项目新增临时占地主要为旱地、水田，区域土地利用结构破碎程度较高。项目施工期占地面积相对较小，不会导致区域土地利用格局发生明显变化。</w:t>
            </w:r>
            <w:bookmarkEnd w:id="31"/>
          </w:p>
          <w:p>
            <w:pPr>
              <w:keepNext w:val="0"/>
              <w:keepLines w:val="0"/>
              <w:suppressLineNumbers w:val="0"/>
              <w:tabs>
                <w:tab w:val="left" w:pos="7170"/>
              </w:tabs>
              <w:autoSpaceDE w:val="0"/>
              <w:autoSpaceDN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4.7.3水土流失影响分析</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 xml:space="preserve">一般项目建设对水土流失的影响主要表现在以下两方面：由于地表开挖造成地面裸露，降雨时加深土壤侵蚀和水土流失。为有效降低施工建设活动对水土流失的影响，现提出以下水土流失防治措施。 </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①项目在建设井场、基础等施工时通过采取修建排水沟、护坡等措施，有效控制水土流失量。施工结束后，通过对施工迹地地表植被的恢复，水土流失将得到有效控制。</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②对于工程施工所用的临时路线，尽量选择已有的便道，或者选择植被生长差的地段。对于施工机械车辆应固定其行驶路线，禁止乱压乱碾，任意破坏地表植被。</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 xml:space="preserve">③项目施工过程中涉及挖方量大的项目应加快施工进度，缩短施工时间，对产生的挖方及时进行平整处理。此外，施工时应避免在雨天、大风等天气条件不利情况下施工，做到水土流失最小化，如遇特殊天气施工，应用施工布料对现挖松散临时弃土进行临时遮掩，保证有效控制水土流失。 </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④项目用地结束后，对临时占地进行土地整治，按照耕地的复垦要求对临时占用的土地实施土地复垦，恢复其使用功能。</w:t>
            </w:r>
          </w:p>
          <w:p>
            <w:pPr>
              <w:keepNext w:val="0"/>
              <w:keepLines w:val="0"/>
              <w:suppressLineNumbers w:val="0"/>
              <w:tabs>
                <w:tab w:val="left" w:pos="7170"/>
              </w:tabs>
              <w:autoSpaceDE w:val="0"/>
              <w:autoSpaceDN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4.7.4对项目所在区域植物影响分析</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项目区受人类活动影响强烈，属于农田生态系统，区域内未发现重点保护及珍稀植物。本项目对植被的影响主要表现在占地对少量农作物的破坏，占用的旱地工程建设单位按相关规定对当地居民进行赔偿；在工程施工完毕后，将对井场钻井设备进行拆除、搬迁，开展土地复垦，项目建设对区域植被影响小。</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（1）对生物量的影响</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生活区临时占地等建设将清除地表植被，剥离地表覆盖层，势必降低植被覆盖率，导致区域植被的损失。一般工程临时占地对农作物的影响主要为当季影响，在施工结束后，第二年即可复种，根据同类工程调查，复垦地1～2年即可恢复到原有产量。植被生物量损失的植被类型主要为农作物，对天然植被生物量损失较低。项目的建设对地表农作物或植被产生一定的扰动和破坏，但是这种影响会随着项目闭井后逐步消减。若对项目占地采取植被恢复或绿化措施，在建设期损失的地表植被生物总量和生产力会得到一定的补偿。</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（2）对多样性的影响</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新建井场，根据现场调查，项目周边不涉及自然保护区、森林公园等特有生物多样性保护区；在施工结束后，及时采用当地乡土树种进行植被恢复。落实相关措施后，不会造成区域生物多样性的降低及保护植物数量的减少，不会造成生物物种入侵以及对当地及邻近地区植物种类的生存和繁衍造成影响。对整个地区生态系统的功能和稳定性不会产生大的影响，也不会引起物种的损失。</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（3）失火风险</w:t>
            </w:r>
          </w:p>
          <w:p>
            <w:pPr>
              <w:keepNext w:val="0"/>
              <w:keepLines w:val="0"/>
              <w:suppressLineNumbers w:val="0"/>
              <w:tabs>
                <w:tab w:val="left" w:pos="7170"/>
              </w:tabs>
              <w:autoSpaceDE w:val="0"/>
              <w:autoSpaceDN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根据施工规范，在放喷池周边设置防火带，加上井场施工自身的防火要求，将严格控制施工人员的管理，规范用火。做好相关管控措施后，造成周边植被起火风险性小。</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bookmarkStart w:id="32" w:name="_Hlk66980561"/>
            <w:r>
              <w:rPr>
                <w:rFonts w:hint="default" w:ascii="Times New Roman" w:hAnsi="Times New Roman" w:cs="Times New Roman"/>
                <w:b/>
                <w:bCs/>
                <w:color w:val="auto"/>
                <w:sz w:val="24"/>
              </w:rPr>
              <w:t>4.7.5非正常生产时事故放喷对生态环境的影响分析</w:t>
            </w:r>
          </w:p>
          <w:bookmarkEnd w:id="32"/>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bookmarkStart w:id="33" w:name="_Hlk66980570"/>
            <w:r>
              <w:rPr>
                <w:rFonts w:hint="default" w:ascii="Times New Roman" w:hAnsi="Times New Roman" w:cs="Times New Roman"/>
                <w:color w:val="auto"/>
                <w:szCs w:val="24"/>
              </w:rPr>
              <w:t>钻井非正常生产时事故放喷对生态环境的影响主要是放喷产生的热辐射和SO</w:t>
            </w:r>
            <w:r>
              <w:rPr>
                <w:rFonts w:hint="default" w:ascii="Times New Roman" w:hAnsi="Times New Roman" w:cs="Times New Roman"/>
                <w:color w:val="auto"/>
                <w:szCs w:val="24"/>
                <w:vertAlign w:val="subscript"/>
              </w:rPr>
              <w:t>2</w:t>
            </w:r>
            <w:r>
              <w:rPr>
                <w:rFonts w:hint="default" w:ascii="Times New Roman" w:hAnsi="Times New Roman" w:cs="Times New Roman"/>
                <w:color w:val="auto"/>
                <w:szCs w:val="24"/>
              </w:rPr>
              <w:t>、CO</w:t>
            </w:r>
            <w:r>
              <w:rPr>
                <w:rFonts w:hint="default" w:ascii="Times New Roman" w:hAnsi="Times New Roman" w:cs="Times New Roman"/>
                <w:color w:val="auto"/>
                <w:szCs w:val="24"/>
                <w:vertAlign w:val="subscript"/>
              </w:rPr>
              <w:t>2</w:t>
            </w:r>
            <w:r>
              <w:rPr>
                <w:rFonts w:hint="default" w:ascii="Times New Roman" w:hAnsi="Times New Roman" w:cs="Times New Roman"/>
                <w:color w:val="auto"/>
                <w:szCs w:val="24"/>
              </w:rPr>
              <w:t>对生态的影响。</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钻井进入气层后，有可能遇到异常高压气流，如果井内泥浆密度值过低，达不到平衡井内压力要求，就可能发生井喷，因此需要进行放喷，通过点火将天然气燃烧。天然气燃烧产生的热辐射影响，可能灼伤放喷点周围20～50m范围的农作物。天然气放喷在专门的放喷池中点火放喷，放喷池是由三面3m高的砖墙组成，采用放喷池放喷，可以有效减少放喷天然气燃烧产生的热辐射对周围的土壤和植被的灼伤。</w:t>
            </w:r>
          </w:p>
          <w:bookmarkEnd w:id="33"/>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4.8结论</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 w:val="21"/>
                <w:szCs w:val="21"/>
              </w:rPr>
            </w:pPr>
            <w:r>
              <w:rPr>
                <w:rFonts w:hint="default" w:ascii="Times New Roman" w:hAnsi="Times New Roman" w:cs="Times New Roman"/>
                <w:color w:val="auto"/>
                <w:szCs w:val="24"/>
              </w:rPr>
              <w:t>综上所述，项目实施将对周边环境带来一定的影响，但这种影响是局部和暂时的，随工程施工结束而消失，不会引起该区域野生动物大面积迁移而消亡，因此，项目的实施对生态环境影响较小。</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41" w:hRule="atLeast"/>
          <w:jc w:val="center"/>
        </w:trPr>
        <w:tc>
          <w:tcPr>
            <w:tcW w:w="879" w:type="dxa"/>
            <w:tcMar>
              <w:left w:w="28" w:type="dxa"/>
              <w:right w:w="28" w:type="dxa"/>
            </w:tcMar>
            <w:vAlign w:val="center"/>
          </w:tcPr>
          <w:p>
            <w:pPr>
              <w:pStyle w:val="38"/>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bCs/>
                <w:color w:val="auto"/>
                <w:kern w:val="2"/>
                <w:sz w:val="21"/>
                <w:szCs w:val="21"/>
              </w:rPr>
            </w:pPr>
            <w:r>
              <w:rPr>
                <w:rFonts w:hint="default" w:ascii="Times New Roman" w:hAnsi="Times New Roman" w:cs="Times New Roman"/>
                <w:bCs/>
                <w:color w:val="auto"/>
                <w:spacing w:val="10"/>
                <w:kern w:val="2"/>
                <w:sz w:val="21"/>
                <w:szCs w:val="21"/>
              </w:rPr>
              <w:t>运营期生态环境影响分析</w:t>
            </w:r>
          </w:p>
        </w:tc>
        <w:tc>
          <w:tcPr>
            <w:tcW w:w="8363" w:type="dxa"/>
          </w:tcPr>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项目在勘探作业过程中，通过试气作业确定该井是否具备工业开采价值，若其不具备工业开采价值，则按照封井规范进行退役封井处置；若具备工业开采条件，则进行临时封井，后期进行后期产能开发。因此，本工程只涉及钻井期钻井、试气等作业，不涉及运营期，后续开采、集输工程需另行进行评价。</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Cs w:val="21"/>
              </w:rPr>
            </w:pPr>
            <w:r>
              <w:rPr>
                <w:rFonts w:hint="default" w:ascii="Times New Roman" w:hAnsi="Times New Roman" w:cs="Times New Roman"/>
                <w:bCs/>
                <w:color w:val="auto"/>
                <w:sz w:val="24"/>
              </w:rPr>
              <w:t>因此，本项目不涉及运营期生态环境影响。</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338" w:hRule="atLeast"/>
          <w:jc w:val="center"/>
        </w:trPr>
        <w:tc>
          <w:tcPr>
            <w:tcW w:w="879" w:type="dxa"/>
            <w:tcMar>
              <w:left w:w="28" w:type="dxa"/>
              <w:right w:w="28" w:type="dxa"/>
            </w:tcMar>
            <w:vAlign w:val="center"/>
          </w:tcPr>
          <w:p>
            <w:pPr>
              <w:pStyle w:val="38"/>
              <w:keepNext w:val="0"/>
              <w:keepLines w:val="0"/>
              <w:widowControl w:val="0"/>
              <w:suppressLineNumbers w:val="0"/>
              <w:adjustRightInd w:val="0"/>
              <w:snapToGrid w:val="0"/>
              <w:spacing w:before="0" w:beforeAutospacing="0" w:after="0" w:afterAutospacing="0"/>
              <w:ind w:left="0" w:right="0"/>
              <w:jc w:val="center"/>
              <w:rPr>
                <w:rFonts w:hint="default" w:ascii="Times New Roman" w:hAnsi="Times New Roman" w:cs="Times New Roman"/>
                <w:bCs/>
                <w:color w:val="auto"/>
                <w:spacing w:val="10"/>
                <w:kern w:val="2"/>
                <w:sz w:val="21"/>
                <w:szCs w:val="21"/>
              </w:rPr>
            </w:pPr>
            <w:r>
              <w:rPr>
                <w:rFonts w:hint="default" w:ascii="Times New Roman" w:hAnsi="Times New Roman" w:cs="Times New Roman"/>
                <w:bCs/>
                <w:color w:val="auto"/>
                <w:spacing w:val="10"/>
                <w:kern w:val="2"/>
                <w:sz w:val="21"/>
                <w:szCs w:val="21"/>
              </w:rPr>
              <w:t>选址选线环境合理性分析</w:t>
            </w:r>
          </w:p>
        </w:tc>
        <w:tc>
          <w:tcPr>
            <w:tcW w:w="8363" w:type="dxa"/>
          </w:tcPr>
          <w:p>
            <w:pPr>
              <w:keepNext w:val="0"/>
              <w:keepLines w:val="0"/>
              <w:suppressLineNumbers w:val="0"/>
              <w:adjustRightInd w:val="0"/>
              <w:snapToGrid w:val="0"/>
              <w:spacing w:before="0" w:beforeAutospacing="0" w:after="0" w:afterAutospacing="0" w:line="360" w:lineRule="auto"/>
              <w:ind w:left="0" w:right="0"/>
              <w:rPr>
                <w:rFonts w:hint="default" w:ascii="Times New Roman" w:hAnsi="Times New Roman" w:eastAsia="宋体" w:cs="Times New Roman"/>
                <w:b/>
                <w:bCs w:val="0"/>
                <w:color w:val="auto"/>
                <w:sz w:val="24"/>
                <w:lang w:val="en-US" w:eastAsia="zh-CN"/>
              </w:rPr>
            </w:pPr>
            <w:r>
              <w:rPr>
                <w:rFonts w:hint="eastAsia" w:cs="Times New Roman"/>
                <w:b/>
                <w:bCs w:val="0"/>
                <w:color w:val="auto"/>
                <w:sz w:val="24"/>
                <w:lang w:val="en-US" w:eastAsia="zh-CN"/>
              </w:rPr>
              <w:t>4.9选址合理性分析</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天然气开采具有明显的行业特殊性，在选址上很大程度上是“井下决定井上”，首先需考虑的是该区域是否含有天然气，是否具有开采价值。因此，在选择井口的时候具有很大的约束，是通过天然气所在区域来确定井口位置。</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参考《钻前工程及井场布置技术要求》（SY/T5466-2013）的相关规定：油、气井井口距高压线及其他永久性设施不小于75m，距民宅不小于100m，距铁路、高速公路不小于200m，距学校、医院和大型油库等人口密集性、高</w:t>
            </w:r>
            <w:r>
              <w:rPr>
                <w:rFonts w:hint="eastAsia" w:cs="Times New Roman"/>
                <w:bCs/>
                <w:color w:val="auto"/>
                <w:sz w:val="24"/>
                <w:lang w:eastAsia="zh-CN"/>
              </w:rPr>
              <w:t>危型</w:t>
            </w:r>
            <w:r>
              <w:rPr>
                <w:rFonts w:hint="default" w:ascii="Times New Roman" w:hAnsi="Times New Roman" w:cs="Times New Roman"/>
                <w:bCs/>
                <w:color w:val="auto"/>
                <w:sz w:val="24"/>
              </w:rPr>
              <w:t>场所不小于500m。在地下矿产采掘区钻井，井筒与采掘坑道、矿井坑道之间的距离不小于100m。工程井口与周围设施间距离等基本情况见下表。</w:t>
            </w:r>
          </w:p>
          <w:p>
            <w:pPr>
              <w:keepNext w:val="0"/>
              <w:keepLines w:val="0"/>
              <w:suppressLineNumbers w:val="0"/>
              <w:spacing w:before="0" w:beforeAutospacing="0" w:after="0" w:afterAutospacing="0" w:line="360" w:lineRule="auto"/>
              <w:ind w:left="0" w:right="0"/>
              <w:jc w:val="center"/>
              <w:rPr>
                <w:rFonts w:hint="default" w:ascii="Times New Roman" w:hAnsi="Times New Roman" w:cs="Times New Roman"/>
                <w:b/>
                <w:color w:val="auto"/>
                <w:sz w:val="24"/>
              </w:rPr>
            </w:pPr>
            <w:r>
              <w:rPr>
                <w:rFonts w:hint="default" w:ascii="Times New Roman" w:hAnsi="Times New Roman" w:cs="Times New Roman"/>
                <w:b/>
                <w:color w:val="auto"/>
                <w:sz w:val="24"/>
              </w:rPr>
              <w:t>表4-23 工程井口与周围设施间距离的符合性</w:t>
            </w:r>
          </w:p>
          <w:tbl>
            <w:tblPr>
              <w:tblStyle w:val="44"/>
              <w:tblW w:w="8137"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034"/>
              <w:gridCol w:w="1501"/>
              <w:gridCol w:w="2567"/>
              <w:gridCol w:w="203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203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名称</w:t>
                  </w:r>
                </w:p>
              </w:tc>
              <w:tc>
                <w:tcPr>
                  <w:tcW w:w="150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钻前工程井场技术要求</w:t>
                  </w:r>
                </w:p>
              </w:tc>
              <w:tc>
                <w:tcPr>
                  <w:tcW w:w="25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是否涉及居民区、铁路等</w:t>
                  </w:r>
                </w:p>
              </w:tc>
              <w:tc>
                <w:tcPr>
                  <w:tcW w:w="203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是否满足钻前技术要求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203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高压线及其他永久设施</w:t>
                  </w:r>
                </w:p>
              </w:tc>
              <w:tc>
                <w:tcPr>
                  <w:tcW w:w="150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≥75m</w:t>
                  </w:r>
                </w:p>
              </w:tc>
              <w:tc>
                <w:tcPr>
                  <w:tcW w:w="25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不涉及</w:t>
                  </w:r>
                </w:p>
              </w:tc>
              <w:tc>
                <w:tcPr>
                  <w:tcW w:w="203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满足要求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203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民宅</w:t>
                  </w:r>
                </w:p>
              </w:tc>
              <w:tc>
                <w:tcPr>
                  <w:tcW w:w="150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≥100m</w:t>
                  </w:r>
                </w:p>
              </w:tc>
              <w:tc>
                <w:tcPr>
                  <w:tcW w:w="25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井口100m范围内无民房</w:t>
                  </w:r>
                </w:p>
              </w:tc>
              <w:tc>
                <w:tcPr>
                  <w:tcW w:w="203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满足要求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203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铁路</w:t>
                  </w:r>
                </w:p>
              </w:tc>
              <w:tc>
                <w:tcPr>
                  <w:tcW w:w="150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≥200m</w:t>
                  </w:r>
                </w:p>
              </w:tc>
              <w:tc>
                <w:tcPr>
                  <w:tcW w:w="25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不涉及</w:t>
                  </w:r>
                </w:p>
              </w:tc>
              <w:tc>
                <w:tcPr>
                  <w:tcW w:w="203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满足要求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203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高速公路</w:t>
                  </w:r>
                </w:p>
              </w:tc>
              <w:tc>
                <w:tcPr>
                  <w:tcW w:w="150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≥200m</w:t>
                  </w:r>
                </w:p>
              </w:tc>
              <w:tc>
                <w:tcPr>
                  <w:tcW w:w="25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不涉及</w:t>
                  </w:r>
                </w:p>
              </w:tc>
              <w:tc>
                <w:tcPr>
                  <w:tcW w:w="203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满足要求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203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学校</w:t>
                  </w:r>
                </w:p>
              </w:tc>
              <w:tc>
                <w:tcPr>
                  <w:tcW w:w="150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≥500m</w:t>
                  </w:r>
                </w:p>
              </w:tc>
              <w:tc>
                <w:tcPr>
                  <w:tcW w:w="25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500m范围内不涉及</w:t>
                  </w:r>
                </w:p>
              </w:tc>
              <w:tc>
                <w:tcPr>
                  <w:tcW w:w="203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满足要求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203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医院</w:t>
                  </w:r>
                </w:p>
              </w:tc>
              <w:tc>
                <w:tcPr>
                  <w:tcW w:w="150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≥500m</w:t>
                  </w:r>
                </w:p>
              </w:tc>
              <w:tc>
                <w:tcPr>
                  <w:tcW w:w="25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500m范围内不涉及</w:t>
                  </w:r>
                </w:p>
              </w:tc>
              <w:tc>
                <w:tcPr>
                  <w:tcW w:w="203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满足要求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203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油库等高危险场所</w:t>
                  </w:r>
                </w:p>
              </w:tc>
              <w:tc>
                <w:tcPr>
                  <w:tcW w:w="150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≥500m</w:t>
                  </w:r>
                </w:p>
              </w:tc>
              <w:tc>
                <w:tcPr>
                  <w:tcW w:w="25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500m范围内不涉及</w:t>
                  </w:r>
                </w:p>
              </w:tc>
              <w:tc>
                <w:tcPr>
                  <w:tcW w:w="203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满足要求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203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集中居住地、人员密集区</w:t>
                  </w:r>
                </w:p>
              </w:tc>
              <w:tc>
                <w:tcPr>
                  <w:tcW w:w="150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≥500m</w:t>
                  </w:r>
                </w:p>
              </w:tc>
              <w:tc>
                <w:tcPr>
                  <w:tcW w:w="25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500m范围内不涉及</w:t>
                  </w:r>
                </w:p>
              </w:tc>
              <w:tc>
                <w:tcPr>
                  <w:tcW w:w="203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满足要求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69" w:hRule="atLeast"/>
              </w:trPr>
              <w:tc>
                <w:tcPr>
                  <w:tcW w:w="2034"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地下矿产采掘坑、矿井坑道</w:t>
                  </w:r>
                </w:p>
              </w:tc>
              <w:tc>
                <w:tcPr>
                  <w:tcW w:w="1501"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≥100m</w:t>
                  </w:r>
                </w:p>
              </w:tc>
              <w:tc>
                <w:tcPr>
                  <w:tcW w:w="2567"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不涉及</w:t>
                  </w:r>
                </w:p>
              </w:tc>
              <w:tc>
                <w:tcPr>
                  <w:tcW w:w="2035" w:type="dxa"/>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满足要求</w:t>
                  </w:r>
                </w:p>
              </w:tc>
            </w:tr>
          </w:tbl>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本项目放喷池距离井口距离约为133m。周边主要为旱地及少量杂草。放喷池周边100m无居民和其他建构筑物设施。因此，</w:t>
            </w:r>
            <w:r>
              <w:rPr>
                <w:rFonts w:hint="eastAsia" w:cs="Times New Roman"/>
                <w:bCs/>
                <w:color w:val="auto"/>
                <w:sz w:val="24"/>
                <w:lang w:eastAsia="zh-CN"/>
              </w:rPr>
              <w:t>普陆12HF井</w:t>
            </w:r>
            <w:r>
              <w:rPr>
                <w:rFonts w:hint="default" w:ascii="Times New Roman" w:hAnsi="Times New Roman" w:cs="Times New Roman"/>
                <w:bCs/>
                <w:color w:val="auto"/>
                <w:sz w:val="24"/>
              </w:rPr>
              <w:t>符合《钻前工程及井场布置技术要求》（SY/T5466-2013）的相关要求。</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项目产生的危险废物主要为油类，油类由废油桶收集。经调查，危废临时收集设施附近无自然保护区、风景名胜区</w:t>
            </w:r>
            <w:r>
              <w:rPr>
                <w:rFonts w:hint="eastAsia" w:cs="Times New Roman"/>
                <w:color w:val="auto"/>
                <w:sz w:val="24"/>
                <w:lang w:val="en-US" w:eastAsia="zh-CN"/>
              </w:rPr>
              <w:t>等</w:t>
            </w:r>
            <w:r>
              <w:rPr>
                <w:rFonts w:hint="default" w:ascii="Times New Roman" w:hAnsi="Times New Roman" w:cs="Times New Roman"/>
                <w:color w:val="auto"/>
                <w:sz w:val="24"/>
              </w:rPr>
              <w:t>敏感</w:t>
            </w:r>
            <w:r>
              <w:rPr>
                <w:rFonts w:hint="eastAsia" w:cs="Times New Roman"/>
                <w:color w:val="auto"/>
                <w:sz w:val="24"/>
                <w:lang w:val="en-US" w:eastAsia="zh-CN"/>
              </w:rPr>
              <w:t>对象</w:t>
            </w:r>
            <w:r>
              <w:rPr>
                <w:rFonts w:hint="default" w:ascii="Times New Roman" w:hAnsi="Times New Roman" w:cs="Times New Roman"/>
                <w:color w:val="auto"/>
                <w:sz w:val="24"/>
              </w:rPr>
              <w:t>分布，在采取措施后对其影响较小，各危废经分类收集后交由有资质单位进行处置。</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通过采取评价提出的技术经济可行的环保措施，该项目不改变区域环境功能，对周边居民的影响小，环境影响可接受。环境风险的防范和应急措施主要根据相关行业规范、环评导则要求以及在同行业类似项目采取的措施提出，环境风险可控。</w:t>
            </w:r>
          </w:p>
          <w:p>
            <w:pPr>
              <w:keepNext w:val="0"/>
              <w:keepLines w:val="0"/>
              <w:suppressLineNumbers w:val="0"/>
              <w:adjustRightInd w:val="0"/>
              <w:snapToGrid w:val="0"/>
              <w:spacing w:before="0" w:beforeAutospacing="0" w:after="0" w:afterAutospacing="0" w:line="360" w:lineRule="auto"/>
              <w:ind w:left="0" w:right="0"/>
              <w:rPr>
                <w:rFonts w:hint="default" w:ascii="Times New Roman" w:hAnsi="Times New Roman" w:cs="Times New Roman"/>
                <w:b/>
                <w:bCs/>
                <w:color w:val="auto"/>
                <w:sz w:val="24"/>
              </w:rPr>
            </w:pPr>
            <w:r>
              <w:rPr>
                <w:rFonts w:hint="eastAsia" w:cs="Times New Roman"/>
                <w:b/>
                <w:bCs/>
                <w:color w:val="auto"/>
                <w:sz w:val="24"/>
                <w:lang w:val="en-US" w:eastAsia="zh-CN"/>
              </w:rPr>
              <w:t>4.10</w:t>
            </w:r>
            <w:r>
              <w:rPr>
                <w:rFonts w:hint="default" w:ascii="Times New Roman" w:hAnsi="Times New Roman" w:cs="Times New Roman"/>
                <w:b/>
                <w:bCs/>
                <w:color w:val="auto"/>
                <w:sz w:val="24"/>
                <w:lang w:val="en-US" w:eastAsia="zh-CN"/>
              </w:rPr>
              <w:t xml:space="preserve"> 项目临时占用永久基本农田符合性分析</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lang w:val="en-US" w:eastAsia="zh-CN"/>
              </w:rPr>
              <w:t>项目占地包括井场占地、道路、油罐、放喷池、耕植土堆放区和生活区占地等，除井口区域外，其他占地均属于临时占地，占地类型以旱地为主。根据三区三线核实结果，项目</w:t>
            </w:r>
            <w:r>
              <w:rPr>
                <w:rFonts w:hint="eastAsia" w:cs="Times New Roman"/>
                <w:color w:val="auto"/>
                <w:sz w:val="24"/>
                <w:lang w:val="en-US" w:eastAsia="zh-CN"/>
              </w:rPr>
              <w:t>不</w:t>
            </w:r>
            <w:r>
              <w:rPr>
                <w:rFonts w:hint="default" w:ascii="Times New Roman" w:hAnsi="Times New Roman" w:cs="Times New Roman"/>
                <w:color w:val="auto"/>
                <w:sz w:val="24"/>
                <w:lang w:val="en-US" w:eastAsia="zh-CN"/>
              </w:rPr>
              <w:t>占用永久基本农田。项目与宣汉县永久基本农田位置关系如下图所示：</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textAlignment w:val="auto"/>
              <w:rPr>
                <w:rFonts w:hint="default" w:ascii="Times New Roman" w:hAnsi="Times New Roman" w:cs="Times New Roman"/>
                <w:color w:val="auto"/>
                <w:sz w:val="24"/>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default" w:ascii="Times New Roman" w:hAnsi="Times New Roman" w:cs="Times New Roman"/>
                <w:color w:val="auto"/>
                <w:sz w:val="24"/>
                <w:lang w:val="en-US"/>
              </w:rPr>
            </w:pPr>
            <w:r>
              <w:rPr>
                <w:rFonts w:hint="default" w:ascii="Times New Roman" w:hAnsi="Times New Roman" w:cs="Times New Roman"/>
                <w:color w:val="auto"/>
                <w:sz w:val="24"/>
                <w:lang w:val="en-US" w:eastAsia="zh-CN"/>
              </w:rPr>
              <w:t>评价要求严格控制施工范围，尽量不占用永久基本农田。建设单位在钻井工程施工过程中应做好临时占地表土集中堆放、截排水沟、表面覆盖等水土流失控制措施，临时占用应及时按土地复垦方式实施临时占地生态恢复，确保临时占地土地使用功能不降低。</w:t>
            </w:r>
          </w:p>
          <w:p>
            <w:pPr>
              <w:keepNext w:val="0"/>
              <w:keepLines w:val="0"/>
              <w:suppressLineNumbers w:val="0"/>
              <w:adjustRightInd w:val="0"/>
              <w:snapToGrid w:val="0"/>
              <w:spacing w:before="0" w:beforeAutospacing="0" w:after="0" w:afterAutospacing="0" w:line="360" w:lineRule="auto"/>
              <w:ind w:left="0" w:right="0"/>
              <w:rPr>
                <w:rFonts w:hint="eastAsia" w:cs="Times New Roman"/>
                <w:b/>
                <w:bCs/>
                <w:color w:val="auto"/>
                <w:sz w:val="24"/>
                <w:lang w:val="en-US" w:eastAsia="zh-CN"/>
              </w:rPr>
            </w:pPr>
            <w:r>
              <w:rPr>
                <w:rFonts w:hint="eastAsia" w:cs="Times New Roman"/>
                <w:b/>
                <w:bCs/>
                <w:color w:val="auto"/>
                <w:sz w:val="24"/>
                <w:lang w:val="en-US" w:eastAsia="zh-CN"/>
              </w:rPr>
              <w:t>4.11与《达州市集中式饮用水水源保护管理条例》符合性分析</w:t>
            </w:r>
          </w:p>
          <w:p>
            <w:pPr>
              <w:keepNext w:val="0"/>
              <w:keepLines w:val="0"/>
              <w:suppressLineNumbers w:val="0"/>
              <w:adjustRightInd w:val="0"/>
              <w:snapToGrid w:val="0"/>
              <w:spacing w:before="0" w:beforeAutospacing="0" w:after="0" w:afterAutospacing="0" w:line="360" w:lineRule="auto"/>
              <w:ind w:left="0" w:right="0" w:firstLine="480" w:firstLineChars="200"/>
              <w:rPr>
                <w:rFonts w:hint="eastAsia" w:cs="Times New Roman"/>
                <w:color w:val="auto"/>
                <w:sz w:val="24"/>
                <w:lang w:val="en-US" w:eastAsia="zh-CN"/>
              </w:rPr>
            </w:pPr>
            <w:r>
              <w:rPr>
                <w:rFonts w:hint="eastAsia" w:cs="Times New Roman"/>
                <w:color w:val="auto"/>
                <w:sz w:val="24"/>
                <w:lang w:val="en-US" w:eastAsia="zh-CN"/>
              </w:rPr>
              <w:t>根据达州市集中式饮用水水源保护管理条例符合性如下所示</w:t>
            </w:r>
          </w:p>
          <w:p>
            <w:pPr>
              <w:keepNext w:val="0"/>
              <w:keepLines w:val="0"/>
              <w:suppressLineNumbers w:val="0"/>
              <w:adjustRightInd w:val="0"/>
              <w:snapToGrid w:val="0"/>
              <w:spacing w:before="0" w:beforeAutospacing="0" w:after="0" w:afterAutospacing="0" w:line="360" w:lineRule="auto"/>
              <w:ind w:left="0" w:right="0"/>
              <w:jc w:val="center"/>
              <w:rPr>
                <w:rFonts w:hint="eastAsia" w:cs="Times New Roman"/>
                <w:color w:val="auto"/>
                <w:sz w:val="24"/>
                <w:lang w:val="en-US" w:eastAsia="zh-CN"/>
              </w:rPr>
            </w:pPr>
            <w:r>
              <w:rPr>
                <w:rFonts w:hint="eastAsia" w:cs="Times New Roman"/>
                <w:color w:val="auto"/>
                <w:sz w:val="24"/>
                <w:lang w:val="en-US" w:eastAsia="zh-CN"/>
              </w:rPr>
              <w:t>表4-24 《达州市集中式饮用水水源保护管理条例》符合性分析一览表</w:t>
            </w:r>
          </w:p>
          <w:tbl>
            <w:tblPr>
              <w:tblStyle w:val="45"/>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95"/>
              <w:gridCol w:w="4160"/>
              <w:gridCol w:w="2648"/>
              <w:gridCol w:w="61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48" w:type="dxa"/>
                  <w:tcBorders>
                    <w:tl2br w:val="nil"/>
                    <w:tr2bl w:val="nil"/>
                  </w:tcBorders>
                  <w:vAlign w:val="top"/>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序号</w:t>
                  </w:r>
                </w:p>
              </w:tc>
              <w:tc>
                <w:tcPr>
                  <w:tcW w:w="3878" w:type="dxa"/>
                  <w:tcBorders>
                    <w:tl2br w:val="nil"/>
                    <w:tr2bl w:val="nil"/>
                  </w:tcBorders>
                  <w:vAlign w:val="top"/>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要求</w:t>
                  </w:r>
                </w:p>
              </w:tc>
              <w:tc>
                <w:tcPr>
                  <w:tcW w:w="2468" w:type="dxa"/>
                  <w:tcBorders>
                    <w:tl2br w:val="nil"/>
                    <w:tr2bl w:val="nil"/>
                  </w:tcBorders>
                  <w:vAlign w:val="top"/>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本项目情况</w:t>
                  </w:r>
                </w:p>
              </w:tc>
              <w:tc>
                <w:tcPr>
                  <w:tcW w:w="572" w:type="dxa"/>
                  <w:tcBorders>
                    <w:tl2br w:val="nil"/>
                    <w:tr2bl w:val="nil"/>
                  </w:tcBorders>
                  <w:vAlign w:val="top"/>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648" w:type="dxa"/>
                  <w:tcBorders>
                    <w:tl2br w:val="nil"/>
                    <w:tr2bl w:val="nil"/>
                  </w:tcBorders>
                  <w:vAlign w:val="top"/>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1</w:t>
                  </w:r>
                </w:p>
              </w:tc>
              <w:tc>
                <w:tcPr>
                  <w:tcW w:w="3878" w:type="dxa"/>
                  <w:tcBorders>
                    <w:tl2br w:val="nil"/>
                    <w:tr2bl w:val="nil"/>
                  </w:tcBorders>
                  <w:vAlign w:val="top"/>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集中式地表水饮用水水源准保护区内，应当遵守下列规定：</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（一）禁止新建、扩建造纸、制革、印染、染料、炼焦、炼砷、炼油、电镀、农药、化工、冶炼等对水体污染严重的建设项目；改建建设项目，不得增加排污量；</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（二）禁止设置易溶性、有毒有害废弃物和危险废物的暂存和转运场所；禁止设置生活垃圾和工业固体废物的处置场所，生活垃圾转运站和工业固体废物暂存场所应当设置防护设施；</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（三）禁止进行可能影响饮用水水源水质的天然气、石灰石、盐卤等矿产勘查、开采等活动；</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（四）法律、法规禁止的其他行为。</w:t>
                  </w:r>
                </w:p>
              </w:tc>
              <w:tc>
                <w:tcPr>
                  <w:tcW w:w="2468" w:type="dxa"/>
                  <w:tcBorders>
                    <w:tl2br w:val="nil"/>
                    <w:tr2bl w:val="nil"/>
                  </w:tcBorders>
                  <w:vAlign w:val="top"/>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default" w:ascii="Times New Roman" w:hAnsi="Times New Roman" w:cs="Times New Roman"/>
                      <w:color w:val="auto"/>
                      <w:sz w:val="21"/>
                      <w:szCs w:val="21"/>
                      <w:lang w:val="en-US" w:eastAsia="zh-CN"/>
                    </w:rPr>
                  </w:pPr>
                  <w:r>
                    <w:rPr>
                      <w:rFonts w:hint="eastAsia" w:cs="Times New Roman"/>
                      <w:color w:val="auto"/>
                      <w:sz w:val="21"/>
                      <w:szCs w:val="21"/>
                      <w:lang w:val="en-US" w:eastAsia="zh-CN"/>
                    </w:rPr>
                    <w:t>本项目不涉及集中式地表水饮用水水源准保护区</w:t>
                  </w:r>
                </w:p>
              </w:tc>
              <w:tc>
                <w:tcPr>
                  <w:tcW w:w="572" w:type="dxa"/>
                  <w:tcBorders>
                    <w:tl2br w:val="nil"/>
                    <w:tr2bl w:val="nil"/>
                  </w:tcBorders>
                  <w:vAlign w:val="top"/>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69" w:hRule="atLeast"/>
                <w:jc w:val="center"/>
              </w:trPr>
              <w:tc>
                <w:tcPr>
                  <w:tcW w:w="648" w:type="dxa"/>
                  <w:tcBorders>
                    <w:tl2br w:val="nil"/>
                    <w:tr2bl w:val="nil"/>
                  </w:tcBorders>
                  <w:vAlign w:val="top"/>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2</w:t>
                  </w:r>
                </w:p>
              </w:tc>
              <w:tc>
                <w:tcPr>
                  <w:tcW w:w="3878" w:type="dxa"/>
                  <w:tcBorders>
                    <w:tl2br w:val="nil"/>
                    <w:tr2bl w:val="nil"/>
                  </w:tcBorders>
                  <w:vAlign w:val="top"/>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第二十条 集中式地表水饮用水水源二级保护区内，应当遵守下列规定：</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一）禁止新建、改建、扩建排放污染物的建设项目（含排污口不在保护区的建设项目）；已建成的排放污染物的建设项目，由市、县级人民政府责令限期拆除或者关闭；饮用水水源二级保护区内已存在的乡镇（居民聚居点）可以建设生活污水集中处理设施，生活污水经集中处理后排到水源保护区外；</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（二）禁止从事经营性取土和采石（砂）等活动；</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（三）禁止设置畜禽养殖场、养殖小区；</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（四）禁止从事网箱养殖、施肥养鱼、超标准养殖、投放暂存鱼、电鱼、炸鱼、毒鱼等污染饮用水水体的活动；</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（五）禁止使用农药；禁止丢弃农药、农药包装物或者清洗施药器械；限制使用化肥；</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（六）法律、法规和本条例第十九条禁止的其他行为。</w:t>
                  </w:r>
                </w:p>
              </w:tc>
              <w:tc>
                <w:tcPr>
                  <w:tcW w:w="2468" w:type="dxa"/>
                  <w:tcBorders>
                    <w:tl2br w:val="nil"/>
                    <w:tr2bl w:val="nil"/>
                  </w:tcBorders>
                  <w:vAlign w:val="top"/>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default"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本项目</w:t>
                  </w:r>
                  <w:r>
                    <w:rPr>
                      <w:rFonts w:hint="eastAsia" w:cs="Times New Roman"/>
                      <w:color w:val="auto"/>
                      <w:sz w:val="21"/>
                      <w:szCs w:val="21"/>
                      <w:lang w:val="en-US" w:eastAsia="zh-CN"/>
                    </w:rPr>
                    <w:t>不涉及集中式地表水饮用水水源二级保护区</w:t>
                  </w:r>
                </w:p>
              </w:tc>
              <w:tc>
                <w:tcPr>
                  <w:tcW w:w="572" w:type="dxa"/>
                  <w:tcBorders>
                    <w:tl2br w:val="nil"/>
                    <w:tr2bl w:val="nil"/>
                  </w:tcBorders>
                  <w:vAlign w:val="top"/>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69" w:hRule="atLeast"/>
                <w:jc w:val="center"/>
              </w:trPr>
              <w:tc>
                <w:tcPr>
                  <w:tcW w:w="648" w:type="dxa"/>
                  <w:tcBorders>
                    <w:tl2br w:val="nil"/>
                    <w:tr2bl w:val="nil"/>
                  </w:tcBorders>
                  <w:vAlign w:val="top"/>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3</w:t>
                  </w:r>
                </w:p>
              </w:tc>
              <w:tc>
                <w:tcPr>
                  <w:tcW w:w="3878" w:type="dxa"/>
                  <w:tcBorders>
                    <w:tl2br w:val="nil"/>
                    <w:tr2bl w:val="nil"/>
                  </w:tcBorders>
                  <w:vAlign w:val="top"/>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第二十一条 集中式地表水饮用水水源一级保护区内，应当遵守下列规定：</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（一）禁止从事餐饮、旅游、游泳、垂钓或者其他可能污染水体的活动；</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（二）法律、法规和本条例第十九条、第二十条禁止的行为。</w:t>
                  </w:r>
                </w:p>
              </w:tc>
              <w:tc>
                <w:tcPr>
                  <w:tcW w:w="2468" w:type="dxa"/>
                  <w:tcBorders>
                    <w:tl2br w:val="nil"/>
                    <w:tr2bl w:val="nil"/>
                  </w:tcBorders>
                  <w:vAlign w:val="top"/>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default" w:ascii="Times New Roman" w:hAnsi="Times New Roman" w:cs="Times New Roman"/>
                      <w:color w:val="auto"/>
                      <w:sz w:val="21"/>
                      <w:szCs w:val="21"/>
                      <w:lang w:val="en-US" w:eastAsia="zh-CN"/>
                    </w:rPr>
                  </w:pPr>
                  <w:r>
                    <w:rPr>
                      <w:rFonts w:hint="eastAsia" w:cs="Times New Roman"/>
                      <w:color w:val="auto"/>
                      <w:sz w:val="21"/>
                      <w:szCs w:val="21"/>
                      <w:lang w:val="en-US" w:eastAsia="zh-CN"/>
                    </w:rPr>
                    <w:t>本项目不涉及集中式地表水饮用水水源一级保护区</w:t>
                  </w:r>
                </w:p>
              </w:tc>
              <w:tc>
                <w:tcPr>
                  <w:tcW w:w="572" w:type="dxa"/>
                  <w:tcBorders>
                    <w:tl2br w:val="nil"/>
                    <w:tr2bl w:val="nil"/>
                  </w:tcBorders>
                  <w:vAlign w:val="top"/>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符合</w:t>
                  </w:r>
                </w:p>
              </w:tc>
            </w:tr>
          </w:tbl>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default" w:cs="Times New Roman"/>
                <w:color w:val="auto"/>
                <w:sz w:val="24"/>
                <w:lang w:val="en-US" w:eastAsia="zh-CN"/>
              </w:rPr>
            </w:pPr>
            <w:r>
              <w:rPr>
                <w:rFonts w:hint="eastAsia" w:cs="Times New Roman"/>
                <w:color w:val="auto"/>
                <w:sz w:val="24"/>
                <w:lang w:val="en-US" w:eastAsia="zh-CN"/>
              </w:rPr>
              <w:t>综上所述，本项目不涉及饮用水源保护区、自然保护区、风景名胜区等敏感对象，不涉及达州市生态保护红线，因此项目选址合理。</w:t>
            </w:r>
          </w:p>
        </w:tc>
      </w:tr>
    </w:tbl>
    <w:p>
      <w:pPr>
        <w:pStyle w:val="38"/>
        <w:jc w:val="center"/>
        <w:rPr>
          <w:rFonts w:hint="default" w:ascii="Times New Roman" w:hAnsi="Times New Roman" w:eastAsia="黑体" w:cs="Times New Roman"/>
          <w:snapToGrid w:val="0"/>
          <w:color w:val="auto"/>
          <w:sz w:val="21"/>
          <w:szCs w:val="21"/>
        </w:rPr>
        <w:sectPr>
          <w:pgSz w:w="11906" w:h="16838"/>
          <w:pgMar w:top="1417" w:right="1417" w:bottom="1417" w:left="1701" w:header="851" w:footer="1077" w:gutter="0"/>
          <w:pgBorders>
            <w:top w:val="none" w:sz="0" w:space="0"/>
            <w:left w:val="none" w:sz="0" w:space="0"/>
            <w:bottom w:val="none" w:sz="0" w:space="0"/>
            <w:right w:val="none" w:sz="0" w:space="0"/>
          </w:pgBorders>
          <w:cols w:space="720" w:num="1"/>
          <w:docGrid w:linePitch="312" w:charSpace="0"/>
        </w:sectPr>
      </w:pPr>
    </w:p>
    <w:p>
      <w:pPr>
        <w:pStyle w:val="38"/>
        <w:adjustRightInd w:val="0"/>
        <w:snapToGrid w:val="0"/>
        <w:spacing w:before="0" w:beforeAutospacing="0" w:after="0" w:afterAutospacing="0" w:line="14" w:lineRule="auto"/>
        <w:jc w:val="center"/>
        <w:rPr>
          <w:rFonts w:hint="default" w:ascii="Times New Roman" w:hAnsi="Times New Roman" w:eastAsia="黑体" w:cs="Times New Roman"/>
          <w:snapToGrid w:val="0"/>
          <w:color w:val="auto"/>
          <w:sz w:val="21"/>
          <w:szCs w:val="21"/>
        </w:rPr>
      </w:pPr>
    </w:p>
    <w:p>
      <w:pPr>
        <w:pStyle w:val="38"/>
        <w:jc w:val="center"/>
        <w:outlineLvl w:val="0"/>
        <w:rPr>
          <w:rFonts w:hint="default" w:ascii="Times New Roman" w:hAnsi="Times New Roman" w:eastAsia="黑体" w:cs="Times New Roman"/>
          <w:snapToGrid w:val="0"/>
          <w:color w:val="auto"/>
          <w:sz w:val="32"/>
          <w:szCs w:val="21"/>
        </w:rPr>
      </w:pPr>
      <w:r>
        <w:rPr>
          <w:rFonts w:hint="default" w:ascii="Times New Roman" w:hAnsi="Times New Roman" w:eastAsia="黑体" w:cs="Times New Roman"/>
          <w:snapToGrid w:val="0"/>
          <w:color w:val="auto"/>
          <w:sz w:val="32"/>
          <w:szCs w:val="21"/>
        </w:rPr>
        <w:t>五、主要生态环境保护措施</w:t>
      </w:r>
    </w:p>
    <w:tbl>
      <w:tblPr>
        <w:tblStyle w:val="44"/>
        <w:tblW w:w="921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53"/>
        <w:gridCol w:w="845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30" w:hRule="atLeast"/>
          <w:jc w:val="center"/>
        </w:trPr>
        <w:tc>
          <w:tcPr>
            <w:tcW w:w="753" w:type="dxa"/>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color w:val="auto"/>
                <w:szCs w:val="21"/>
              </w:rPr>
            </w:pPr>
            <w:r>
              <w:rPr>
                <w:rFonts w:hint="default" w:ascii="Times New Roman" w:hAnsi="Times New Roman" w:cs="Times New Roman"/>
                <w:bCs/>
                <w:color w:val="auto"/>
                <w:spacing w:val="10"/>
                <w:szCs w:val="21"/>
              </w:rPr>
              <w:t>施工期生态环境保护措施</w:t>
            </w:r>
          </w:p>
        </w:tc>
        <w:tc>
          <w:tcPr>
            <w:tcW w:w="8457" w:type="dxa"/>
          </w:tcPr>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5.1钻前工程环境保护措施</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5.1.1废气治理措施及可行性分析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（1）建设井场、放喷池等过程中，现场定期洒水，减少扬尘产生量和影响范围；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（2）运输建筑材料等车辆，车厢遮盖严密后方可运出场外；</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（3）对临时堆场及建筑材料（如水泥、砂石等）修建围护设施，并合理堆放物料，减少迎风面积，同时定时洒水，减少风对料堆表面细小颗粒物的侵蚀引起的扬尘量；</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由于钻前工程施工工时不长，施工人员不多，不会对当地环境空气造成明显不利影响，对周围环境影响是可接受的。</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5.1.2废水治理措施及可行性分析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钻前工程废水由施工废水和生活污水两部分组成。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（1）施工废水经沉淀处理后循环使用，不外排。</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（2）生活污水来自施工人员，施工期间生活污水产生量小，钻前工程人员生活污水依托周边农户已建设施处理。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拟建项目现场无生活污水产生和排放，不会对井场周边地表水产生影响。</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5.1.3噪声控制措施及可行性分析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（1）运输设备等车辆沿固定路线行驶，尽量减少鸣笛。</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（2）钻前工程建设时合理安排施工时间，在靠近民居点施工时不得深夜施工。</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拟建项目100m范围内无农户分布，周边农户较分散，施工噪声影响随施工的结束而消失，在当地环境可接受范围内。</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5.1.4固废处理措施可行性分析</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钻前工程施工期固体废物主要来自井场平整施工过程产生的垃圾，包括废弃包装材料、生活垃圾等。施工过程中产生的生活垃圾以及包装材料等固体废物统一收集，定期送往城镇垃圾处理系统处理。通过采取上述措施后，施工过程中产生的固废不会对环境产生影响。</w:t>
            </w:r>
          </w:p>
          <w:p>
            <w:pPr>
              <w:pStyle w:val="215"/>
              <w:keepNext w:val="0"/>
              <w:keepLines w:val="0"/>
              <w:suppressLineNumbers w:val="0"/>
              <w:spacing w:before="0" w:beforeAutospacing="0" w:after="0" w:afterAutospacing="0"/>
              <w:ind w:left="0" w:right="0" w:firstLine="0" w:firstLineChars="0"/>
              <w:rPr>
                <w:rFonts w:hint="default" w:ascii="Times New Roman" w:hAnsi="Times New Roman" w:cs="Times New Roman"/>
                <w:b/>
                <w:bCs/>
                <w:color w:val="auto"/>
                <w:szCs w:val="24"/>
              </w:rPr>
            </w:pPr>
            <w:r>
              <w:rPr>
                <w:rFonts w:hint="default" w:ascii="Times New Roman" w:hAnsi="Times New Roman" w:cs="Times New Roman"/>
                <w:b/>
                <w:bCs/>
                <w:color w:val="auto"/>
                <w:szCs w:val="24"/>
              </w:rPr>
              <w:t>5.1.5生态防治措施</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（1）施工期生态环境影响减缓与避免措施</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①本项目在满足施工条件下，严格控制临时施工范围，临时占地应避开植被良好区以及容易引起水土流失的地段，尽量减少对植被的破坏。施工期应避开雨天与大风天气，减少水土流失量。</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②制定严格的施工操作规范，建立施工期生态环境监理制度。</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③对因项目建设过程中形成的裸露地表，应及时采取绿化措施，选择适宜当地生长的乔灌木及草本品种。</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④做好施工的组织安排工作，减轻损失。应根据当地农业活动特点组织施工，减轻对农业生产破坏造成的损失。施工期应选择在一季作物生长期间完成，尽量不占用作物的生长时间。</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（2）施工迹地恢复</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竣工后及时拆除生活区等临时设施，并进行迹地恢复，种植区域常见植物。对施工期临时占用的耕地，应严格按照占多少还多少的原则，予以全部还耕；对施工区形成的裸地要及时采取工程措施，可绿化的土地要全部进行绿化。场地内建筑物垃圾、生活垃圾清扫干净后，施工单位方可退场，防止工程弃渣挤占植被生存空间。</w:t>
            </w:r>
          </w:p>
          <w:p>
            <w:pPr>
              <w:pStyle w:val="215"/>
              <w:keepNext w:val="0"/>
              <w:keepLines w:val="0"/>
              <w:suppressLineNumbers w:val="0"/>
              <w:spacing w:before="0" w:beforeAutospacing="0" w:after="0" w:afterAutospacing="0"/>
              <w:ind w:left="0" w:right="0" w:firstLine="0" w:firstLineChars="0"/>
              <w:rPr>
                <w:rFonts w:hint="default" w:ascii="Times New Roman" w:hAnsi="Times New Roman" w:cs="Times New Roman"/>
                <w:b/>
                <w:bCs/>
                <w:color w:val="auto"/>
                <w:szCs w:val="24"/>
              </w:rPr>
            </w:pPr>
            <w:r>
              <w:rPr>
                <w:rFonts w:hint="default" w:ascii="Times New Roman" w:hAnsi="Times New Roman" w:cs="Times New Roman"/>
                <w:b/>
                <w:bCs/>
                <w:color w:val="auto"/>
                <w:szCs w:val="24"/>
              </w:rPr>
              <w:t>5.2钻井工程环境保护措施</w:t>
            </w:r>
          </w:p>
          <w:p>
            <w:pPr>
              <w:pStyle w:val="215"/>
              <w:keepNext w:val="0"/>
              <w:keepLines w:val="0"/>
              <w:suppressLineNumbers w:val="0"/>
              <w:spacing w:before="0" w:beforeAutospacing="0" w:after="0" w:afterAutospacing="0"/>
              <w:ind w:left="0" w:right="0" w:firstLine="0" w:firstLineChars="0"/>
              <w:rPr>
                <w:rFonts w:hint="default" w:ascii="Times New Roman" w:hAnsi="Times New Roman" w:cs="Times New Roman"/>
                <w:b/>
                <w:bCs/>
                <w:color w:val="auto"/>
                <w:szCs w:val="24"/>
              </w:rPr>
            </w:pPr>
            <w:r>
              <w:rPr>
                <w:rFonts w:hint="default" w:ascii="Times New Roman" w:hAnsi="Times New Roman" w:cs="Times New Roman"/>
                <w:b/>
                <w:bCs/>
                <w:color w:val="auto"/>
                <w:szCs w:val="24"/>
              </w:rPr>
              <w:t>5.2.1废气治理措施及可行性分析</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（1）气体钻粉尘</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对于本项目使用气体钻时会返出一定量的粉尘，从而导致周围空气粉尘量增加。本项目在气体钻的排屑管处喷淋降尘，同时产生的污水及泥砂进入</w:t>
            </w:r>
            <w:r>
              <w:rPr>
                <w:rFonts w:hint="eastAsia" w:cs="Times New Roman"/>
                <w:color w:val="auto"/>
                <w:szCs w:val="24"/>
                <w:lang w:val="en-US" w:eastAsia="zh-CN"/>
              </w:rPr>
              <w:t>泥浆不落地平台</w:t>
            </w:r>
            <w:r>
              <w:rPr>
                <w:rFonts w:hint="default" w:ascii="Times New Roman" w:hAnsi="Times New Roman" w:cs="Times New Roman"/>
                <w:color w:val="auto"/>
                <w:szCs w:val="24"/>
              </w:rPr>
              <w:t>处理。由于产生的粉尘量小，因此对周围环境影响较小。</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（2）备用柴油发电机燃烧废气</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本项目优先采用网电钻井，仅停电情况下采用柴油发电机提供动力，柴油燃烧过程烟尘和NO</w:t>
            </w:r>
            <w:r>
              <w:rPr>
                <w:rFonts w:hint="default" w:ascii="Times New Roman" w:hAnsi="Times New Roman" w:cs="Times New Roman"/>
                <w:color w:val="auto"/>
                <w:szCs w:val="24"/>
                <w:vertAlign w:val="subscript"/>
              </w:rPr>
              <w:t>X</w:t>
            </w:r>
            <w:r>
              <w:rPr>
                <w:rFonts w:hint="default" w:ascii="Times New Roman" w:hAnsi="Times New Roman" w:cs="Times New Roman"/>
                <w:color w:val="auto"/>
                <w:szCs w:val="24"/>
              </w:rPr>
              <w:t>经柴油发电机</w:t>
            </w:r>
            <w:r>
              <w:rPr>
                <w:rFonts w:hint="eastAsia" w:ascii="Times New Roman" w:hAnsi="Times New Roman" w:cs="Times New Roman"/>
                <w:color w:val="auto"/>
                <w:szCs w:val="24"/>
                <w:lang w:eastAsia="zh-CN"/>
              </w:rPr>
              <w:t>自带</w:t>
            </w:r>
            <w:r>
              <w:rPr>
                <w:rFonts w:hint="default" w:ascii="Times New Roman" w:hAnsi="Times New Roman" w:cs="Times New Roman"/>
                <w:color w:val="auto"/>
                <w:szCs w:val="24"/>
              </w:rPr>
              <w:t>尾气处理系统处理后由自带排气筒排放。柴油机使用高效节能环保型柴油发电机和优质燃油，柴油发电机燃烧废气进入大气中后将很快被稀释，且其影响的持续时间较短，钻井期间的大气污染物将随钻井工程的结束而消除，故对环境空气影响较小。</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（3）事故放喷废气</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钻井进入目的层后，有可能遇到异常高压气流，如果井内泥浆密度值过低，达不到平衡井内压力要求，就可能发生井喷。此时利用防喷器迅速封闭井口，若井口压力过高，则打开防喷管线阀门泄压，放喷的天然气立即点火烧掉，事故放喷一般时间较短，约2～4h，属于临时排放。</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综上所述，新增废气主要为施工废气，同时根据钻井进度，项目钻井周期6个月，排气时间短，项目仅有施工期的特性，不改变区域的环境空气功能，故项目对所在区域大气环境影响可接受。</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5.2.2废水治理措施及可行性分析</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eastAsia" w:ascii="Times New Roman" w:hAnsi="Times New Roman" w:cs="Times New Roman"/>
                <w:color w:val="auto"/>
                <w:szCs w:val="24"/>
                <w:lang w:eastAsia="zh-CN"/>
              </w:rPr>
              <w:t>（</w:t>
            </w:r>
            <w:r>
              <w:rPr>
                <w:rFonts w:hint="eastAsia" w:ascii="Times New Roman" w:hAnsi="Times New Roman" w:cs="Times New Roman"/>
                <w:color w:val="auto"/>
                <w:szCs w:val="24"/>
                <w:lang w:val="en-US" w:eastAsia="zh-CN"/>
              </w:rPr>
              <w:t>1</w:t>
            </w:r>
            <w:r>
              <w:rPr>
                <w:rFonts w:hint="eastAsia" w:ascii="Times New Roman" w:hAnsi="Times New Roman" w:cs="Times New Roman"/>
                <w:color w:val="auto"/>
                <w:szCs w:val="24"/>
                <w:lang w:eastAsia="zh-CN"/>
              </w:rPr>
              <w:t>）</w:t>
            </w:r>
            <w:r>
              <w:rPr>
                <w:rFonts w:hint="default" w:ascii="Times New Roman" w:hAnsi="Times New Roman" w:cs="Times New Roman"/>
                <w:color w:val="auto"/>
                <w:szCs w:val="24"/>
              </w:rPr>
              <w:t>废水产生</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本项目钻井工程主要产生的废水主要包括钻井废水、雨水、生活污水。</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eastAsia" w:ascii="Times New Roman" w:hAnsi="Times New Roman" w:cs="Times New Roman"/>
                <w:color w:val="auto"/>
                <w:szCs w:val="24"/>
                <w:lang w:eastAsia="zh-CN"/>
              </w:rPr>
              <w:t>（</w:t>
            </w:r>
            <w:r>
              <w:rPr>
                <w:rFonts w:hint="eastAsia" w:ascii="Times New Roman" w:hAnsi="Times New Roman" w:cs="Times New Roman"/>
                <w:color w:val="auto"/>
                <w:szCs w:val="24"/>
                <w:lang w:val="en-US" w:eastAsia="zh-CN"/>
              </w:rPr>
              <w:t>2</w:t>
            </w:r>
            <w:r>
              <w:rPr>
                <w:rFonts w:hint="eastAsia" w:ascii="Times New Roman" w:hAnsi="Times New Roman" w:cs="Times New Roman"/>
                <w:color w:val="auto"/>
                <w:szCs w:val="24"/>
                <w:lang w:eastAsia="zh-CN"/>
              </w:rPr>
              <w:t>）</w:t>
            </w:r>
            <w:r>
              <w:rPr>
                <w:rFonts w:hint="default" w:ascii="Times New Roman" w:hAnsi="Times New Roman" w:cs="Times New Roman"/>
                <w:color w:val="auto"/>
                <w:szCs w:val="24"/>
              </w:rPr>
              <w:t>环保措施</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a.井场内四周设排水边沟，清洁雨水随四周排水边沟汇至排放口，场内污染区初期雨水收集进入循环罐内暂存后回用，不外排。</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b.钻井废水临时存放于循环罐中，</w:t>
            </w:r>
            <w:r>
              <w:rPr>
                <w:rFonts w:hint="default" w:ascii="Times New Roman" w:hAnsi="Times New Roman" w:cs="Times New Roman"/>
                <w:color w:val="auto"/>
                <w:szCs w:val="24"/>
                <w:lang w:val="en-US" w:eastAsia="zh-CN"/>
              </w:rPr>
              <w:t>优先</w:t>
            </w:r>
            <w:r>
              <w:rPr>
                <w:rFonts w:hint="default" w:ascii="Times New Roman" w:hAnsi="Times New Roman" w:cs="Times New Roman"/>
                <w:color w:val="auto"/>
                <w:szCs w:val="24"/>
              </w:rPr>
              <w:t>回用于</w:t>
            </w:r>
            <w:r>
              <w:rPr>
                <w:rFonts w:hint="default" w:ascii="Times New Roman" w:hAnsi="Times New Roman" w:cs="Times New Roman"/>
                <w:color w:val="auto"/>
                <w:szCs w:val="24"/>
                <w:lang w:val="en-US" w:eastAsia="zh-CN"/>
              </w:rPr>
              <w:t>钻井</w:t>
            </w:r>
            <w:r>
              <w:rPr>
                <w:rFonts w:hint="default" w:ascii="Times New Roman" w:hAnsi="Times New Roman" w:cs="Times New Roman"/>
                <w:color w:val="auto"/>
                <w:szCs w:val="24"/>
              </w:rPr>
              <w:t>工序</w:t>
            </w:r>
            <w:r>
              <w:rPr>
                <w:rFonts w:hint="default" w:ascii="Times New Roman" w:hAnsi="Times New Roman" w:cs="Times New Roman"/>
                <w:color w:val="auto"/>
                <w:szCs w:val="24"/>
                <w:lang w:eastAsia="zh-CN"/>
              </w:rPr>
              <w:t>，</w:t>
            </w:r>
            <w:r>
              <w:rPr>
                <w:rFonts w:hint="default" w:ascii="Times New Roman" w:hAnsi="Times New Roman" w:cs="Times New Roman"/>
                <w:color w:val="auto"/>
                <w:szCs w:val="24"/>
                <w:lang w:val="en-US" w:eastAsia="zh-CN"/>
              </w:rPr>
              <w:t>不能回用的废水由罐车转运至</w:t>
            </w:r>
            <w:r>
              <w:rPr>
                <w:rFonts w:hint="eastAsia" w:ascii="Times New Roman" w:hAnsi="Times New Roman" w:cs="Times New Roman"/>
                <w:color w:val="auto"/>
                <w:szCs w:val="24"/>
                <w:lang w:val="en-US" w:eastAsia="zh-CN"/>
              </w:rPr>
              <w:t>赵家坝污水处理站</w:t>
            </w:r>
            <w:r>
              <w:rPr>
                <w:rFonts w:hint="default" w:ascii="Times New Roman" w:hAnsi="Times New Roman" w:cs="Times New Roman"/>
                <w:color w:val="auto"/>
                <w:szCs w:val="24"/>
                <w:lang w:val="en-US" w:eastAsia="zh-CN"/>
              </w:rPr>
              <w:t>处理后运至普光3井等回注站回注；随岩屑带走的部分废水由岩屑处理单位处理后回用（主要用于喷淋降尘用水），无法回用时由罐车转运至</w:t>
            </w:r>
            <w:r>
              <w:rPr>
                <w:rFonts w:hint="eastAsia" w:ascii="Times New Roman" w:hAnsi="Times New Roman" w:cs="Times New Roman"/>
                <w:color w:val="auto"/>
                <w:szCs w:val="24"/>
                <w:lang w:val="en-US" w:eastAsia="zh-CN"/>
              </w:rPr>
              <w:t>赵家坝污水处理站</w:t>
            </w:r>
            <w:r>
              <w:rPr>
                <w:rFonts w:hint="default" w:ascii="Times New Roman" w:hAnsi="Times New Roman" w:cs="Times New Roman"/>
                <w:color w:val="auto"/>
                <w:szCs w:val="24"/>
                <w:lang w:val="en-US" w:eastAsia="zh-CN"/>
              </w:rPr>
              <w:t>处理后运至普光3井等回注站回注</w:t>
            </w:r>
            <w:r>
              <w:rPr>
                <w:rFonts w:hint="default" w:ascii="Times New Roman" w:hAnsi="Times New Roman" w:cs="Times New Roman"/>
                <w:color w:val="auto"/>
                <w:szCs w:val="24"/>
              </w:rPr>
              <w:t>。</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c.生活污水经生态环保厕所收集拉运至</w:t>
            </w:r>
            <w:r>
              <w:rPr>
                <w:rFonts w:hint="eastAsia" w:ascii="Times New Roman" w:hAnsi="Times New Roman" w:cs="Times New Roman"/>
                <w:color w:val="auto"/>
                <w:szCs w:val="24"/>
                <w:lang w:eastAsia="zh-CN"/>
              </w:rPr>
              <w:t>普光镇</w:t>
            </w:r>
            <w:r>
              <w:rPr>
                <w:rFonts w:hint="default" w:ascii="Times New Roman" w:hAnsi="Times New Roman" w:cs="Times New Roman"/>
                <w:color w:val="auto"/>
                <w:szCs w:val="24"/>
              </w:rPr>
              <w:t>污水处理厂处理，员工洗澡、食堂废水经收集池单独收集后拉运至</w:t>
            </w:r>
            <w:r>
              <w:rPr>
                <w:rFonts w:hint="eastAsia" w:ascii="Times New Roman" w:hAnsi="Times New Roman" w:cs="Times New Roman"/>
                <w:color w:val="auto"/>
                <w:szCs w:val="24"/>
                <w:lang w:eastAsia="zh-CN"/>
              </w:rPr>
              <w:t>普光镇</w:t>
            </w:r>
            <w:r>
              <w:rPr>
                <w:rFonts w:hint="default" w:ascii="Times New Roman" w:hAnsi="Times New Roman" w:cs="Times New Roman"/>
                <w:color w:val="auto"/>
                <w:szCs w:val="24"/>
              </w:rPr>
              <w:t>污水处理厂处理。</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d. 对相关罐体采取严格的防渗、防溢流、防泄漏、防腐蚀等措施，项目防渗措施完整，正常工况下物料或污水等不会渗漏和进入地下，对地下水不会造成污染。</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施工期采取以上废水污染治理措施后，本项目施工期废水对环境影响较小，废水污染治理措施技术经济合理可行。</w:t>
            </w:r>
          </w:p>
          <w:p>
            <w:pPr>
              <w:pStyle w:val="215"/>
              <w:keepNext w:val="0"/>
              <w:keepLines w:val="0"/>
              <w:suppressLineNumbers w:val="0"/>
              <w:spacing w:before="0" w:beforeAutospacing="0" w:after="0" w:afterAutospacing="0"/>
              <w:ind w:left="0" w:right="0" w:firstLine="482"/>
              <w:rPr>
                <w:rFonts w:hint="default" w:ascii="Times New Roman" w:hAnsi="Times New Roman" w:cs="Times New Roman"/>
                <w:b/>
                <w:bCs/>
                <w:color w:val="auto"/>
                <w:szCs w:val="24"/>
              </w:rPr>
            </w:pPr>
            <w:r>
              <w:rPr>
                <w:rFonts w:hint="default" w:ascii="Times New Roman" w:hAnsi="Times New Roman" w:cs="Times New Roman"/>
                <w:b/>
                <w:bCs/>
                <w:color w:val="auto"/>
                <w:szCs w:val="24"/>
              </w:rPr>
              <w:t>可行性分析：</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根据调查，本项目附近场镇污水处理厂为</w:t>
            </w:r>
            <w:r>
              <w:rPr>
                <w:rFonts w:hint="eastAsia" w:ascii="Times New Roman" w:hAnsi="Times New Roman" w:cs="Times New Roman"/>
                <w:color w:val="auto"/>
                <w:szCs w:val="24"/>
                <w:lang w:eastAsia="zh-CN"/>
              </w:rPr>
              <w:t>普光镇</w:t>
            </w:r>
            <w:r>
              <w:rPr>
                <w:rFonts w:hint="default" w:ascii="Times New Roman" w:hAnsi="Times New Roman" w:cs="Times New Roman"/>
                <w:color w:val="auto"/>
                <w:szCs w:val="24"/>
              </w:rPr>
              <w:t>污水处理厂，位于达州市宣汉县</w:t>
            </w:r>
            <w:r>
              <w:rPr>
                <w:rFonts w:hint="eastAsia" w:ascii="Times New Roman" w:hAnsi="Times New Roman" w:cs="Times New Roman"/>
                <w:color w:val="auto"/>
                <w:szCs w:val="24"/>
                <w:lang w:eastAsia="zh-CN"/>
              </w:rPr>
              <w:t>普光镇</w:t>
            </w:r>
            <w:r>
              <w:rPr>
                <w:rFonts w:hint="default" w:ascii="Times New Roman" w:hAnsi="Times New Roman" w:cs="Times New Roman"/>
                <w:color w:val="auto"/>
                <w:szCs w:val="24"/>
              </w:rPr>
              <w:t>谢生坝，设计处理规模为200m</w:t>
            </w:r>
            <w:r>
              <w:rPr>
                <w:rFonts w:hint="default" w:ascii="Times New Roman" w:hAnsi="Times New Roman" w:cs="Times New Roman"/>
                <w:color w:val="auto"/>
                <w:szCs w:val="24"/>
                <w:vertAlign w:val="superscript"/>
              </w:rPr>
              <w:t>3</w:t>
            </w:r>
            <w:r>
              <w:rPr>
                <w:rFonts w:hint="default" w:ascii="Times New Roman" w:hAnsi="Times New Roman" w:cs="Times New Roman"/>
                <w:color w:val="auto"/>
                <w:szCs w:val="24"/>
              </w:rPr>
              <w:t>/d，污水处理厂主要收集处理宣汉县</w:t>
            </w:r>
            <w:r>
              <w:rPr>
                <w:rFonts w:hint="eastAsia" w:ascii="Times New Roman" w:hAnsi="Times New Roman" w:cs="Times New Roman"/>
                <w:color w:val="auto"/>
                <w:szCs w:val="24"/>
                <w:lang w:eastAsia="zh-CN"/>
              </w:rPr>
              <w:t>普光镇</w:t>
            </w:r>
            <w:r>
              <w:rPr>
                <w:rFonts w:hint="default" w:ascii="Times New Roman" w:hAnsi="Times New Roman" w:cs="Times New Roman"/>
                <w:color w:val="auto"/>
                <w:szCs w:val="24"/>
              </w:rPr>
              <w:t>场镇居民生活污水，处理工艺采用CASS工艺处理工艺，出水排放标准为《城镇污水处理厂污染物排放标准》（GB18919-2002）一级A标准。</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本项目最大生活污水产生量约7.2m</w:t>
            </w:r>
            <w:r>
              <w:rPr>
                <w:rFonts w:hint="default" w:ascii="Times New Roman" w:hAnsi="Times New Roman" w:cs="Times New Roman"/>
                <w:color w:val="auto"/>
                <w:szCs w:val="24"/>
                <w:vertAlign w:val="superscript"/>
              </w:rPr>
              <w:t>3</w:t>
            </w:r>
            <w:r>
              <w:rPr>
                <w:rFonts w:hint="default" w:ascii="Times New Roman" w:hAnsi="Times New Roman" w:cs="Times New Roman"/>
                <w:color w:val="auto"/>
                <w:szCs w:val="24"/>
              </w:rPr>
              <w:t>/d，排放因子为常规生活污水因子COD、BOD</w:t>
            </w:r>
            <w:r>
              <w:rPr>
                <w:rFonts w:hint="default" w:ascii="Times New Roman" w:hAnsi="Times New Roman" w:cs="Times New Roman"/>
                <w:color w:val="auto"/>
                <w:szCs w:val="24"/>
                <w:vertAlign w:val="subscript"/>
              </w:rPr>
              <w:t>5</w:t>
            </w:r>
            <w:r>
              <w:rPr>
                <w:rFonts w:hint="default" w:ascii="Times New Roman" w:hAnsi="Times New Roman" w:cs="Times New Roman"/>
                <w:color w:val="auto"/>
                <w:szCs w:val="24"/>
              </w:rPr>
              <w:t>、氨氮等，排放浓度不高，因此对</w:t>
            </w:r>
            <w:r>
              <w:rPr>
                <w:rFonts w:hint="eastAsia" w:ascii="Times New Roman" w:hAnsi="Times New Roman" w:cs="Times New Roman"/>
                <w:color w:val="auto"/>
                <w:szCs w:val="24"/>
                <w:lang w:eastAsia="zh-CN"/>
              </w:rPr>
              <w:t>普光镇</w:t>
            </w:r>
            <w:r>
              <w:rPr>
                <w:rFonts w:hint="default" w:ascii="Times New Roman" w:hAnsi="Times New Roman" w:cs="Times New Roman"/>
                <w:color w:val="auto"/>
                <w:szCs w:val="24"/>
              </w:rPr>
              <w:t>污水处理厂冲击不大，能够满足本项目生活污水处理要求。</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5.2.3噪声治理措施及可行性分析</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根据钻井阶段噪声预测结果可知，钻井作业昼间井口周边敏感点均能满足《声环境质量标准》（GB3096-2008）2类标准。</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为了减缓噪声扰民情况，本评价提出以下噪声防治措施：</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（1）发电机设置于发电机房内、并采取基础减振、安装吸声材料等降噪措施，柴油发电机排气筒设消声罩。同时在钻井过程中平稳操作，避免特种作业时产生非正常的噪声。</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（2）由于项目钻井期间施工噪声对周边农户影响较明显，建议建设单位根据钻井实际影响情况对受影响的农户，</w:t>
            </w:r>
            <w:r>
              <w:rPr>
                <w:rFonts w:hint="eastAsia" w:ascii="Times New Roman" w:hAnsi="Times New Roman" w:cs="Times New Roman"/>
                <w:color w:val="auto"/>
                <w:szCs w:val="24"/>
                <w:lang w:val="en-US" w:eastAsia="zh-CN"/>
              </w:rPr>
              <w:t>采取</w:t>
            </w:r>
            <w:r>
              <w:rPr>
                <w:rFonts w:hint="default" w:ascii="Times New Roman" w:hAnsi="Times New Roman" w:cs="Times New Roman"/>
                <w:color w:val="auto"/>
                <w:szCs w:val="24"/>
              </w:rPr>
              <w:t>临时安置</w:t>
            </w:r>
            <w:r>
              <w:rPr>
                <w:rFonts w:hint="eastAsia" w:ascii="Times New Roman" w:hAnsi="Times New Roman" w:cs="Times New Roman"/>
                <w:color w:val="auto"/>
                <w:szCs w:val="24"/>
                <w:lang w:val="en-US" w:eastAsia="zh-CN"/>
              </w:rPr>
              <w:t>等措施</w:t>
            </w:r>
            <w:r>
              <w:rPr>
                <w:rFonts w:hint="default" w:ascii="Times New Roman" w:hAnsi="Times New Roman" w:cs="Times New Roman"/>
                <w:color w:val="auto"/>
                <w:szCs w:val="24"/>
              </w:rPr>
              <w:t>，以降低项目施工期对农户的影响。</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（3）施工方在钻井作业期间应加强施工管理，钻机、泥浆泵、压裂车等设备应做好日常维护，同时在操作时做到平稳操作，避免特种作业时产生非正常的噪声。</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（4）钻井阶段运输车辆沿规定路线行驶，减少鸣笛。</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（5）在设备选型时尽可能选用低噪声设备，合理布置施工总平面布置，较强噪声源尽可能远离周边的敏感点。</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（6）合理安排施工强度，尽量缩短施工周期。</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综上所述：通过以上措施，拟建项目施工期噪声对声环境的影响是可以接受的。同时由于钻井噪声属于施工噪声，钻井作业时间及压裂作业时间较短，随着钻井工程的结束，拟建项目对周边环境造成的影响也会随之消失。</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5.2.4固体废物治理措施及可行性分析</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①固废产生</w:t>
            </w:r>
          </w:p>
          <w:p>
            <w:pPr>
              <w:pStyle w:val="215"/>
              <w:keepNext w:val="0"/>
              <w:keepLines w:val="0"/>
              <w:suppressLineNumbers w:val="0"/>
              <w:spacing w:before="0" w:beforeAutospacing="0" w:after="0" w:afterAutospacing="0"/>
              <w:ind w:left="0" w:right="0"/>
              <w:rPr>
                <w:rFonts w:hint="default" w:ascii="Times New Roman" w:hAnsi="Times New Roman" w:eastAsia="宋体" w:cs="Times New Roman"/>
                <w:color w:val="auto"/>
                <w:szCs w:val="24"/>
                <w:lang w:val="en-US" w:eastAsia="zh-CN"/>
              </w:rPr>
            </w:pPr>
            <w:r>
              <w:rPr>
                <w:rFonts w:hint="default" w:ascii="Times New Roman" w:hAnsi="Times New Roman" w:cs="Times New Roman"/>
                <w:color w:val="auto"/>
                <w:szCs w:val="24"/>
              </w:rPr>
              <w:t>本项目施工期固废主要为清水岩屑、水基岩屑、废水基泥浆、废油、生活垃圾等其他固废。</w:t>
            </w:r>
            <w:r>
              <w:rPr>
                <w:rFonts w:hint="eastAsia" w:cs="Times New Roman"/>
                <w:color w:val="auto"/>
                <w:szCs w:val="24"/>
                <w:lang w:val="en-US" w:eastAsia="zh-CN"/>
              </w:rPr>
              <w:t>若三开阶段常规水基钻井液不能满足安全要求时，更换为油基钻井液，则会产生油基岩屑及油基泥浆。</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②环保措施</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本项目采用泥浆不落地措施，项目产生的废水基泥浆与常规钻产生的废清水岩屑、水基岩屑一起采取泥浆不落地措施，按照《达州市生态环境局办公室关于进一步加强固体废物污染防治工作的通知》（达市环办发〔2021〕24号）要求，就近交给依法取得生态环境部门关于利用和处置相关工业固体废物项目环评批复、具有处理处置相应固体废物能力并配套建设有废气、废水、固废等污染物治理设施的单位进行资源化利用；废油暂存于危险废物贮存点，面积约5</w:t>
            </w:r>
            <w:r>
              <w:rPr>
                <w:rFonts w:hint="default" w:ascii="Times New Roman" w:hAnsi="Times New Roman" w:cs="Times New Roman"/>
                <w:color w:val="auto"/>
                <w:szCs w:val="24"/>
                <w:lang w:val="en-US" w:eastAsia="zh-CN"/>
              </w:rPr>
              <w:t>0</w:t>
            </w:r>
            <w:r>
              <w:rPr>
                <w:rFonts w:hint="default" w:ascii="Times New Roman" w:hAnsi="Times New Roman" w:cs="Times New Roman"/>
                <w:color w:val="auto"/>
                <w:szCs w:val="24"/>
              </w:rPr>
              <w:t>m</w:t>
            </w:r>
            <w:r>
              <w:rPr>
                <w:rFonts w:hint="default" w:ascii="Times New Roman" w:hAnsi="Times New Roman" w:cs="Times New Roman"/>
                <w:color w:val="auto"/>
                <w:szCs w:val="24"/>
                <w:vertAlign w:val="superscript"/>
              </w:rPr>
              <w:t>2</w:t>
            </w:r>
            <w:r>
              <w:rPr>
                <w:rFonts w:hint="default" w:ascii="Times New Roman" w:hAnsi="Times New Roman" w:cs="Times New Roman"/>
                <w:color w:val="auto"/>
                <w:szCs w:val="24"/>
              </w:rPr>
              <w:t>，暂存间地面采取必要的防护措施（防风、防雨、防晒、防渗、防漏、防腐）及其他环境污染防护措施，并及时经有危废运输资质的单位通过专用车辆密闭清运至企业净化厂危险废物贮存仓库，委托有资质单位处理，废油运输线路需按照规定的线路限速行驶，避开人口密集区、饮用水源保护区等环境敏感区。</w:t>
            </w:r>
          </w:p>
          <w:p>
            <w:pPr>
              <w:keepNext/>
              <w:keepLines w:val="0"/>
              <w:widowControl w:val="0"/>
              <w:suppressLineNumbers w:val="0"/>
              <w:spacing w:before="0" w:beforeAutospacing="0" w:after="0" w:afterAutospacing="0" w:line="360" w:lineRule="auto"/>
              <w:ind w:left="0" w:right="0" w:firstLine="480" w:firstLineChars="200"/>
              <w:jc w:val="both"/>
              <w:rPr>
                <w:rFonts w:hint="default" w:ascii="Times New Roman" w:hAnsi="Times New Roman" w:eastAsia="宋体" w:cs="Times New Roman"/>
                <w:color w:val="auto"/>
                <w:kern w:val="2"/>
                <w:sz w:val="24"/>
                <w:szCs w:val="24"/>
              </w:rPr>
            </w:pPr>
            <w:r>
              <w:rPr>
                <w:rFonts w:hint="eastAsia" w:ascii="宋体" w:hAnsi="宋体" w:eastAsia="宋体" w:cs="宋体"/>
                <w:color w:val="auto"/>
                <w:kern w:val="2"/>
                <w:sz w:val="24"/>
                <w:szCs w:val="24"/>
                <w:lang w:val="en-US" w:eastAsia="zh-CN" w:bidi="ar"/>
              </w:rPr>
              <w:t>清水岩屑、水基岩屑处理可行性分析：</w:t>
            </w:r>
          </w:p>
          <w:p>
            <w:pPr>
              <w:keepNext/>
              <w:keepLines w:val="0"/>
              <w:widowControl w:val="0"/>
              <w:suppressLineNumbers w:val="0"/>
              <w:spacing w:before="0" w:beforeAutospacing="0" w:after="0" w:afterAutospacing="0" w:line="360" w:lineRule="auto"/>
              <w:ind w:left="0" w:right="0" w:firstLine="480" w:firstLineChars="200"/>
              <w:jc w:val="both"/>
              <w:rPr>
                <w:rFonts w:hint="eastAsia" w:ascii="Times New Roman" w:hAnsi="Times New Roman" w:eastAsia="宋体" w:cs="Times New Roman"/>
                <w:color w:val="auto"/>
                <w:kern w:val="2"/>
                <w:sz w:val="24"/>
                <w:szCs w:val="24"/>
              </w:rPr>
            </w:pPr>
            <w:r>
              <w:rPr>
                <w:rFonts w:hint="eastAsia" w:ascii="宋体" w:hAnsi="宋体" w:eastAsia="宋体" w:cs="宋体"/>
                <w:color w:val="auto"/>
                <w:kern w:val="2"/>
                <w:sz w:val="24"/>
                <w:szCs w:val="24"/>
                <w:lang w:val="en-US" w:eastAsia="zh-CN" w:bidi="ar"/>
              </w:rPr>
              <w:t>本项目清水岩屑、水基岩屑拟交由四川光隆环保科技有限公司等按照《达州市生态环境局办公室关于进一步加强固体废物污染防治工作的通知》（达市环办发〔</w:t>
            </w:r>
            <w:r>
              <w:rPr>
                <w:rFonts w:hint="default" w:ascii="Times New Roman" w:hAnsi="Times New Roman" w:eastAsia="宋体" w:cs="Times New Roman"/>
                <w:color w:val="auto"/>
                <w:kern w:val="2"/>
                <w:sz w:val="24"/>
                <w:szCs w:val="24"/>
                <w:lang w:val="en-US" w:eastAsia="zh-CN" w:bidi="ar"/>
              </w:rPr>
              <w:t>2021</w:t>
            </w:r>
            <w:r>
              <w:rPr>
                <w:rFonts w:hint="eastAsia" w:ascii="宋体" w:hAnsi="宋体" w:eastAsia="宋体" w:cs="宋体"/>
                <w:color w:val="auto"/>
                <w:kern w:val="2"/>
                <w:sz w:val="24"/>
                <w:szCs w:val="24"/>
                <w:lang w:val="en-US" w:eastAsia="zh-CN" w:bidi="ar"/>
              </w:rPr>
              <w:t>〕</w:t>
            </w:r>
            <w:r>
              <w:rPr>
                <w:rFonts w:hint="default" w:ascii="Times New Roman" w:hAnsi="Times New Roman" w:eastAsia="宋体" w:cs="Times New Roman"/>
                <w:color w:val="auto"/>
                <w:kern w:val="2"/>
                <w:sz w:val="24"/>
                <w:szCs w:val="24"/>
                <w:lang w:val="en-US" w:eastAsia="zh-CN" w:bidi="ar"/>
              </w:rPr>
              <w:t>24</w:t>
            </w:r>
            <w:r>
              <w:rPr>
                <w:rFonts w:hint="eastAsia" w:ascii="宋体" w:hAnsi="宋体" w:eastAsia="宋体" w:cs="宋体"/>
                <w:color w:val="auto"/>
                <w:kern w:val="2"/>
                <w:sz w:val="24"/>
                <w:szCs w:val="24"/>
                <w:lang w:val="en-US" w:eastAsia="zh-CN" w:bidi="ar"/>
              </w:rPr>
              <w:t>号）要求，取得生态环境部门关于利用和处置相关工业固体废物项目环评批复、具有处理处置相应固体废物能力并配套建设有废气、废水、固废等污染物治理设施的单位进行资源化利用。本项目以四川光隆环保科技有限公司处理清水岩屑、水基岩屑为例进行分析处理可行性，其工艺流程如下图所示。</w:t>
            </w:r>
          </w:p>
          <w:p>
            <w:pPr>
              <w:keepNext/>
              <w:keepLines w:val="0"/>
              <w:widowControl w:val="0"/>
              <w:suppressLineNumbers w:val="0"/>
              <w:autoSpaceDE w:val="0"/>
              <w:autoSpaceDN/>
              <w:spacing w:before="0" w:beforeAutospacing="0" w:after="0" w:afterAutospacing="0"/>
              <w:ind w:left="0" w:right="0" w:firstLine="0" w:firstLineChars="0"/>
              <w:jc w:val="both"/>
              <w:rPr>
                <w:rFonts w:hint="eastAsia" w:ascii="Times New Roman" w:hAnsi="Times New Roman" w:eastAsia="宋体" w:cs="Times New Roman"/>
                <w:color w:val="auto"/>
                <w:kern w:val="2"/>
                <w:sz w:val="24"/>
                <w:szCs w:val="24"/>
              </w:rPr>
            </w:pPr>
            <w:r>
              <w:rPr>
                <w:rFonts w:hint="default" w:ascii="Times New Roman" w:hAnsi="Times New Roman" w:eastAsia="宋体" w:cs="Times New Roman"/>
                <w:color w:val="auto"/>
                <w:kern w:val="2"/>
                <w:sz w:val="21"/>
                <w:szCs w:val="21"/>
                <w:lang w:val="en-US" w:eastAsia="zh-CN" w:bidi="ar"/>
              </w:rPr>
              <w:drawing>
                <wp:inline distT="0" distB="0" distL="114300" distR="114300">
                  <wp:extent cx="5181600" cy="1343025"/>
                  <wp:effectExtent l="0" t="0" r="0" b="9525"/>
                  <wp:docPr id="25" name="图片 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4" descr="IMG_256"/>
                          <pic:cNvPicPr>
                            <a:picLocks noChangeAspect="1"/>
                          </pic:cNvPicPr>
                        </pic:nvPicPr>
                        <pic:blipFill>
                          <a:blip r:embed="rId23"/>
                          <a:stretch>
                            <a:fillRect/>
                          </a:stretch>
                        </pic:blipFill>
                        <pic:spPr>
                          <a:xfrm>
                            <a:off x="0" y="0"/>
                            <a:ext cx="5181600" cy="1343025"/>
                          </a:xfrm>
                          <a:prstGeom prst="rect">
                            <a:avLst/>
                          </a:prstGeom>
                          <a:noFill/>
                          <a:ln w="9525">
                            <a:noFill/>
                          </a:ln>
                        </pic:spPr>
                      </pic:pic>
                    </a:graphicData>
                  </a:graphic>
                </wp:inline>
              </w:drawing>
            </w:r>
          </w:p>
          <w:p>
            <w:pPr>
              <w:keepNext/>
              <w:keepLines w:val="0"/>
              <w:widowControl w:val="0"/>
              <w:suppressLineNumbers w:val="0"/>
              <w:autoSpaceDE w:val="0"/>
              <w:autoSpaceDN/>
              <w:spacing w:before="0" w:beforeAutospacing="0" w:after="0" w:afterAutospacing="0" w:line="360" w:lineRule="auto"/>
              <w:ind w:left="0" w:right="0" w:firstLine="0" w:firstLineChars="0"/>
              <w:jc w:val="center"/>
              <w:rPr>
                <w:rFonts w:hint="eastAsia" w:ascii="Times New Roman" w:hAnsi="Times New Roman" w:eastAsia="宋体" w:cs="Times New Roman"/>
                <w:color w:val="auto"/>
                <w:kern w:val="2"/>
                <w:sz w:val="24"/>
                <w:szCs w:val="24"/>
              </w:rPr>
            </w:pPr>
            <w:r>
              <w:rPr>
                <w:rFonts w:hint="eastAsia" w:ascii="宋体" w:hAnsi="宋体" w:eastAsia="宋体" w:cs="宋体"/>
                <w:color w:val="auto"/>
                <w:kern w:val="2"/>
                <w:sz w:val="24"/>
                <w:szCs w:val="24"/>
                <w:lang w:val="en-US" w:eastAsia="zh-CN" w:bidi="ar"/>
              </w:rPr>
              <w:t>图</w:t>
            </w:r>
            <w:r>
              <w:rPr>
                <w:rFonts w:hint="default" w:ascii="Times New Roman" w:hAnsi="Times New Roman" w:eastAsia="宋体" w:cs="Times New Roman"/>
                <w:color w:val="auto"/>
                <w:kern w:val="2"/>
                <w:sz w:val="24"/>
                <w:szCs w:val="24"/>
                <w:lang w:val="en-US" w:eastAsia="zh-CN" w:bidi="ar"/>
              </w:rPr>
              <w:t>5.</w:t>
            </w:r>
            <w:r>
              <w:rPr>
                <w:rFonts w:hint="eastAsia" w:ascii="Times New Roman" w:hAnsi="Times New Roman" w:eastAsia="宋体" w:cs="Times New Roman"/>
                <w:color w:val="auto"/>
                <w:kern w:val="2"/>
                <w:sz w:val="24"/>
                <w:szCs w:val="24"/>
                <w:lang w:val="en-US" w:eastAsia="zh-CN" w:bidi="ar"/>
              </w:rPr>
              <w:t>2</w:t>
            </w:r>
            <w:r>
              <w:rPr>
                <w:rFonts w:hint="default" w:ascii="Times New Roman" w:hAnsi="Times New Roman" w:eastAsia="宋体" w:cs="Times New Roman"/>
                <w:color w:val="auto"/>
                <w:kern w:val="2"/>
                <w:sz w:val="24"/>
                <w:szCs w:val="24"/>
                <w:lang w:val="en-US" w:eastAsia="zh-CN" w:bidi="ar"/>
              </w:rPr>
              <w:t xml:space="preserve">-1   </w:t>
            </w:r>
            <w:r>
              <w:rPr>
                <w:rFonts w:hint="eastAsia" w:ascii="宋体" w:hAnsi="宋体" w:eastAsia="宋体" w:cs="宋体"/>
                <w:color w:val="auto"/>
                <w:kern w:val="2"/>
                <w:sz w:val="24"/>
                <w:szCs w:val="24"/>
                <w:lang w:val="en-US" w:eastAsia="zh-CN" w:bidi="ar"/>
              </w:rPr>
              <w:t>水基钻井固废资源化综合利用处置工艺流程图</w:t>
            </w:r>
          </w:p>
          <w:p>
            <w:pPr>
              <w:keepNext/>
              <w:keepLines w:val="0"/>
              <w:widowControl w:val="0"/>
              <w:suppressLineNumbers w:val="0"/>
              <w:spacing w:before="0" w:beforeAutospacing="0" w:after="0" w:afterAutospacing="0" w:line="360" w:lineRule="auto"/>
              <w:ind w:left="0" w:right="0" w:firstLine="480" w:firstLineChars="200"/>
              <w:jc w:val="both"/>
              <w:rPr>
                <w:rFonts w:hint="eastAsia" w:ascii="Times New Roman" w:hAnsi="Times New Roman" w:eastAsia="宋体" w:cs="Times New Roman"/>
                <w:color w:val="auto"/>
                <w:kern w:val="2"/>
                <w:sz w:val="24"/>
                <w:szCs w:val="24"/>
              </w:rPr>
            </w:pPr>
            <w:r>
              <w:rPr>
                <w:rFonts w:hint="eastAsia" w:ascii="宋体" w:hAnsi="宋体" w:eastAsia="宋体" w:cs="宋体"/>
                <w:color w:val="auto"/>
                <w:kern w:val="2"/>
                <w:sz w:val="24"/>
                <w:szCs w:val="24"/>
                <w:lang w:val="en-US" w:eastAsia="zh-CN" w:bidi="ar"/>
              </w:rPr>
              <w:t>工艺流程描述如下：</w:t>
            </w:r>
          </w:p>
          <w:p>
            <w:pPr>
              <w:keepNext/>
              <w:keepLines w:val="0"/>
              <w:widowControl w:val="0"/>
              <w:suppressLineNumbers w:val="0"/>
              <w:spacing w:before="0" w:beforeAutospacing="0" w:after="0" w:afterAutospacing="0" w:line="360" w:lineRule="auto"/>
              <w:ind w:left="0" w:right="0" w:firstLine="480" w:firstLineChars="200"/>
              <w:jc w:val="both"/>
              <w:rPr>
                <w:rFonts w:hint="eastAsia" w:ascii="Times New Roman" w:hAnsi="Times New Roman" w:eastAsia="宋体" w:cs="Times New Roman"/>
                <w:color w:val="auto"/>
                <w:kern w:val="2"/>
                <w:sz w:val="24"/>
                <w:szCs w:val="24"/>
              </w:rPr>
            </w:pPr>
            <w:r>
              <w:rPr>
                <w:rFonts w:hint="default" w:ascii="Times New Roman" w:hAnsi="Times New Roman" w:eastAsia="宋体" w:cs="Times New Roman"/>
                <w:color w:val="auto"/>
                <w:kern w:val="2"/>
                <w:sz w:val="24"/>
                <w:szCs w:val="24"/>
                <w:lang w:val="en-US" w:eastAsia="zh-CN" w:bidi="ar"/>
              </w:rPr>
              <w:t>a</w:t>
            </w:r>
            <w:r>
              <w:rPr>
                <w:rFonts w:hint="eastAsia" w:ascii="宋体" w:hAnsi="宋体" w:eastAsia="宋体" w:cs="宋体"/>
                <w:color w:val="auto"/>
                <w:kern w:val="2"/>
                <w:sz w:val="24"/>
                <w:szCs w:val="24"/>
                <w:lang w:val="en-US" w:eastAsia="zh-CN" w:bidi="ar"/>
              </w:rPr>
              <w:t>钻屑的堆放：钻屑经现场泥浆不落地收集后运至光隆环保厂</w:t>
            </w:r>
            <w:r>
              <w:rPr>
                <w:rFonts w:hint="eastAsia" w:ascii="宋体" w:hAnsi="宋体" w:cs="宋体"/>
                <w:color w:val="auto"/>
                <w:kern w:val="2"/>
                <w:sz w:val="24"/>
                <w:szCs w:val="24"/>
                <w:lang w:val="en-US" w:eastAsia="zh-CN" w:bidi="ar"/>
              </w:rPr>
              <w:t>内</w:t>
            </w:r>
            <w:r>
              <w:rPr>
                <w:rFonts w:hint="eastAsia" w:ascii="宋体" w:hAnsi="宋体" w:eastAsia="宋体" w:cs="宋体"/>
                <w:color w:val="auto"/>
                <w:kern w:val="2"/>
                <w:sz w:val="24"/>
                <w:szCs w:val="24"/>
                <w:lang w:val="en-US" w:eastAsia="zh-CN" w:bidi="ar"/>
              </w:rPr>
              <w:t>仓棚进行堆存。</w:t>
            </w:r>
          </w:p>
          <w:p>
            <w:pPr>
              <w:keepNext/>
              <w:keepLines w:val="0"/>
              <w:widowControl w:val="0"/>
              <w:suppressLineNumbers w:val="0"/>
              <w:spacing w:before="0" w:beforeAutospacing="0" w:after="0" w:afterAutospacing="0" w:line="360" w:lineRule="auto"/>
              <w:ind w:left="0" w:right="0" w:firstLine="480" w:firstLineChars="200"/>
              <w:jc w:val="both"/>
              <w:rPr>
                <w:rFonts w:hint="eastAsia" w:ascii="Times New Roman" w:hAnsi="Times New Roman" w:eastAsia="宋体" w:cs="Times New Roman"/>
                <w:color w:val="auto"/>
                <w:kern w:val="2"/>
                <w:sz w:val="24"/>
                <w:szCs w:val="24"/>
              </w:rPr>
            </w:pPr>
            <w:r>
              <w:rPr>
                <w:rFonts w:hint="default" w:ascii="Times New Roman" w:hAnsi="Times New Roman" w:eastAsia="宋体" w:cs="Times New Roman"/>
                <w:color w:val="auto"/>
                <w:kern w:val="2"/>
                <w:sz w:val="24"/>
                <w:szCs w:val="24"/>
                <w:lang w:val="en-US" w:eastAsia="zh-CN" w:bidi="ar"/>
              </w:rPr>
              <w:t>b.</w:t>
            </w:r>
            <w:r>
              <w:rPr>
                <w:rFonts w:hint="eastAsia" w:ascii="宋体" w:hAnsi="宋体" w:eastAsia="宋体" w:cs="宋体"/>
                <w:color w:val="auto"/>
                <w:kern w:val="2"/>
                <w:sz w:val="24"/>
                <w:szCs w:val="24"/>
                <w:lang w:val="en-US" w:eastAsia="zh-CN" w:bidi="ar"/>
              </w:rPr>
              <w:t>进料：进料系统主要由斗式提升机、进料料斗、溜槽、压紧装置、绞龙进料、液压系统、窑头下灰斗、窑头密封、平台楼梯和进料下部钢架等设施组成。</w:t>
            </w:r>
          </w:p>
          <w:p>
            <w:pPr>
              <w:keepNext/>
              <w:keepLines w:val="0"/>
              <w:widowControl w:val="0"/>
              <w:suppressLineNumbers w:val="0"/>
              <w:spacing w:before="0" w:beforeAutospacing="0" w:after="0" w:afterAutospacing="0" w:line="360" w:lineRule="auto"/>
              <w:ind w:left="0" w:right="0" w:firstLine="480" w:firstLineChars="200"/>
              <w:jc w:val="both"/>
              <w:rPr>
                <w:rFonts w:hint="eastAsia" w:ascii="Times New Roman" w:hAnsi="Times New Roman" w:eastAsia="宋体" w:cs="Times New Roman"/>
                <w:color w:val="auto"/>
                <w:kern w:val="2"/>
                <w:sz w:val="24"/>
                <w:szCs w:val="24"/>
              </w:rPr>
            </w:pPr>
            <w:r>
              <w:rPr>
                <w:rFonts w:hint="default" w:ascii="Times New Roman" w:hAnsi="Times New Roman" w:eastAsia="宋体" w:cs="Times New Roman"/>
                <w:color w:val="auto"/>
                <w:kern w:val="2"/>
                <w:sz w:val="24"/>
                <w:szCs w:val="24"/>
                <w:lang w:val="en-US" w:eastAsia="zh-CN" w:bidi="ar"/>
              </w:rPr>
              <w:t>c.</w:t>
            </w:r>
            <w:r>
              <w:rPr>
                <w:rFonts w:hint="eastAsia" w:ascii="宋体" w:hAnsi="宋体" w:eastAsia="宋体" w:cs="宋体"/>
                <w:color w:val="auto"/>
                <w:kern w:val="2"/>
                <w:sz w:val="24"/>
                <w:szCs w:val="24"/>
                <w:lang w:val="en-US" w:eastAsia="zh-CN" w:bidi="ar"/>
              </w:rPr>
              <w:t>粉煤燃烧：在煤粉一次风喷口外设置以小型流化床煤粉预燃加热室，该室与煤粉一二次风喷口一起组成流化床煤粉预燃加热燃烧器。</w:t>
            </w:r>
          </w:p>
          <w:p>
            <w:pPr>
              <w:keepNext/>
              <w:keepLines w:val="0"/>
              <w:widowControl w:val="0"/>
              <w:suppressLineNumbers w:val="0"/>
              <w:spacing w:before="0" w:beforeAutospacing="0" w:after="0" w:afterAutospacing="0" w:line="360" w:lineRule="auto"/>
              <w:ind w:left="0" w:right="0" w:firstLine="480" w:firstLineChars="200"/>
              <w:jc w:val="both"/>
              <w:rPr>
                <w:rFonts w:hint="eastAsia" w:ascii="Times New Roman" w:hAnsi="Times New Roman" w:eastAsia="宋体" w:cs="Times New Roman"/>
                <w:color w:val="auto"/>
                <w:kern w:val="2"/>
                <w:sz w:val="24"/>
                <w:szCs w:val="24"/>
              </w:rPr>
            </w:pPr>
            <w:r>
              <w:rPr>
                <w:rFonts w:hint="default" w:ascii="Times New Roman" w:hAnsi="Times New Roman" w:eastAsia="宋体" w:cs="Times New Roman"/>
                <w:color w:val="auto"/>
                <w:kern w:val="2"/>
                <w:sz w:val="24"/>
                <w:szCs w:val="24"/>
                <w:lang w:val="en-US" w:eastAsia="zh-CN" w:bidi="ar"/>
              </w:rPr>
              <w:t>d.</w:t>
            </w:r>
            <w:r>
              <w:rPr>
                <w:rFonts w:hint="eastAsia" w:ascii="宋体" w:hAnsi="宋体" w:eastAsia="宋体" w:cs="宋体"/>
                <w:color w:val="auto"/>
                <w:kern w:val="2"/>
                <w:sz w:val="24"/>
                <w:szCs w:val="24"/>
                <w:lang w:val="en-US" w:eastAsia="zh-CN" w:bidi="ar"/>
              </w:rPr>
              <w:t>回转窑燃烧：由专用输送设备送入回转窑，固体废物在回转窑内完成水分蒸发、挥发份析出、着火及燃烧的过程，灰渣由窑尾出料装置排出，所产生的烟气进入后续尾气净化设备。</w:t>
            </w:r>
          </w:p>
          <w:p>
            <w:pPr>
              <w:keepNext/>
              <w:keepLines w:val="0"/>
              <w:widowControl w:val="0"/>
              <w:suppressLineNumbers w:val="0"/>
              <w:spacing w:before="0" w:beforeAutospacing="0" w:after="0" w:afterAutospacing="0" w:line="360" w:lineRule="auto"/>
              <w:ind w:left="0" w:right="0" w:firstLine="480" w:firstLineChars="200"/>
              <w:jc w:val="both"/>
              <w:rPr>
                <w:rFonts w:hint="eastAsia" w:ascii="Times New Roman" w:hAnsi="Times New Roman" w:eastAsia="宋体" w:cs="Times New Roman"/>
                <w:color w:val="auto"/>
                <w:kern w:val="2"/>
                <w:sz w:val="24"/>
                <w:szCs w:val="24"/>
              </w:rPr>
            </w:pPr>
            <w:r>
              <w:rPr>
                <w:rFonts w:hint="default" w:ascii="Times New Roman" w:hAnsi="Times New Roman" w:eastAsia="宋体" w:cs="Times New Roman"/>
                <w:color w:val="auto"/>
                <w:kern w:val="2"/>
                <w:sz w:val="24"/>
                <w:szCs w:val="24"/>
                <w:lang w:val="en-US" w:eastAsia="zh-CN" w:bidi="ar"/>
              </w:rPr>
              <w:t>e.</w:t>
            </w:r>
            <w:r>
              <w:rPr>
                <w:rFonts w:hint="eastAsia" w:ascii="宋体" w:hAnsi="宋体" w:eastAsia="宋体" w:cs="宋体"/>
                <w:color w:val="auto"/>
                <w:kern w:val="2"/>
                <w:sz w:val="24"/>
                <w:szCs w:val="24"/>
                <w:lang w:val="en-US" w:eastAsia="zh-CN" w:bidi="ar"/>
              </w:rPr>
              <w:t>灰渣、灰渣冷却、渣库：出窑高温灰渣经密闭冷渣机冷却后，由输送机送入渣库储存。</w:t>
            </w:r>
          </w:p>
          <w:p>
            <w:pPr>
              <w:keepNext/>
              <w:keepLines w:val="0"/>
              <w:widowControl w:val="0"/>
              <w:suppressLineNumbers w:val="0"/>
              <w:spacing w:before="0" w:beforeAutospacing="0" w:after="0" w:afterAutospacing="0" w:line="360" w:lineRule="auto"/>
              <w:ind w:left="0" w:right="0" w:firstLine="480" w:firstLineChars="200"/>
              <w:jc w:val="both"/>
              <w:rPr>
                <w:rFonts w:hint="eastAsia" w:ascii="Times New Roman" w:hAnsi="Times New Roman" w:eastAsia="宋体" w:cs="Times New Roman"/>
                <w:color w:val="auto"/>
                <w:kern w:val="2"/>
                <w:sz w:val="24"/>
                <w:szCs w:val="24"/>
              </w:rPr>
            </w:pPr>
            <w:r>
              <w:rPr>
                <w:rFonts w:hint="eastAsia" w:ascii="宋体" w:hAnsi="宋体" w:eastAsia="宋体" w:cs="宋体"/>
                <w:color w:val="auto"/>
                <w:kern w:val="2"/>
                <w:sz w:val="24"/>
                <w:szCs w:val="24"/>
                <w:lang w:val="en-US" w:eastAsia="zh-CN" w:bidi="ar"/>
              </w:rPr>
              <w:t>根据调查，四川光隆环保科技有限公司与中石化中原石油工程有限公司工程服务管理中心签订了相关处理协议，见附件。四川光隆环保科技有限公司（以下简称“四川光隆”）建设的工业废弃物综合利用项目位于达州市宣汉县中国（普光）微玻纤材料产业园，占地面积</w:t>
            </w:r>
            <w:r>
              <w:rPr>
                <w:rFonts w:hint="default" w:ascii="Times New Roman" w:hAnsi="Times New Roman" w:eastAsia="宋体" w:cs="Times New Roman"/>
                <w:color w:val="auto"/>
                <w:kern w:val="2"/>
                <w:sz w:val="24"/>
                <w:szCs w:val="24"/>
                <w:lang w:val="en-US" w:eastAsia="zh-CN" w:bidi="ar"/>
              </w:rPr>
              <w:t>35</w:t>
            </w:r>
            <w:r>
              <w:rPr>
                <w:rFonts w:hint="eastAsia" w:ascii="宋体" w:hAnsi="宋体" w:eastAsia="宋体" w:cs="宋体"/>
                <w:color w:val="auto"/>
                <w:kern w:val="2"/>
                <w:sz w:val="24"/>
                <w:szCs w:val="24"/>
                <w:lang w:val="en-US" w:eastAsia="zh-CN" w:bidi="ar"/>
              </w:rPr>
              <w:t>亩。安装回转窑焚烧处理固体废弃物生产线，处理水基岩屑等一般工业废弃物</w:t>
            </w:r>
            <w:r>
              <w:rPr>
                <w:rFonts w:hint="default" w:ascii="Times New Roman" w:hAnsi="Times New Roman" w:eastAsia="宋体" w:cs="Times New Roman"/>
                <w:color w:val="auto"/>
                <w:kern w:val="2"/>
                <w:sz w:val="24"/>
                <w:szCs w:val="24"/>
                <w:lang w:val="en-US" w:eastAsia="zh-CN" w:bidi="ar"/>
              </w:rPr>
              <w:t>50000t/a</w:t>
            </w:r>
            <w:r>
              <w:rPr>
                <w:rFonts w:hint="eastAsia" w:ascii="宋体" w:hAnsi="宋体" w:eastAsia="宋体" w:cs="宋体"/>
                <w:color w:val="auto"/>
                <w:kern w:val="2"/>
                <w:sz w:val="24"/>
                <w:szCs w:val="24"/>
                <w:lang w:val="en-US" w:eastAsia="zh-CN" w:bidi="ar"/>
              </w:rPr>
              <w:t>。均已按相关要求履行环保手续。本项目钻井平台距离四川光隆约</w:t>
            </w:r>
            <w:r>
              <w:rPr>
                <w:rFonts w:hint="default" w:ascii="Times New Roman" w:hAnsi="Times New Roman" w:eastAsia="宋体" w:cs="Times New Roman"/>
                <w:color w:val="auto"/>
                <w:kern w:val="2"/>
                <w:sz w:val="24"/>
                <w:szCs w:val="24"/>
                <w:lang w:val="en-US" w:eastAsia="zh-CN" w:bidi="ar"/>
              </w:rPr>
              <w:t>25km</w:t>
            </w:r>
            <w:r>
              <w:rPr>
                <w:rFonts w:hint="eastAsia" w:ascii="宋体" w:hAnsi="宋体" w:eastAsia="宋体" w:cs="宋体"/>
                <w:color w:val="auto"/>
                <w:kern w:val="2"/>
                <w:sz w:val="24"/>
                <w:szCs w:val="24"/>
                <w:lang w:val="en-US" w:eastAsia="zh-CN" w:bidi="ar"/>
              </w:rPr>
              <w:t>，距离较近，同时企业年处理水基岩屑规模较大，本项目钻井工程合计产生水基（清水）岩屑、泥渣约</w:t>
            </w:r>
            <w:r>
              <w:rPr>
                <w:rFonts w:hint="default" w:ascii="Times New Roman" w:hAnsi="Times New Roman" w:eastAsia="宋体" w:cs="Times New Roman"/>
                <w:color w:val="auto"/>
                <w:kern w:val="2"/>
                <w:sz w:val="24"/>
                <w:szCs w:val="24"/>
                <w:lang w:val="en-US" w:eastAsia="zh-CN" w:bidi="ar"/>
              </w:rPr>
              <w:t>0.2</w:t>
            </w:r>
            <w:r>
              <w:rPr>
                <w:rFonts w:hint="eastAsia" w:ascii="宋体" w:hAnsi="宋体" w:eastAsia="宋体" w:cs="宋体"/>
                <w:color w:val="auto"/>
                <w:kern w:val="2"/>
                <w:sz w:val="24"/>
                <w:szCs w:val="24"/>
                <w:lang w:val="en-US" w:eastAsia="zh-CN" w:bidi="ar"/>
              </w:rPr>
              <w:t>万</w:t>
            </w:r>
            <w:r>
              <w:rPr>
                <w:rFonts w:hint="default" w:ascii="Times New Roman" w:hAnsi="Times New Roman" w:eastAsia="宋体" w:cs="Times New Roman"/>
                <w:color w:val="auto"/>
                <w:kern w:val="2"/>
                <w:sz w:val="24"/>
                <w:szCs w:val="24"/>
                <w:lang w:val="en-US" w:eastAsia="zh-CN" w:bidi="ar"/>
              </w:rPr>
              <w:t>t</w:t>
            </w:r>
            <w:r>
              <w:rPr>
                <w:rFonts w:hint="eastAsia" w:ascii="宋体" w:hAnsi="宋体" w:eastAsia="宋体" w:cs="宋体"/>
                <w:color w:val="auto"/>
                <w:kern w:val="2"/>
                <w:sz w:val="24"/>
                <w:szCs w:val="24"/>
                <w:lang w:val="en-US" w:eastAsia="zh-CN" w:bidi="ar"/>
              </w:rPr>
              <w:t>，仅占其</w:t>
            </w:r>
            <w:r>
              <w:rPr>
                <w:rFonts w:hint="eastAsia" w:ascii="宋体" w:hAnsi="宋体" w:cs="宋体"/>
                <w:color w:val="auto"/>
                <w:kern w:val="2"/>
                <w:sz w:val="24"/>
                <w:szCs w:val="24"/>
                <w:lang w:val="en-US" w:eastAsia="zh-CN" w:bidi="ar"/>
              </w:rPr>
              <w:t>总</w:t>
            </w:r>
            <w:r>
              <w:rPr>
                <w:rFonts w:hint="eastAsia" w:ascii="宋体" w:hAnsi="宋体" w:eastAsia="宋体" w:cs="宋体"/>
                <w:color w:val="auto"/>
                <w:kern w:val="2"/>
                <w:sz w:val="24"/>
                <w:szCs w:val="24"/>
                <w:lang w:val="en-US" w:eastAsia="zh-CN" w:bidi="ar"/>
              </w:rPr>
              <w:t>生产规模的</w:t>
            </w:r>
            <w:r>
              <w:rPr>
                <w:rFonts w:hint="default" w:ascii="Times New Roman" w:hAnsi="Times New Roman" w:eastAsia="宋体" w:cs="Times New Roman"/>
                <w:color w:val="auto"/>
                <w:kern w:val="2"/>
                <w:sz w:val="24"/>
                <w:szCs w:val="24"/>
                <w:lang w:val="en-US" w:eastAsia="zh-CN" w:bidi="ar"/>
              </w:rPr>
              <w:t>0.0004%</w:t>
            </w:r>
            <w:r>
              <w:rPr>
                <w:rFonts w:hint="eastAsia" w:ascii="宋体" w:hAnsi="宋体" w:eastAsia="宋体" w:cs="宋体"/>
                <w:color w:val="auto"/>
                <w:kern w:val="2"/>
                <w:sz w:val="24"/>
                <w:szCs w:val="24"/>
                <w:lang w:val="en-US" w:eastAsia="zh-CN" w:bidi="ar"/>
              </w:rPr>
              <w:t>，可完全消纳本项目钻井过程产生的水基（清水）岩屑、泥渣。</w:t>
            </w:r>
          </w:p>
          <w:p>
            <w:pPr>
              <w:keepNext/>
              <w:keepLines w:val="0"/>
              <w:widowControl w:val="0"/>
              <w:suppressLineNumbers w:val="0"/>
              <w:spacing w:before="0" w:beforeAutospacing="0" w:after="0" w:afterAutospacing="0" w:line="360" w:lineRule="auto"/>
              <w:ind w:left="0" w:right="0" w:firstLine="480" w:firstLineChars="200"/>
              <w:jc w:val="both"/>
              <w:rPr>
                <w:rFonts w:hint="eastAsia" w:ascii="Times New Roman" w:hAnsi="Times New Roman" w:eastAsia="宋体" w:cs="Times New Roman"/>
                <w:color w:val="auto"/>
                <w:kern w:val="2"/>
                <w:sz w:val="24"/>
                <w:szCs w:val="24"/>
              </w:rPr>
            </w:pPr>
            <w:r>
              <w:rPr>
                <w:rFonts w:hint="eastAsia" w:ascii="宋体" w:hAnsi="宋体" w:eastAsia="宋体" w:cs="宋体"/>
                <w:color w:val="auto"/>
                <w:kern w:val="2"/>
                <w:sz w:val="24"/>
                <w:szCs w:val="24"/>
                <w:lang w:val="en-US" w:eastAsia="zh-CN" w:bidi="ar"/>
              </w:rPr>
              <w:t>环评要求：项目污染治理前，明确钻井固废处置单位，并签订相关拉运及处理协议。若在后期实际运行过程中，水基岩屑等不能运至上述单位资源化利用，也可运至其他环保手续齐全、具有处理能力及资质的接纳单位处置，确保水基岩屑等得到合理有效处置，禁止随意排放。</w:t>
            </w:r>
          </w:p>
          <w:p>
            <w:pPr>
              <w:keepNext/>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lang w:bidi="ar"/>
              </w:rPr>
            </w:pPr>
            <w:r>
              <w:rPr>
                <w:rFonts w:hint="eastAsia" w:cs="Times New Roman"/>
                <w:color w:val="auto"/>
                <w:sz w:val="24"/>
                <w:lang w:val="en-US" w:eastAsia="zh-CN" w:bidi="ar"/>
              </w:rPr>
              <w:t>若三开</w:t>
            </w:r>
            <w:r>
              <w:rPr>
                <w:rFonts w:hint="default" w:ascii="Times New Roman" w:hAnsi="Times New Roman" w:cs="Times New Roman"/>
                <w:color w:val="auto"/>
                <w:sz w:val="24"/>
                <w:lang w:bidi="ar"/>
              </w:rPr>
              <w:t>采用油基钻井液</w:t>
            </w:r>
            <w:r>
              <w:rPr>
                <w:rFonts w:hint="default" w:ascii="Times New Roman" w:hAnsi="Times New Roman" w:cs="Times New Roman"/>
                <w:color w:val="auto"/>
                <w:sz w:val="24"/>
                <w:lang w:val="en-US" w:eastAsia="zh-CN" w:bidi="ar"/>
              </w:rPr>
              <w:t>钻井</w:t>
            </w:r>
            <w:r>
              <w:rPr>
                <w:rFonts w:hint="default" w:ascii="Times New Roman" w:hAnsi="Times New Roman" w:cs="Times New Roman"/>
                <w:color w:val="auto"/>
                <w:sz w:val="24"/>
                <w:lang w:bidi="ar"/>
              </w:rPr>
              <w:t>，废油基泥浆暂存于泥浆储备罐，</w:t>
            </w:r>
            <w:r>
              <w:rPr>
                <w:rFonts w:hint="default" w:ascii="Times New Roman" w:hAnsi="Times New Roman" w:cs="Times New Roman"/>
                <w:color w:val="auto"/>
                <w:sz w:val="24"/>
                <w:lang w:val="en-US" w:eastAsia="zh-CN" w:bidi="ar"/>
              </w:rPr>
              <w:t>采用钢罐收集，</w:t>
            </w:r>
            <w:r>
              <w:rPr>
                <w:rFonts w:hint="default" w:ascii="Times New Roman" w:hAnsi="Times New Roman" w:cs="Times New Roman"/>
                <w:color w:val="auto"/>
                <w:sz w:val="24"/>
                <w:lang w:bidi="ar"/>
              </w:rPr>
              <w:t>定期委托有资质单位进行处理。</w:t>
            </w:r>
            <w:r>
              <w:rPr>
                <w:rFonts w:hint="default" w:ascii="Times New Roman" w:hAnsi="Times New Roman" w:cs="Times New Roman"/>
                <w:color w:val="auto"/>
                <w:sz w:val="24"/>
                <w:lang w:val="en-US" w:eastAsia="zh-CN" w:bidi="ar"/>
              </w:rPr>
              <w:t>油基岩屑经钢罐收集后定期交由有资质单位进行处置。</w:t>
            </w:r>
          </w:p>
          <w:p>
            <w:pPr>
              <w:keepNext/>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lang w:bidi="ar"/>
              </w:rPr>
              <w:t>危险废物应按照《危险废物产生单位管理计划制定指南》进行管理。工程对危险废物的收集、贮存和运输应满足</w:t>
            </w:r>
            <w:r>
              <w:rPr>
                <w:rStyle w:val="189"/>
                <w:rFonts w:hint="default" w:ascii="Times New Roman" w:hAnsi="Times New Roman" w:cs="Times New Roman"/>
                <w:color w:val="auto"/>
                <w:szCs w:val="24"/>
                <w:lang w:bidi="ar"/>
              </w:rPr>
              <w:t>《危险废物收集、贮存、运输技术规范》（HJ2025-2012）、</w:t>
            </w:r>
            <w:r>
              <w:rPr>
                <w:rFonts w:hint="default" w:ascii="Times New Roman" w:hAnsi="Times New Roman" w:cs="Times New Roman"/>
                <w:color w:val="auto"/>
                <w:sz w:val="24"/>
                <w:lang w:bidi="ar"/>
              </w:rPr>
              <w:t>《危险废物贮存污染控制标准》（GB18597-2023）。</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依据《危险废物收集、贮存、运输技术规范》（HJ2025-2012），项目应加强以下措施：</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1）危险废物的收集作业</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①应根据收集设备、转运车辆以及现场人员等实际情况确定相应作业区域，同时要设置作业界限标志和警示牌。</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②作业区域内应设置危险废物收集专用通道和人员避险通道。</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③收集时应配备必要的收集工具和包装物，以及必要的应急监测设备及应急装备。</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④危险废物收集应参照本标准附录A填写记录表，并将记录表作为危险废物管理的重要档案妥善保存。</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⑤收集结束后应清理和恢复收集作业区域，确保作业区域环境整洁安全。</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⑥收集过危险废物的容器、设备、设施、场所及其他物品转作它用时，应消除污染，确保其使用安全。</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2）危险废物贮存</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①危险废物贮存设施应配备通讯设备、照明设施和消防设施。</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②贮存危险废物时应按危险废物的种类和特性进行分区贮存，每个贮存区域之间宜设置挡墙间隔，并应设置防雨、防火、防雷、防扬尘装置。</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③建设单位应参照《危险废物环境管理指南 陆上石油天然气开采》完善危险废物贮存点设施，完善贮存危险废物的标识、类别、名称、数量。</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3）危险废物的运输</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①危险废物公路运输应按照《道路危险货物运输管理规定》（交通部令[2005年]第9号）、JT617以及JT618 执行。</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②输单位承运危险废物时，应在危险废物包装上按照GB18597附录A设置标志。</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③危险废物公路运输时，运输车辆应按GB13392设置车辆标志。</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kern w:val="2"/>
                <w:lang w:bidi="ar"/>
              </w:rPr>
            </w:pPr>
            <w:r>
              <w:rPr>
                <w:rFonts w:hint="default" w:ascii="Times New Roman" w:hAnsi="Times New Roman" w:cs="Times New Roman"/>
                <w:color w:val="auto"/>
                <w:kern w:val="2"/>
                <w:lang w:bidi="ar"/>
              </w:rPr>
              <w:t>④危险废物运输应遵守危险货物运输管理的相关规定，按照危险废物特性分类运输。自行运输危险废物的应描述拟采用运输工具状况，包括工具种类、载重量、使用年限、危险货物运输资质、污染防治和事故预防措施等；委托外单位运输危险废物的，应描述委托运输具体状况，包括委托运输单位、危险货物运输资质等。</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rPr>
              <w:fldChar w:fldCharType="begin"/>
            </w:r>
            <w:r>
              <w:rPr>
                <w:rFonts w:hint="default" w:ascii="Times New Roman" w:hAnsi="Times New Roman" w:cs="Times New Roman"/>
                <w:color w:val="auto"/>
              </w:rPr>
              <w:instrText xml:space="preserve"> = 5 \* GB3 </w:instrText>
            </w:r>
            <w:r>
              <w:rPr>
                <w:rFonts w:hint="default" w:ascii="Times New Roman" w:hAnsi="Times New Roman" w:cs="Times New Roman"/>
                <w:color w:val="auto"/>
              </w:rPr>
              <w:fldChar w:fldCharType="separate"/>
            </w:r>
            <w:r>
              <w:rPr>
                <w:rFonts w:hint="default" w:ascii="Times New Roman" w:hAnsi="Times New Roman" w:cs="Times New Roman"/>
                <w:color w:val="auto"/>
              </w:rPr>
              <w:t>⑤</w:t>
            </w:r>
            <w:r>
              <w:rPr>
                <w:rFonts w:hint="default" w:ascii="Times New Roman" w:hAnsi="Times New Roman" w:cs="Times New Roman"/>
                <w:color w:val="auto"/>
              </w:rPr>
              <w:fldChar w:fldCharType="end"/>
            </w:r>
            <w:r>
              <w:rPr>
                <w:rFonts w:hint="default" w:ascii="Times New Roman" w:hAnsi="Times New Roman" w:cs="Times New Roman"/>
                <w:color w:val="auto"/>
              </w:rPr>
              <w:t>根据《天然气开采含油污泥综合利用后剩余固相利用处置标准》（DB51/T 2850-2021），运输工具应符合“防雨、防渗漏、防遗撒”措施。</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4）危险废物转移</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本工程建设过程中涉及的危险废物交由有危废运输资质的单位进行转运，转运过程参照《危险废物收集、贮存、运输技术规范》（HJ2025-2012）严格执行危废申报和五联单管理制度，在项目建设过程中，建设方结合钻井施工进度，建立分季度内部管理台账，同时为确保转运安全，对危废转运采取如下管理措施：</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A.制定科学合理的车辆运输，根据车辆运输实施相应的管理。</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B.危废承运单位为非建设所属单位，承运方需具备建设单位的HSE准入资格和相应的运输服务准入资格。</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C.承运单位在开展运输工作之前，应对运输人员进行相关安全环保知识培训，运输车辆、装卸工具必须符合安全环保要求，装卸和运输危废过程中不得溢出和渗漏。严禁任意倾倒、排放或向第三方转移危废。</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D.承运人员进入井场装卸危险废物时，必须遵守有关安全环保管理规定，并服从井站值班人员的管理，不得擅自进入生产装置区和操作井场设备设施。</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E.危废车辆运输严格执行签认制度。签认单复印件报属地管理单位安全部门和承运单位备查，保存期不得少于二年。</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F.危废转运路线应尽可能绕避集中式饮用水源保护区等环境敏感地。</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G.转运时采取槽车密闭输送。</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H.尽量避免在雨天和大雾天转运。</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（4）废棉纱/手套及废油桶处置方式</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钻机等设备保养产生的废棉纱/手套，暂存于危险废物贮存点，废油桶暂存于危险废物贮存点内，交有资质单位处置。要求建设单位严格按照《危险废物收集、贮存、运输技术规范》（HJ2025-2012）及《建设项目危险废物环境影响评价指南》中相关规定做好收集、暂存和转运工作。</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（5）生活垃圾处置方式</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生活垃圾处置要求：钻井施工单位应对垃圾箱中的生活垃圾等进行清理，并送当地城镇生活垃圾收集系统。</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（6）废包装材料处置方式</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钻井期间产生的废包装材料主要为各原辅材料的包装袋，为一般废物，集中收集后定期运至就近的废品回收站进行处理。</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综上，拟建项目产生的固废采取上述分类收集、分类处置的措施后，可合理处置各类固废，对周围环境不会造成污染影响。</w:t>
            </w:r>
          </w:p>
          <w:p>
            <w:pPr>
              <w:pStyle w:val="215"/>
              <w:keepNext w:val="0"/>
              <w:keepLines w:val="0"/>
              <w:suppressLineNumbers w:val="0"/>
              <w:spacing w:before="0" w:beforeAutospacing="0" w:after="0" w:afterAutospacing="0"/>
              <w:ind w:left="0" w:right="0" w:firstLine="0" w:firstLineChars="0"/>
              <w:rPr>
                <w:rFonts w:hint="default" w:ascii="Times New Roman" w:hAnsi="Times New Roman" w:cs="Times New Roman"/>
                <w:b/>
                <w:bCs/>
                <w:color w:val="auto"/>
                <w:szCs w:val="24"/>
              </w:rPr>
            </w:pPr>
            <w:r>
              <w:rPr>
                <w:rFonts w:hint="default" w:ascii="Times New Roman" w:hAnsi="Times New Roman" w:cs="Times New Roman"/>
                <w:b/>
                <w:bCs/>
                <w:color w:val="auto"/>
                <w:szCs w:val="24"/>
              </w:rPr>
              <w:t>5.3试气工程环境保护措施</w:t>
            </w:r>
          </w:p>
          <w:p>
            <w:pPr>
              <w:pStyle w:val="215"/>
              <w:keepNext w:val="0"/>
              <w:keepLines w:val="0"/>
              <w:suppressLineNumbers w:val="0"/>
              <w:spacing w:before="0" w:beforeAutospacing="0" w:after="0" w:afterAutospacing="0"/>
              <w:ind w:left="0" w:right="0" w:firstLine="0" w:firstLineChars="0"/>
              <w:rPr>
                <w:rFonts w:hint="default" w:ascii="Times New Roman" w:hAnsi="Times New Roman" w:cs="Times New Roman"/>
                <w:b/>
                <w:bCs/>
                <w:color w:val="auto"/>
                <w:szCs w:val="24"/>
              </w:rPr>
            </w:pPr>
            <w:r>
              <w:rPr>
                <w:rFonts w:hint="default" w:ascii="Times New Roman" w:hAnsi="Times New Roman" w:cs="Times New Roman"/>
                <w:b/>
                <w:bCs/>
                <w:color w:val="auto"/>
                <w:szCs w:val="24"/>
              </w:rPr>
              <w:t>5.3.1废气治理措施及可行性分析</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试气工程期间废气主要为测试放喷废气。测试时间较短，产生废气量较少，对环境影响较小。污染物排放随产量测试结束而结束，不会长期存在，不会影响区域环境空气功能区划。</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5.3.2废水治理措施及可行性分析</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（1）洗井废水</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本项目洗井废水约300m</w:t>
            </w:r>
            <w:r>
              <w:rPr>
                <w:rFonts w:hint="default" w:ascii="Times New Roman" w:hAnsi="Times New Roman" w:cs="Times New Roman"/>
                <w:color w:val="auto"/>
                <w:szCs w:val="24"/>
                <w:vertAlign w:val="superscript"/>
              </w:rPr>
              <w:t>3</w:t>
            </w:r>
            <w:r>
              <w:rPr>
                <w:rFonts w:hint="default" w:ascii="Times New Roman" w:hAnsi="Times New Roman" w:cs="Times New Roman"/>
                <w:color w:val="auto"/>
                <w:szCs w:val="24"/>
              </w:rPr>
              <w:t>，均经现场预处理后暂存于重叠液罐内，优先回用于本井场压裂液的配制</w:t>
            </w:r>
            <w:r>
              <w:rPr>
                <w:rFonts w:hint="default" w:ascii="Times New Roman" w:hAnsi="Times New Roman" w:cs="Times New Roman"/>
                <w:color w:val="auto"/>
                <w:szCs w:val="24"/>
                <w:lang w:eastAsia="zh-CN"/>
              </w:rPr>
              <w:t>，</w:t>
            </w:r>
            <w:r>
              <w:rPr>
                <w:rFonts w:hint="default" w:ascii="Times New Roman" w:hAnsi="Times New Roman" w:cs="Times New Roman"/>
                <w:color w:val="auto"/>
                <w:szCs w:val="24"/>
                <w:lang w:val="en-US" w:eastAsia="zh-CN"/>
              </w:rPr>
              <w:t>不能回用时用密闭罐车定期拉运至</w:t>
            </w:r>
            <w:r>
              <w:rPr>
                <w:rFonts w:hint="eastAsia" w:cs="Times New Roman"/>
                <w:color w:val="auto"/>
                <w:szCs w:val="24"/>
                <w:lang w:val="en-US" w:eastAsia="zh-CN"/>
              </w:rPr>
              <w:t>赵家坝污水处理站</w:t>
            </w:r>
            <w:r>
              <w:rPr>
                <w:rFonts w:hint="default" w:ascii="Times New Roman" w:hAnsi="Times New Roman" w:cs="Times New Roman"/>
                <w:color w:val="auto"/>
                <w:szCs w:val="24"/>
                <w:lang w:val="en-US" w:eastAsia="zh-CN"/>
              </w:rPr>
              <w:t>处理达标后</w:t>
            </w:r>
            <w:r>
              <w:rPr>
                <w:rFonts w:hint="eastAsia" w:cs="Times New Roman"/>
                <w:color w:val="auto"/>
                <w:szCs w:val="24"/>
                <w:lang w:val="en-US" w:eastAsia="zh-CN"/>
              </w:rPr>
              <w:t>由罐车拉运至普光3井等</w:t>
            </w:r>
            <w:r>
              <w:rPr>
                <w:rFonts w:hint="default" w:ascii="Times New Roman" w:hAnsi="Times New Roman" w:cs="Times New Roman"/>
                <w:color w:val="auto"/>
                <w:szCs w:val="24"/>
                <w:lang w:val="en-US" w:eastAsia="zh-CN"/>
              </w:rPr>
              <w:t>回注站回注</w:t>
            </w:r>
            <w:r>
              <w:rPr>
                <w:rFonts w:hint="default" w:ascii="Times New Roman" w:hAnsi="Times New Roman" w:cs="Times New Roman"/>
                <w:color w:val="auto"/>
                <w:szCs w:val="24"/>
              </w:rPr>
              <w:t>。</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（2）压裂返排液废水</w:t>
            </w:r>
          </w:p>
          <w:p>
            <w:pPr>
              <w:pStyle w:val="215"/>
              <w:keepNext w:val="0"/>
              <w:keepLines w:val="0"/>
              <w:suppressLineNumbers w:val="0"/>
              <w:spacing w:before="0" w:beforeAutospacing="0" w:after="0" w:afterAutospacing="0"/>
              <w:ind w:left="0" w:right="0"/>
              <w:rPr>
                <w:rFonts w:hint="eastAsia" w:ascii="Times New Roman" w:hAnsi="Times New Roman" w:cs="Times New Roman"/>
                <w:color w:val="auto"/>
                <w:szCs w:val="24"/>
                <w:lang w:eastAsia="zh-CN"/>
              </w:rPr>
            </w:pPr>
            <w:r>
              <w:rPr>
                <w:rFonts w:hint="eastAsia" w:ascii="Times New Roman" w:hAnsi="Times New Roman" w:cs="Times New Roman"/>
                <w:color w:val="auto"/>
                <w:szCs w:val="24"/>
                <w:lang w:eastAsia="zh-CN"/>
              </w:rPr>
              <w:t>普陆12HF井产生压裂返排液约</w:t>
            </w:r>
            <w:r>
              <w:rPr>
                <w:rFonts w:hint="eastAsia" w:ascii="Times New Roman" w:hAnsi="Times New Roman" w:cs="Times New Roman"/>
                <w:color w:val="auto"/>
                <w:szCs w:val="24"/>
                <w:lang w:val="en-US" w:eastAsia="zh-CN"/>
              </w:rPr>
              <w:t>5775</w:t>
            </w:r>
            <w:r>
              <w:rPr>
                <w:rFonts w:hint="eastAsia" w:ascii="Times New Roman" w:hAnsi="Times New Roman" w:cs="Times New Roman"/>
                <w:color w:val="auto"/>
                <w:szCs w:val="24"/>
                <w:lang w:eastAsia="zh-CN"/>
              </w:rPr>
              <w:t>m</w:t>
            </w:r>
            <w:r>
              <w:rPr>
                <w:rFonts w:hint="eastAsia" w:ascii="Times New Roman" w:hAnsi="Times New Roman" w:cs="Times New Roman"/>
                <w:color w:val="auto"/>
                <w:szCs w:val="24"/>
                <w:vertAlign w:val="superscript"/>
                <w:lang w:eastAsia="zh-CN"/>
              </w:rPr>
              <w:t>3</w:t>
            </w:r>
            <w:r>
              <w:rPr>
                <w:rFonts w:hint="eastAsia" w:ascii="Times New Roman" w:hAnsi="Times New Roman" w:cs="Times New Roman"/>
                <w:color w:val="auto"/>
                <w:szCs w:val="24"/>
                <w:lang w:eastAsia="zh-CN"/>
              </w:rPr>
              <w:t>。</w:t>
            </w:r>
            <w:r>
              <w:rPr>
                <w:rFonts w:hint="eastAsia" w:ascii="Times New Roman" w:hAnsi="Times New Roman" w:cs="Times New Roman"/>
                <w:color w:val="auto"/>
                <w:szCs w:val="24"/>
                <w:lang w:val="en-US" w:eastAsia="zh-CN"/>
              </w:rPr>
              <w:t>单段压裂返排液产生量为481.3m</w:t>
            </w:r>
            <w:r>
              <w:rPr>
                <w:rFonts w:hint="eastAsia" w:ascii="Times New Roman" w:hAnsi="Times New Roman" w:cs="Times New Roman"/>
                <w:color w:val="auto"/>
                <w:szCs w:val="24"/>
                <w:vertAlign w:val="superscript"/>
                <w:lang w:val="en-US" w:eastAsia="zh-CN"/>
              </w:rPr>
              <w:t>3</w:t>
            </w:r>
            <w:r>
              <w:rPr>
                <w:rFonts w:hint="eastAsia" w:ascii="Times New Roman" w:hAnsi="Times New Roman" w:cs="Times New Roman"/>
                <w:color w:val="auto"/>
                <w:szCs w:val="24"/>
                <w:lang w:val="en-US" w:eastAsia="zh-CN"/>
              </w:rPr>
              <w:t>，预计每天最大返排液量为192.5m</w:t>
            </w:r>
            <w:r>
              <w:rPr>
                <w:rFonts w:hint="eastAsia" w:ascii="Times New Roman" w:hAnsi="Times New Roman" w:cs="Times New Roman"/>
                <w:color w:val="auto"/>
                <w:szCs w:val="24"/>
                <w:vertAlign w:val="superscript"/>
                <w:lang w:val="en-US" w:eastAsia="zh-CN"/>
              </w:rPr>
              <w:t>3</w:t>
            </w:r>
            <w:r>
              <w:rPr>
                <w:rFonts w:hint="eastAsia" w:ascii="Times New Roman" w:hAnsi="Times New Roman" w:cs="Times New Roman"/>
                <w:color w:val="auto"/>
                <w:szCs w:val="24"/>
                <w:lang w:val="en-US" w:eastAsia="zh-CN"/>
              </w:rPr>
              <w:t>/d，根据建设单位部署，</w:t>
            </w:r>
            <w:r>
              <w:rPr>
                <w:rFonts w:hint="eastAsia" w:ascii="Times New Roman" w:hAnsi="Times New Roman" w:cs="Times New Roman"/>
                <w:color w:val="auto"/>
                <w:szCs w:val="24"/>
                <w:lang w:eastAsia="zh-CN"/>
              </w:rPr>
              <w:t>普陆12HF井产生的压裂返排液经</w:t>
            </w:r>
            <w:r>
              <w:rPr>
                <w:rFonts w:hint="eastAsia" w:ascii="Times New Roman" w:hAnsi="Times New Roman" w:cs="Times New Roman"/>
                <w:color w:val="auto"/>
                <w:szCs w:val="24"/>
                <w:lang w:val="en-US" w:eastAsia="zh-CN"/>
              </w:rPr>
              <w:t>放喷池经絮凝沉淀处理后由罐车直接拉运</w:t>
            </w:r>
            <w:r>
              <w:rPr>
                <w:rFonts w:hint="eastAsia" w:ascii="Times New Roman" w:hAnsi="Times New Roman" w:cs="Times New Roman"/>
                <w:color w:val="auto"/>
                <w:szCs w:val="24"/>
                <w:lang w:eastAsia="zh-CN"/>
              </w:rPr>
              <w:t>赵家坝污水处理站处理达标后由罐车拉运至普光3井等回注站回注，</w:t>
            </w:r>
            <w:r>
              <w:rPr>
                <w:rFonts w:hint="eastAsia" w:ascii="Times New Roman" w:hAnsi="Times New Roman" w:cs="Times New Roman"/>
                <w:color w:val="auto"/>
                <w:szCs w:val="24"/>
                <w:lang w:val="en-US" w:eastAsia="zh-CN"/>
              </w:rPr>
              <w:t>因此压裂返排液不在现场暂存，即产即运，减少压裂返排液渝现场暂存的风险。</w:t>
            </w:r>
          </w:p>
          <w:p>
            <w:pPr>
              <w:pStyle w:val="215"/>
              <w:keepNext w:val="0"/>
              <w:keepLines w:val="0"/>
              <w:numPr>
                <w:ilvl w:val="0"/>
                <w:numId w:val="10"/>
              </w:numPr>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生活废水</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rPr>
              <w:t>试气工程期间生活污水经生态一体化厕所收集后运至</w:t>
            </w:r>
            <w:r>
              <w:rPr>
                <w:rFonts w:hint="eastAsia" w:ascii="Times New Roman" w:hAnsi="Times New Roman" w:cs="Times New Roman"/>
                <w:color w:val="auto"/>
                <w:lang w:eastAsia="zh-CN"/>
              </w:rPr>
              <w:t>普光镇</w:t>
            </w:r>
            <w:r>
              <w:rPr>
                <w:rFonts w:hint="default" w:ascii="Times New Roman" w:hAnsi="Times New Roman" w:cs="Times New Roman"/>
                <w:color w:val="auto"/>
              </w:rPr>
              <w:t>污水处理厂处理后排放，对地表水环境影响小。</w:t>
            </w:r>
          </w:p>
          <w:p>
            <w:pPr>
              <w:pStyle w:val="38"/>
              <w:keepNext/>
              <w:keepLines w:val="0"/>
              <w:suppressLineNumbers w:val="0"/>
              <w:tabs>
                <w:tab w:val="left" w:pos="377"/>
              </w:tabs>
              <w:spacing w:before="0" w:beforeAutospacing="0" w:after="0" w:afterAutospacing="0" w:line="360" w:lineRule="auto"/>
              <w:ind w:left="0" w:right="0" w:firstLine="482" w:firstLineChars="200"/>
              <w:jc w:val="both"/>
              <w:rPr>
                <w:rFonts w:hint="default" w:ascii="Times New Roman" w:hAnsi="Times New Roman" w:cs="Times New Roman"/>
                <w:color w:val="auto"/>
              </w:rPr>
            </w:pPr>
            <w:r>
              <w:rPr>
                <w:rFonts w:hint="eastAsia" w:ascii="Times New Roman" w:hAnsi="Times New Roman" w:cs="Times New Roman"/>
                <w:b/>
                <w:color w:val="auto"/>
                <w:kern w:val="2"/>
                <w:lang w:eastAsia="zh-CN" w:bidi="ar"/>
              </w:rPr>
              <w:t>赵家坝污水处理站</w:t>
            </w:r>
            <w:r>
              <w:rPr>
                <w:rFonts w:hint="default" w:ascii="Times New Roman" w:hAnsi="Times New Roman" w:cs="Times New Roman"/>
                <w:b/>
                <w:color w:val="auto"/>
                <w:kern w:val="2"/>
                <w:lang w:bidi="ar"/>
              </w:rPr>
              <w:t>、</w:t>
            </w:r>
            <w:r>
              <w:rPr>
                <w:rFonts w:hint="eastAsia" w:ascii="Times New Roman" w:hAnsi="Times New Roman" w:cs="Times New Roman"/>
                <w:b/>
                <w:color w:val="auto"/>
                <w:kern w:val="2"/>
                <w:lang w:eastAsia="zh-CN" w:bidi="ar"/>
              </w:rPr>
              <w:t>普光3井等</w:t>
            </w:r>
            <w:r>
              <w:rPr>
                <w:rFonts w:hint="default" w:ascii="Times New Roman" w:hAnsi="Times New Roman" w:cs="Times New Roman"/>
                <w:b/>
                <w:color w:val="auto"/>
                <w:kern w:val="2"/>
                <w:lang w:bidi="ar"/>
              </w:rPr>
              <w:t>污水回注站处理可行性分析</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eastAsia" w:ascii="Times New Roman" w:hAnsi="Times New Roman" w:cs="Times New Roman"/>
                <w:color w:val="auto"/>
                <w:lang w:eastAsia="zh-CN" w:bidi="ar"/>
              </w:rPr>
            </w:pPr>
            <w:r>
              <w:rPr>
                <w:rFonts w:hint="eastAsia" w:ascii="Times New Roman" w:hAnsi="Times New Roman" w:cs="Times New Roman"/>
                <w:color w:val="auto"/>
                <w:lang w:val="en-US" w:eastAsia="zh-CN" w:bidi="ar"/>
              </w:rPr>
              <w:t>本项目单段废水产生量约为481.3m</w:t>
            </w:r>
            <w:r>
              <w:rPr>
                <w:rFonts w:hint="eastAsia" w:ascii="Times New Roman" w:hAnsi="Times New Roman" w:cs="Times New Roman"/>
                <w:color w:val="auto"/>
                <w:vertAlign w:val="superscript"/>
                <w:lang w:val="en-US" w:eastAsia="zh-CN" w:bidi="ar"/>
              </w:rPr>
              <w:t>3</w:t>
            </w:r>
            <w:r>
              <w:rPr>
                <w:rFonts w:hint="eastAsia" w:ascii="Times New Roman" w:hAnsi="Times New Roman" w:cs="Times New Roman"/>
                <w:color w:val="auto"/>
                <w:lang w:val="en-US" w:eastAsia="zh-CN" w:bidi="ar"/>
              </w:rPr>
              <w:t>，总压裂返排液量为5775m</w:t>
            </w:r>
            <w:r>
              <w:rPr>
                <w:rFonts w:hint="eastAsia" w:ascii="Times New Roman" w:hAnsi="Times New Roman" w:cs="Times New Roman"/>
                <w:color w:val="auto"/>
                <w:vertAlign w:val="superscript"/>
                <w:lang w:val="en-US" w:eastAsia="zh-CN" w:bidi="ar"/>
              </w:rPr>
              <w:t>3</w:t>
            </w:r>
            <w:r>
              <w:rPr>
                <w:rFonts w:hint="eastAsia" w:ascii="Times New Roman" w:hAnsi="Times New Roman" w:cs="Times New Roman"/>
                <w:color w:val="auto"/>
                <w:lang w:val="en-US" w:eastAsia="zh-CN" w:bidi="ar"/>
              </w:rPr>
              <w:t>，经放喷池及清水池收集后由罐车拉运至</w:t>
            </w:r>
            <w:r>
              <w:rPr>
                <w:rFonts w:hint="eastAsia" w:ascii="Times New Roman" w:hAnsi="Times New Roman" w:cs="Times New Roman"/>
                <w:color w:val="auto"/>
                <w:lang w:eastAsia="zh-CN" w:bidi="ar"/>
              </w:rPr>
              <w:t>赵家坝污水处理站集中处理</w:t>
            </w:r>
            <w:r>
              <w:rPr>
                <w:rFonts w:hint="eastAsia" w:ascii="Times New Roman" w:hAnsi="Times New Roman" w:cs="Times New Roman"/>
                <w:color w:val="auto"/>
                <w:lang w:val="en-US" w:eastAsia="zh-CN" w:bidi="ar"/>
              </w:rPr>
              <w:t>后由罐车拉运至普光3井等回注处理，现场</w:t>
            </w:r>
            <w:r>
              <w:rPr>
                <w:rFonts w:hint="eastAsia" w:ascii="Times New Roman" w:hAnsi="Times New Roman" w:cs="Times New Roman"/>
                <w:color w:val="auto"/>
                <w:lang w:eastAsia="zh-CN" w:bidi="ar"/>
              </w:rPr>
              <w:t>不外排。</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eastAsia" w:ascii="Times New Roman" w:hAnsi="Times New Roman" w:cs="Times New Roman"/>
                <w:color w:val="auto"/>
                <w:lang w:eastAsia="zh-CN" w:bidi="ar"/>
              </w:rPr>
            </w:pPr>
            <w:r>
              <w:rPr>
                <w:rFonts w:hint="eastAsia" w:ascii="Times New Roman" w:hAnsi="Times New Roman" w:cs="Times New Roman"/>
                <w:color w:val="auto"/>
                <w:lang w:eastAsia="zh-CN" w:bidi="ar"/>
              </w:rPr>
              <w:t>废水依托处理可行性分析：</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eastAsia" w:ascii="Times New Roman" w:hAnsi="Times New Roman" w:cs="Times New Roman"/>
                <w:color w:val="auto"/>
                <w:lang w:eastAsia="zh-CN" w:bidi="ar"/>
              </w:rPr>
            </w:pPr>
            <w:r>
              <w:rPr>
                <w:rFonts w:hint="eastAsia" w:ascii="Times New Roman" w:hAnsi="Times New Roman" w:cs="Times New Roman"/>
                <w:color w:val="auto"/>
                <w:lang w:eastAsia="zh-CN" w:bidi="ar"/>
              </w:rPr>
              <w:t>①赵家坝污水处理站：</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eastAsia" w:ascii="Times New Roman" w:hAnsi="Times New Roman" w:cs="Times New Roman"/>
                <w:color w:val="auto"/>
                <w:lang w:eastAsia="zh-CN" w:bidi="ar"/>
              </w:rPr>
            </w:pPr>
            <w:r>
              <w:rPr>
                <w:rFonts w:hint="eastAsia" w:ascii="Times New Roman" w:hAnsi="Times New Roman" w:cs="Times New Roman"/>
                <w:color w:val="auto"/>
                <w:lang w:eastAsia="zh-CN" w:bidi="ar"/>
              </w:rPr>
              <w:t>赵家坝污水处理站位于天然气净化厂内，属于普光主体工程，赵家坝污水处理站设计处理能力800m</w:t>
            </w:r>
            <w:r>
              <w:rPr>
                <w:rFonts w:hint="eastAsia" w:ascii="Times New Roman" w:hAnsi="Times New Roman" w:cs="Times New Roman"/>
                <w:color w:val="auto"/>
                <w:vertAlign w:val="superscript"/>
                <w:lang w:eastAsia="zh-CN" w:bidi="ar"/>
              </w:rPr>
              <w:t>3</w:t>
            </w:r>
            <w:r>
              <w:rPr>
                <w:rFonts w:hint="eastAsia" w:ascii="Times New Roman" w:hAnsi="Times New Roman" w:cs="Times New Roman"/>
                <w:color w:val="auto"/>
                <w:lang w:eastAsia="zh-CN" w:bidi="ar"/>
              </w:rPr>
              <w:t>/d，目前实际处理污水量为400m</w:t>
            </w:r>
            <w:r>
              <w:rPr>
                <w:rFonts w:hint="eastAsia" w:ascii="Times New Roman" w:hAnsi="Times New Roman" w:cs="Times New Roman"/>
                <w:color w:val="auto"/>
                <w:vertAlign w:val="superscript"/>
                <w:lang w:eastAsia="zh-CN" w:bidi="ar"/>
              </w:rPr>
              <w:t>3</w:t>
            </w:r>
            <w:r>
              <w:rPr>
                <w:rFonts w:hint="eastAsia" w:ascii="Times New Roman" w:hAnsi="Times New Roman" w:cs="Times New Roman"/>
                <w:color w:val="auto"/>
                <w:lang w:eastAsia="zh-CN" w:bidi="ar"/>
              </w:rPr>
              <w:t>/d，污水处理系统采用“氧化除硫+混凝沉降+过滤”工艺。</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eastAsia" w:ascii="Times New Roman" w:hAnsi="Times New Roman" w:cs="Times New Roman"/>
                <w:color w:val="auto"/>
                <w:lang w:eastAsia="zh-CN" w:bidi="ar"/>
              </w:rPr>
            </w:pPr>
            <w:r>
              <w:rPr>
                <w:rFonts w:hint="eastAsia" w:ascii="Times New Roman" w:hAnsi="Times New Roman" w:cs="Times New Roman"/>
                <w:color w:val="auto"/>
                <w:lang w:val="en-US" w:eastAsia="zh-CN" w:bidi="ar"/>
              </w:rPr>
              <w:t>本项目单段废水产生量约为481.3m</w:t>
            </w:r>
            <w:r>
              <w:rPr>
                <w:rFonts w:hint="eastAsia" w:ascii="Times New Roman" w:hAnsi="Times New Roman" w:cs="Times New Roman"/>
                <w:color w:val="auto"/>
                <w:vertAlign w:val="superscript"/>
                <w:lang w:val="en-US" w:eastAsia="zh-CN" w:bidi="ar"/>
              </w:rPr>
              <w:t>3</w:t>
            </w:r>
            <w:r>
              <w:rPr>
                <w:rFonts w:hint="eastAsia" w:ascii="Times New Roman" w:hAnsi="Times New Roman" w:cs="Times New Roman"/>
                <w:color w:val="auto"/>
                <w:lang w:val="en-US" w:eastAsia="zh-CN" w:bidi="ar"/>
              </w:rPr>
              <w:t>，总压裂返排液量为5775m</w:t>
            </w:r>
            <w:r>
              <w:rPr>
                <w:rFonts w:hint="eastAsia" w:ascii="Times New Roman" w:hAnsi="Times New Roman" w:cs="Times New Roman"/>
                <w:color w:val="auto"/>
                <w:vertAlign w:val="superscript"/>
                <w:lang w:val="en-US" w:eastAsia="zh-CN" w:bidi="ar"/>
              </w:rPr>
              <w:t>3</w:t>
            </w:r>
            <w:r>
              <w:rPr>
                <w:rFonts w:hint="eastAsia" w:ascii="Times New Roman" w:hAnsi="Times New Roman" w:cs="Times New Roman"/>
                <w:color w:val="auto"/>
                <w:lang w:val="en-US" w:eastAsia="zh-CN" w:bidi="ar"/>
              </w:rPr>
              <w:t>，</w:t>
            </w:r>
            <w:r>
              <w:rPr>
                <w:rFonts w:hint="eastAsia" w:ascii="Times New Roman" w:hAnsi="Times New Roman" w:cs="Times New Roman"/>
                <w:color w:val="auto"/>
                <w:lang w:eastAsia="zh-CN" w:bidi="ar"/>
              </w:rPr>
              <w:t>本项目最大</w:t>
            </w:r>
            <w:r>
              <w:rPr>
                <w:rFonts w:hint="eastAsia" w:ascii="Times New Roman" w:hAnsi="Times New Roman" w:cs="Times New Roman"/>
                <w:color w:val="auto"/>
                <w:lang w:val="en-US" w:eastAsia="zh-CN" w:bidi="ar"/>
              </w:rPr>
              <w:t>返排液</w:t>
            </w:r>
            <w:r>
              <w:rPr>
                <w:rFonts w:hint="eastAsia" w:ascii="Times New Roman" w:hAnsi="Times New Roman" w:cs="Times New Roman"/>
                <w:color w:val="auto"/>
                <w:lang w:eastAsia="zh-CN" w:bidi="ar"/>
              </w:rPr>
              <w:t>量为</w:t>
            </w:r>
            <w:r>
              <w:rPr>
                <w:rFonts w:hint="eastAsia" w:ascii="Times New Roman" w:hAnsi="Times New Roman" w:cs="Times New Roman"/>
                <w:color w:val="auto"/>
                <w:lang w:val="en-US" w:eastAsia="zh-CN" w:bidi="ar"/>
              </w:rPr>
              <w:t>192.5</w:t>
            </w:r>
            <w:r>
              <w:rPr>
                <w:rFonts w:hint="eastAsia" w:ascii="Times New Roman" w:hAnsi="Times New Roman" w:cs="Times New Roman"/>
                <w:color w:val="auto"/>
                <w:lang w:eastAsia="zh-CN" w:bidi="ar"/>
              </w:rPr>
              <w:t>m</w:t>
            </w:r>
            <w:r>
              <w:rPr>
                <w:rFonts w:hint="eastAsia" w:ascii="Times New Roman" w:hAnsi="Times New Roman" w:cs="Times New Roman"/>
                <w:color w:val="auto"/>
                <w:vertAlign w:val="superscript"/>
                <w:lang w:eastAsia="zh-CN" w:bidi="ar"/>
              </w:rPr>
              <w:t>3</w:t>
            </w:r>
            <w:r>
              <w:rPr>
                <w:rFonts w:hint="eastAsia" w:ascii="Times New Roman" w:hAnsi="Times New Roman" w:cs="Times New Roman"/>
                <w:color w:val="auto"/>
                <w:lang w:eastAsia="zh-CN" w:bidi="ar"/>
              </w:rPr>
              <w:t>/d，目前赵家坝污水处理站剩余处理能力为400m</w:t>
            </w:r>
            <w:r>
              <w:rPr>
                <w:rFonts w:hint="eastAsia" w:ascii="Times New Roman" w:hAnsi="Times New Roman" w:cs="Times New Roman"/>
                <w:color w:val="auto"/>
                <w:vertAlign w:val="superscript"/>
                <w:lang w:eastAsia="zh-CN" w:bidi="ar"/>
              </w:rPr>
              <w:t>3</w:t>
            </w:r>
            <w:r>
              <w:rPr>
                <w:rFonts w:hint="eastAsia" w:ascii="Times New Roman" w:hAnsi="Times New Roman" w:cs="Times New Roman"/>
                <w:color w:val="auto"/>
                <w:lang w:eastAsia="zh-CN" w:bidi="ar"/>
              </w:rPr>
              <w:t>/d，因此其有足够的处理能力处理本项目采出水。</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eastAsia" w:ascii="Times New Roman" w:hAnsi="Times New Roman" w:cs="Times New Roman"/>
                <w:color w:val="auto"/>
                <w:lang w:val="en-US" w:eastAsia="zh-CN" w:bidi="ar"/>
              </w:rPr>
            </w:pPr>
            <w:r>
              <w:rPr>
                <w:rFonts w:hint="eastAsia" w:ascii="Times New Roman" w:hAnsi="Times New Roman" w:cs="Times New Roman"/>
                <w:color w:val="auto"/>
                <w:lang w:val="en-US" w:eastAsia="zh-CN" w:bidi="ar"/>
              </w:rPr>
              <w:t>赵家坝污水处理站环保手续执行情况：</w:t>
            </w:r>
          </w:p>
          <w:p>
            <w:pPr>
              <w:pStyle w:val="38"/>
              <w:keepNext/>
              <w:keepLines w:val="0"/>
              <w:pageBreakBefore w:val="0"/>
              <w:widowControl/>
              <w:suppressLineNumbers w:val="0"/>
              <w:tabs>
                <w:tab w:val="left" w:pos="377"/>
              </w:tabs>
              <w:kinsoku/>
              <w:wordWrap/>
              <w:overflowPunct/>
              <w:topLinePunct w:val="0"/>
              <w:autoSpaceDE/>
              <w:autoSpaceDN/>
              <w:bidi w:val="0"/>
              <w:adjustRightInd/>
              <w:snapToGrid/>
              <w:spacing w:before="0" w:beforeAutospacing="0" w:after="0" w:afterAutospacing="0" w:line="360" w:lineRule="auto"/>
              <w:ind w:left="0" w:right="0" w:firstLine="0" w:firstLineChars="0"/>
              <w:jc w:val="center"/>
              <w:textAlignment w:val="auto"/>
              <w:rPr>
                <w:rFonts w:hint="eastAsia" w:ascii="Times New Roman" w:hAnsi="Times New Roman" w:cs="Times New Roman"/>
                <w:b/>
                <w:bCs/>
                <w:color w:val="auto"/>
                <w:lang w:eastAsia="zh-CN" w:bidi="ar"/>
              </w:rPr>
            </w:pPr>
            <w:r>
              <w:rPr>
                <w:rFonts w:hint="eastAsia" w:ascii="Times New Roman" w:hAnsi="Times New Roman" w:cs="Times New Roman"/>
                <w:b/>
                <w:bCs/>
                <w:color w:val="auto"/>
                <w:lang w:val="en-US" w:eastAsia="zh-CN" w:bidi="ar"/>
              </w:rPr>
              <w:t>表5.2-1 依托工程“三同时”情况一览表</w:t>
            </w:r>
          </w:p>
          <w:tbl>
            <w:tblPr>
              <w:tblStyle w:val="4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8"/>
              <w:gridCol w:w="923"/>
              <w:gridCol w:w="1443"/>
              <w:gridCol w:w="3023"/>
              <w:gridCol w:w="20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9" w:hRule="atLeast"/>
              </w:trPr>
              <w:tc>
                <w:tcPr>
                  <w:tcW w:w="758"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序号</w:t>
                  </w:r>
                </w:p>
              </w:tc>
              <w:tc>
                <w:tcPr>
                  <w:tcW w:w="923"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项目名称</w:t>
                  </w:r>
                </w:p>
              </w:tc>
              <w:tc>
                <w:tcPr>
                  <w:tcW w:w="1443"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工程内容</w:t>
                  </w:r>
                </w:p>
              </w:tc>
              <w:tc>
                <w:tcPr>
                  <w:tcW w:w="3023"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环评批复、文号及批复时间</w:t>
                  </w:r>
                </w:p>
              </w:tc>
              <w:tc>
                <w:tcPr>
                  <w:tcW w:w="2084"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竣工环保验收时间、文号及验收部分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758"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1</w:t>
                  </w:r>
                </w:p>
              </w:tc>
              <w:tc>
                <w:tcPr>
                  <w:tcW w:w="923" w:type="dxa"/>
                  <w:vAlign w:val="center"/>
                </w:tcPr>
                <w:p>
                  <w:pPr>
                    <w:keepNext/>
                    <w:keepLines w:val="0"/>
                    <w:suppressLineNumbers w:val="0"/>
                    <w:spacing w:before="0" w:beforeAutospacing="0" w:after="0" w:afterAutospacing="0"/>
                    <w:ind w:left="0" w:right="0"/>
                    <w:jc w:val="center"/>
                    <w:rPr>
                      <w:rFonts w:hint="default" w:ascii="Times New Roman" w:hAnsi="Times New Roman" w:cs="Times New Roman"/>
                      <w:color w:val="auto"/>
                      <w:szCs w:val="21"/>
                      <w:lang w:val="en-US" w:eastAsia="zh-CN" w:bidi="ar"/>
                    </w:rPr>
                  </w:pPr>
                  <w:r>
                    <w:rPr>
                      <w:rFonts w:hint="eastAsia" w:ascii="Times New Roman" w:hAnsi="Times New Roman" w:cs="Times New Roman"/>
                      <w:color w:val="auto"/>
                      <w:szCs w:val="21"/>
                      <w:lang w:val="en-US" w:eastAsia="zh-CN" w:bidi="ar"/>
                    </w:rPr>
                    <w:t>赵家坝污水处理站</w:t>
                  </w:r>
                  <w:r>
                    <w:rPr>
                      <w:rFonts w:hint="eastAsia" w:cs="Times New Roman"/>
                      <w:color w:val="auto"/>
                      <w:szCs w:val="21"/>
                      <w:lang w:val="en-US" w:eastAsia="zh-CN" w:bidi="ar"/>
                    </w:rPr>
                    <w:t xml:space="preserve"> </w:t>
                  </w:r>
                </w:p>
              </w:tc>
              <w:tc>
                <w:tcPr>
                  <w:tcW w:w="1443"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赵家坝污水处理站（1号气田水处理站）</w:t>
                  </w:r>
                </w:p>
              </w:tc>
              <w:tc>
                <w:tcPr>
                  <w:tcW w:w="3023"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2015年4月20日，宣汉县环境保护局，宣环审〔2015〕33号；</w:t>
                  </w:r>
                </w:p>
              </w:tc>
              <w:tc>
                <w:tcPr>
                  <w:tcW w:w="2084"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2016年</w:t>
                  </w:r>
                  <w:r>
                    <w:rPr>
                      <w:rFonts w:hint="eastAsia" w:cs="Times New Roman"/>
                      <w:color w:val="auto"/>
                      <w:szCs w:val="21"/>
                      <w:lang w:val="en-US" w:eastAsia="zh-CN" w:bidi="ar"/>
                    </w:rPr>
                    <w:t>3月4日</w:t>
                  </w:r>
                  <w:r>
                    <w:rPr>
                      <w:rFonts w:hint="eastAsia" w:ascii="Times New Roman" w:hAnsi="Times New Roman" w:cs="Times New Roman"/>
                      <w:color w:val="auto"/>
                      <w:szCs w:val="21"/>
                      <w:lang w:val="en-US" w:eastAsia="zh-CN" w:bidi="ar"/>
                    </w:rPr>
                    <w:t>，宣汉县环境保护局，宣环验〔2016〕1号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758"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2</w:t>
                  </w:r>
                </w:p>
              </w:tc>
              <w:tc>
                <w:tcPr>
                  <w:tcW w:w="923"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cs="Times New Roman"/>
                      <w:color w:val="auto"/>
                      <w:szCs w:val="21"/>
                      <w:lang w:val="en-US" w:eastAsia="zh-CN" w:bidi="ar"/>
                    </w:rPr>
                    <w:t>普光3井等</w:t>
                  </w:r>
                  <w:r>
                    <w:rPr>
                      <w:rFonts w:hint="eastAsia" w:ascii="Times New Roman" w:hAnsi="Times New Roman" w:cs="Times New Roman"/>
                      <w:color w:val="auto"/>
                      <w:szCs w:val="21"/>
                      <w:lang w:val="en-US" w:eastAsia="zh-CN" w:bidi="ar"/>
                    </w:rPr>
                    <w:t>回注站</w:t>
                  </w:r>
                </w:p>
              </w:tc>
              <w:tc>
                <w:tcPr>
                  <w:tcW w:w="1443"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普光3及井回注站管线</w:t>
                  </w:r>
                </w:p>
              </w:tc>
              <w:tc>
                <w:tcPr>
                  <w:tcW w:w="3023"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2013年10月24日，四川省环境保护厅，川环审批〔2013〕634号</w:t>
                  </w:r>
                </w:p>
              </w:tc>
              <w:tc>
                <w:tcPr>
                  <w:tcW w:w="2084" w:type="dxa"/>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2015年9月15日，四川省环境保护厅，川环验〔2015〕195号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758" w:type="dxa"/>
                  <w:shd w:val="clear" w:color="auto" w:fill="auto"/>
                  <w:vAlign w:val="center"/>
                </w:tcPr>
                <w:p>
                  <w:pPr>
                    <w:keepNext/>
                    <w:keepLines w:val="0"/>
                    <w:suppressLineNumbers w:val="0"/>
                    <w:spacing w:before="0" w:beforeAutospacing="0" w:after="0" w:afterAutospacing="0"/>
                    <w:ind w:left="0" w:leftChars="0" w:right="0" w:rightChars="0"/>
                    <w:jc w:val="center"/>
                    <w:rPr>
                      <w:rFonts w:hint="eastAsia" w:ascii="Times New Roman" w:hAnsi="Times New Roman" w:eastAsia="宋体" w:cs="Times New Roman"/>
                      <w:color w:val="auto"/>
                      <w:kern w:val="2"/>
                      <w:sz w:val="21"/>
                      <w:szCs w:val="21"/>
                      <w:lang w:val="en-US" w:eastAsia="zh-CN" w:bidi="ar"/>
                    </w:rPr>
                  </w:pPr>
                  <w:r>
                    <w:rPr>
                      <w:rFonts w:hint="eastAsia" w:cs="Times New Roman"/>
                      <w:color w:val="auto"/>
                      <w:szCs w:val="21"/>
                      <w:lang w:val="en-US" w:eastAsia="zh-CN" w:bidi="ar"/>
                    </w:rPr>
                    <w:t>3</w:t>
                  </w:r>
                </w:p>
              </w:tc>
              <w:tc>
                <w:tcPr>
                  <w:tcW w:w="923" w:type="dxa"/>
                  <w:shd w:val="clear" w:color="auto" w:fill="auto"/>
                  <w:vAlign w:val="center"/>
                </w:tcPr>
                <w:p>
                  <w:pPr>
                    <w:keepNext/>
                    <w:keepLines w:val="0"/>
                    <w:suppressLineNumbers w:val="0"/>
                    <w:spacing w:before="0" w:beforeAutospacing="0" w:after="0" w:afterAutospacing="0"/>
                    <w:ind w:left="0" w:leftChars="0" w:right="0" w:rightChars="0"/>
                    <w:jc w:val="center"/>
                    <w:rPr>
                      <w:rFonts w:hint="eastAsia" w:ascii="Times New Roman" w:hAnsi="Times New Roman" w:eastAsia="宋体" w:cs="Times New Roman"/>
                      <w:color w:val="auto"/>
                      <w:kern w:val="2"/>
                      <w:sz w:val="21"/>
                      <w:szCs w:val="21"/>
                      <w:lang w:val="en-US" w:eastAsia="zh-CN" w:bidi="ar"/>
                    </w:rPr>
                  </w:pPr>
                  <w:r>
                    <w:rPr>
                      <w:rFonts w:hint="eastAsia" w:cs="Times New Roman"/>
                      <w:color w:val="auto"/>
                      <w:szCs w:val="21"/>
                      <w:lang w:val="en-US" w:eastAsia="zh-CN" w:bidi="ar"/>
                    </w:rPr>
                    <w:t>毛开1回注站</w:t>
                  </w:r>
                </w:p>
              </w:tc>
              <w:tc>
                <w:tcPr>
                  <w:tcW w:w="1443" w:type="dxa"/>
                  <w:shd w:val="clear" w:color="auto" w:fill="auto"/>
                  <w:vAlign w:val="center"/>
                </w:tcPr>
                <w:p>
                  <w:pPr>
                    <w:keepNext/>
                    <w:keepLines w:val="0"/>
                    <w:suppressLineNumbers w:val="0"/>
                    <w:spacing w:before="0" w:beforeAutospacing="0" w:after="0" w:afterAutospacing="0"/>
                    <w:ind w:left="0" w:leftChars="0" w:right="0" w:rightChars="0"/>
                    <w:jc w:val="center"/>
                    <w:rPr>
                      <w:rFonts w:hint="eastAsia" w:ascii="Times New Roman" w:hAnsi="Times New Roman" w:eastAsia="宋体" w:cs="Times New Roman"/>
                      <w:color w:val="auto"/>
                      <w:kern w:val="2"/>
                      <w:sz w:val="21"/>
                      <w:szCs w:val="21"/>
                      <w:lang w:val="en-US" w:eastAsia="zh-CN" w:bidi="ar"/>
                    </w:rPr>
                  </w:pPr>
                  <w:r>
                    <w:rPr>
                      <w:rFonts w:hint="eastAsia" w:cs="Times New Roman"/>
                      <w:color w:val="auto"/>
                      <w:szCs w:val="21"/>
                      <w:lang w:val="en-US" w:eastAsia="zh-CN" w:bidi="ar"/>
                    </w:rPr>
                    <w:t>毛开1井回注管线</w:t>
                  </w:r>
                </w:p>
              </w:tc>
              <w:tc>
                <w:tcPr>
                  <w:tcW w:w="3023" w:type="dxa"/>
                  <w:shd w:val="clear" w:color="auto" w:fill="auto"/>
                  <w:vAlign w:val="center"/>
                </w:tcPr>
                <w:p>
                  <w:pPr>
                    <w:keepNext/>
                    <w:keepLines w:val="0"/>
                    <w:suppressLineNumbers w:val="0"/>
                    <w:spacing w:before="0" w:beforeAutospacing="0" w:after="0" w:afterAutospacing="0"/>
                    <w:ind w:left="0" w:leftChars="0" w:right="0" w:rightChars="0"/>
                    <w:jc w:val="center"/>
                    <w:rPr>
                      <w:rFonts w:hint="eastAsia" w:ascii="Times New Roman" w:hAnsi="Times New Roman" w:eastAsia="宋体" w:cs="Times New Roman"/>
                      <w:color w:val="auto"/>
                      <w:kern w:val="2"/>
                      <w:sz w:val="21"/>
                      <w:szCs w:val="21"/>
                      <w:lang w:val="en-US" w:eastAsia="zh-CN" w:bidi="ar"/>
                    </w:rPr>
                  </w:pPr>
                  <w:r>
                    <w:rPr>
                      <w:rFonts w:hint="eastAsia" w:ascii="Times New Roman" w:hAnsi="Times New Roman" w:cs="Times New Roman"/>
                      <w:color w:val="auto"/>
                      <w:szCs w:val="21"/>
                      <w:lang w:val="en-US" w:eastAsia="zh-CN" w:bidi="ar"/>
                    </w:rPr>
                    <w:t>2011年8月</w:t>
                  </w:r>
                  <w:r>
                    <w:rPr>
                      <w:rFonts w:hint="eastAsia" w:cs="Times New Roman"/>
                      <w:color w:val="auto"/>
                      <w:szCs w:val="21"/>
                      <w:lang w:val="en-US" w:eastAsia="zh-CN" w:bidi="ar"/>
                    </w:rPr>
                    <w:t>，川环审批〔2011〕325号</w:t>
                  </w:r>
                </w:p>
              </w:tc>
              <w:tc>
                <w:tcPr>
                  <w:tcW w:w="2084" w:type="dxa"/>
                  <w:shd w:val="clear" w:color="auto" w:fill="auto"/>
                  <w:vAlign w:val="center"/>
                </w:tcPr>
                <w:p>
                  <w:pPr>
                    <w:keepNext/>
                    <w:keepLines w:val="0"/>
                    <w:suppressLineNumbers w:val="0"/>
                    <w:spacing w:before="0" w:beforeAutospacing="0" w:after="0" w:afterAutospacing="0"/>
                    <w:ind w:left="0" w:leftChars="0" w:right="0" w:rightChars="0"/>
                    <w:jc w:val="center"/>
                    <w:rPr>
                      <w:rFonts w:hint="eastAsia" w:ascii="Times New Roman" w:hAnsi="Times New Roman" w:eastAsia="宋体" w:cs="Times New Roman"/>
                      <w:color w:val="auto"/>
                      <w:kern w:val="2"/>
                      <w:sz w:val="21"/>
                      <w:szCs w:val="21"/>
                      <w:lang w:val="en-US" w:eastAsia="zh-CN" w:bidi="ar"/>
                    </w:rPr>
                  </w:pPr>
                  <w:r>
                    <w:rPr>
                      <w:rFonts w:hint="eastAsia" w:ascii="Times New Roman" w:hAnsi="Times New Roman" w:cs="Times New Roman"/>
                      <w:color w:val="auto"/>
                      <w:szCs w:val="21"/>
                      <w:lang w:val="en-US" w:eastAsia="zh-CN" w:bidi="ar"/>
                    </w:rPr>
                    <w:t>2013年</w:t>
                  </w:r>
                  <w:r>
                    <w:rPr>
                      <w:rFonts w:hint="eastAsia" w:cs="Times New Roman"/>
                      <w:color w:val="auto"/>
                      <w:szCs w:val="21"/>
                      <w:lang w:val="en-US" w:eastAsia="zh-CN" w:bidi="ar"/>
                    </w:rPr>
                    <w:t>，川环验〔2013〕194号文</w:t>
                  </w:r>
                </w:p>
              </w:tc>
            </w:tr>
          </w:tbl>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eastAsia" w:ascii="Times New Roman" w:hAnsi="Times New Roman" w:cs="Times New Roman"/>
                <w:color w:val="auto"/>
                <w:lang w:eastAsia="zh-CN" w:bidi="ar"/>
              </w:rPr>
            </w:pPr>
            <w:r>
              <w:rPr>
                <w:rFonts w:hint="eastAsia" w:ascii="Times New Roman" w:hAnsi="Times New Roman" w:cs="Times New Roman"/>
                <w:color w:val="auto"/>
                <w:lang w:eastAsia="zh-CN" w:bidi="ar"/>
              </w:rPr>
              <w:t>②</w:t>
            </w:r>
            <w:r>
              <w:rPr>
                <w:rFonts w:hint="eastAsia" w:ascii="Times New Roman" w:hAnsi="Times New Roman" w:cs="Times New Roman"/>
                <w:color w:val="auto"/>
                <w:lang w:val="en-US" w:eastAsia="zh-CN" w:bidi="ar"/>
              </w:rPr>
              <w:t>普光3井回注站</w:t>
            </w:r>
            <w:r>
              <w:rPr>
                <w:rFonts w:hint="eastAsia" w:ascii="Times New Roman" w:hAnsi="Times New Roman" w:cs="Times New Roman"/>
                <w:color w:val="auto"/>
                <w:lang w:eastAsia="zh-CN" w:bidi="ar"/>
              </w:rPr>
              <w:t>：</w:t>
            </w:r>
          </w:p>
          <w:p>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right="0" w:firstLine="480" w:firstLineChars="200"/>
              <w:jc w:val="both"/>
              <w:textAlignment w:val="auto"/>
              <w:rPr>
                <w:rFonts w:hint="eastAsia" w:ascii="Times New Roman" w:hAnsi="Times New Roman" w:cs="Times New Roman"/>
                <w:color w:val="auto"/>
                <w:sz w:val="24"/>
                <w:szCs w:val="32"/>
                <w:lang w:val="en-US" w:eastAsia="zh-CN" w:bidi="ar"/>
              </w:rPr>
            </w:pPr>
            <w:r>
              <w:rPr>
                <w:rFonts w:hint="eastAsia" w:ascii="宋体" w:hAnsi="宋体" w:eastAsia="宋体" w:cs="宋体"/>
                <w:color w:val="auto"/>
                <w:kern w:val="2"/>
                <w:sz w:val="24"/>
                <w:szCs w:val="24"/>
                <w:lang w:val="en-US" w:eastAsia="zh-CN" w:bidi="ar"/>
              </w:rPr>
              <w:t>本项目经赵家坝污水处理站处理后的作业废水经处理达标后均通过普光</w:t>
            </w:r>
            <w:r>
              <w:rPr>
                <w:rFonts w:hint="default" w:ascii="Times New Roman" w:hAnsi="Times New Roman" w:eastAsia="宋体" w:cs="Times New Roman"/>
                <w:color w:val="auto"/>
                <w:kern w:val="2"/>
                <w:sz w:val="24"/>
                <w:szCs w:val="24"/>
                <w:lang w:val="en-US" w:eastAsia="zh-CN" w:bidi="ar"/>
              </w:rPr>
              <w:t>3</w:t>
            </w:r>
            <w:r>
              <w:rPr>
                <w:rFonts w:hint="eastAsia" w:ascii="宋体" w:hAnsi="宋体" w:eastAsia="宋体" w:cs="宋体"/>
                <w:color w:val="auto"/>
                <w:kern w:val="2"/>
                <w:sz w:val="24"/>
                <w:szCs w:val="24"/>
                <w:lang w:val="en-US" w:eastAsia="zh-CN" w:bidi="ar"/>
              </w:rPr>
              <w:t>井回注地层。普光</w:t>
            </w:r>
            <w:r>
              <w:rPr>
                <w:rFonts w:hint="default" w:ascii="Times New Roman" w:hAnsi="Times New Roman" w:eastAsia="宋体" w:cs="Times New Roman"/>
                <w:color w:val="auto"/>
                <w:kern w:val="2"/>
                <w:sz w:val="24"/>
                <w:szCs w:val="24"/>
                <w:lang w:val="en-US" w:eastAsia="zh-CN" w:bidi="ar"/>
              </w:rPr>
              <w:t>3</w:t>
            </w:r>
            <w:r>
              <w:rPr>
                <w:rFonts w:hint="eastAsia" w:ascii="宋体" w:hAnsi="宋体" w:eastAsia="宋体" w:cs="宋体"/>
                <w:color w:val="auto"/>
                <w:kern w:val="2"/>
                <w:sz w:val="24"/>
                <w:szCs w:val="24"/>
                <w:lang w:val="en-US" w:eastAsia="zh-CN" w:bidi="ar"/>
              </w:rPr>
              <w:t>井等回注站位于达州市宣汉县黄金镇斑竹村</w:t>
            </w:r>
            <w:r>
              <w:rPr>
                <w:rFonts w:hint="default" w:ascii="Times New Roman" w:hAnsi="Times New Roman" w:eastAsia="宋体" w:cs="Times New Roman"/>
                <w:color w:val="auto"/>
                <w:kern w:val="2"/>
                <w:sz w:val="24"/>
                <w:szCs w:val="24"/>
                <w:lang w:val="en-US" w:eastAsia="zh-CN" w:bidi="ar"/>
              </w:rPr>
              <w:t>3</w:t>
            </w:r>
            <w:r>
              <w:rPr>
                <w:rFonts w:hint="eastAsia" w:ascii="宋体" w:hAnsi="宋体" w:eastAsia="宋体" w:cs="宋体"/>
                <w:color w:val="auto"/>
                <w:kern w:val="2"/>
                <w:sz w:val="24"/>
                <w:szCs w:val="24"/>
                <w:lang w:val="en-US" w:eastAsia="zh-CN" w:bidi="ar"/>
              </w:rPr>
              <w:t>组，该站场已建废水池容积为</w:t>
            </w:r>
            <w:r>
              <w:rPr>
                <w:rFonts w:hint="default" w:ascii="Times New Roman" w:hAnsi="Times New Roman" w:eastAsia="宋体" w:cs="Times New Roman"/>
                <w:color w:val="auto"/>
                <w:kern w:val="2"/>
                <w:sz w:val="24"/>
                <w:szCs w:val="24"/>
                <w:lang w:val="en-US" w:eastAsia="zh-CN" w:bidi="ar"/>
              </w:rPr>
              <w:t>1200m</w:t>
            </w:r>
            <w:r>
              <w:rPr>
                <w:rFonts w:hint="default" w:ascii="Times New Roman" w:hAnsi="Times New Roman" w:eastAsia="宋体" w:cs="Times New Roman"/>
                <w:color w:val="auto"/>
                <w:kern w:val="2"/>
                <w:sz w:val="24"/>
                <w:szCs w:val="24"/>
                <w:vertAlign w:val="superscript"/>
                <w:lang w:val="en-US" w:eastAsia="zh-CN" w:bidi="ar"/>
              </w:rPr>
              <w:t>3</w:t>
            </w:r>
            <w:r>
              <w:rPr>
                <w:rFonts w:hint="eastAsia" w:ascii="宋体" w:hAnsi="宋体" w:eastAsia="宋体" w:cs="宋体"/>
                <w:color w:val="auto"/>
                <w:kern w:val="2"/>
                <w:sz w:val="24"/>
                <w:szCs w:val="24"/>
                <w:lang w:val="en-US" w:eastAsia="zh-CN" w:bidi="ar"/>
              </w:rPr>
              <w:t>，池内现有水量为</w:t>
            </w:r>
            <w:r>
              <w:rPr>
                <w:rFonts w:hint="default" w:ascii="Times New Roman" w:hAnsi="Times New Roman" w:eastAsia="宋体" w:cs="Times New Roman"/>
                <w:color w:val="auto"/>
                <w:kern w:val="2"/>
                <w:sz w:val="24"/>
                <w:szCs w:val="24"/>
                <w:lang w:val="en-US" w:eastAsia="zh-CN" w:bidi="ar"/>
              </w:rPr>
              <w:t>345m</w:t>
            </w:r>
            <w:r>
              <w:rPr>
                <w:rFonts w:hint="default" w:ascii="Times New Roman" w:hAnsi="Times New Roman" w:eastAsia="宋体" w:cs="Times New Roman"/>
                <w:color w:val="auto"/>
                <w:kern w:val="2"/>
                <w:sz w:val="24"/>
                <w:szCs w:val="24"/>
                <w:vertAlign w:val="superscript"/>
                <w:lang w:val="en-US" w:eastAsia="zh-CN" w:bidi="ar"/>
              </w:rPr>
              <w:t>3</w:t>
            </w:r>
            <w:r>
              <w:rPr>
                <w:rFonts w:hint="eastAsia" w:ascii="宋体" w:hAnsi="宋体" w:eastAsia="宋体" w:cs="宋体"/>
                <w:color w:val="auto"/>
                <w:kern w:val="2"/>
                <w:sz w:val="24"/>
                <w:szCs w:val="24"/>
                <w:lang w:val="en-US" w:eastAsia="zh-CN" w:bidi="ar"/>
              </w:rPr>
              <w:t>，回注层位为飞仙关组飞一段</w:t>
            </w:r>
            <w:r>
              <w:rPr>
                <w:rFonts w:hint="default" w:ascii="Times New Roman" w:hAnsi="Times New Roman" w:eastAsia="宋体" w:cs="Times New Roman"/>
                <w:color w:val="auto"/>
                <w:kern w:val="2"/>
                <w:sz w:val="24"/>
                <w:szCs w:val="24"/>
                <w:lang w:val="en-US" w:eastAsia="zh-CN" w:bidi="ar"/>
              </w:rPr>
              <w:t>~</w:t>
            </w:r>
            <w:r>
              <w:rPr>
                <w:rFonts w:hint="eastAsia" w:ascii="宋体" w:hAnsi="宋体" w:eastAsia="宋体" w:cs="宋体"/>
                <w:color w:val="auto"/>
                <w:kern w:val="2"/>
                <w:sz w:val="24"/>
                <w:szCs w:val="24"/>
                <w:lang w:val="en-US" w:eastAsia="zh-CN" w:bidi="ar"/>
              </w:rPr>
              <w:t>飞二段、飞二段</w:t>
            </w:r>
            <w:r>
              <w:rPr>
                <w:rFonts w:hint="default" w:ascii="Times New Roman" w:hAnsi="Times New Roman" w:eastAsia="宋体" w:cs="Times New Roman"/>
                <w:color w:val="auto"/>
                <w:kern w:val="2"/>
                <w:sz w:val="24"/>
                <w:szCs w:val="24"/>
                <w:lang w:val="en-US" w:eastAsia="zh-CN" w:bidi="ar"/>
              </w:rPr>
              <w:t>~</w:t>
            </w:r>
            <w:r>
              <w:rPr>
                <w:rFonts w:hint="eastAsia" w:ascii="宋体" w:hAnsi="宋体" w:eastAsia="宋体" w:cs="宋体"/>
                <w:color w:val="auto"/>
                <w:kern w:val="2"/>
                <w:sz w:val="24"/>
                <w:szCs w:val="24"/>
                <w:lang w:val="en-US" w:eastAsia="zh-CN" w:bidi="ar"/>
              </w:rPr>
              <w:t>飞三段，注水深度为</w:t>
            </w:r>
            <w:r>
              <w:rPr>
                <w:rFonts w:hint="default" w:ascii="Times New Roman" w:hAnsi="Times New Roman" w:eastAsia="宋体" w:cs="Times New Roman"/>
                <w:color w:val="auto"/>
                <w:kern w:val="2"/>
                <w:sz w:val="24"/>
                <w:szCs w:val="24"/>
                <w:lang w:val="en-US" w:eastAsia="zh-CN" w:bidi="ar"/>
              </w:rPr>
              <w:t>5423.6m~5476.0m</w:t>
            </w:r>
            <w:r>
              <w:rPr>
                <w:rFonts w:hint="eastAsia" w:ascii="宋体" w:hAnsi="宋体" w:eastAsia="宋体" w:cs="宋体"/>
                <w:color w:val="auto"/>
                <w:kern w:val="2"/>
                <w:sz w:val="24"/>
                <w:szCs w:val="24"/>
                <w:lang w:val="en-US" w:eastAsia="zh-CN" w:bidi="ar"/>
              </w:rPr>
              <w:t>，回注储集空间</w:t>
            </w:r>
            <w:r>
              <w:rPr>
                <w:rFonts w:hint="default" w:ascii="Times New Roman" w:hAnsi="Times New Roman" w:eastAsia="宋体" w:cs="Times New Roman"/>
                <w:color w:val="auto"/>
                <w:kern w:val="2"/>
                <w:sz w:val="24"/>
                <w:szCs w:val="24"/>
                <w:lang w:val="en-US" w:eastAsia="zh-CN" w:bidi="ar"/>
              </w:rPr>
              <w:t>191</w:t>
            </w:r>
            <w:r>
              <w:rPr>
                <w:rFonts w:hint="eastAsia" w:ascii="宋体" w:hAnsi="宋体" w:eastAsia="宋体" w:cs="宋体"/>
                <w:color w:val="auto"/>
                <w:kern w:val="2"/>
                <w:sz w:val="24"/>
                <w:szCs w:val="24"/>
                <w:lang w:val="en-US" w:eastAsia="zh-CN" w:bidi="ar"/>
              </w:rPr>
              <w:t>×</w:t>
            </w:r>
            <w:r>
              <w:rPr>
                <w:rFonts w:hint="default" w:ascii="Times New Roman" w:hAnsi="Times New Roman" w:eastAsia="宋体" w:cs="Times New Roman"/>
                <w:color w:val="auto"/>
                <w:kern w:val="2"/>
                <w:sz w:val="24"/>
                <w:szCs w:val="24"/>
                <w:lang w:val="en-US" w:eastAsia="zh-CN" w:bidi="ar"/>
              </w:rPr>
              <w:t>10</w:t>
            </w:r>
            <w:r>
              <w:rPr>
                <w:rFonts w:hint="default" w:ascii="Times New Roman" w:hAnsi="Times New Roman" w:eastAsia="宋体" w:cs="Times New Roman"/>
                <w:color w:val="auto"/>
                <w:kern w:val="2"/>
                <w:sz w:val="24"/>
                <w:szCs w:val="24"/>
                <w:vertAlign w:val="superscript"/>
                <w:lang w:val="en-US" w:eastAsia="zh-CN" w:bidi="ar"/>
              </w:rPr>
              <w:t>4</w:t>
            </w:r>
            <w:r>
              <w:rPr>
                <w:rFonts w:hint="default" w:ascii="Times New Roman" w:hAnsi="Times New Roman" w:eastAsia="宋体" w:cs="Times New Roman"/>
                <w:color w:val="auto"/>
                <w:kern w:val="2"/>
                <w:sz w:val="24"/>
                <w:szCs w:val="24"/>
                <w:lang w:val="en-US" w:eastAsia="zh-CN" w:bidi="ar"/>
              </w:rPr>
              <w:t>m</w:t>
            </w:r>
            <w:r>
              <w:rPr>
                <w:rFonts w:hint="default" w:ascii="Times New Roman" w:hAnsi="Times New Roman" w:eastAsia="宋体" w:cs="Times New Roman"/>
                <w:color w:val="auto"/>
                <w:kern w:val="2"/>
                <w:sz w:val="24"/>
                <w:szCs w:val="24"/>
                <w:vertAlign w:val="superscript"/>
                <w:lang w:val="en-US" w:eastAsia="zh-CN" w:bidi="ar"/>
              </w:rPr>
              <w:t>3</w:t>
            </w:r>
            <w:r>
              <w:rPr>
                <w:rFonts w:hint="eastAsia" w:ascii="宋体" w:hAnsi="宋体" w:eastAsia="宋体" w:cs="宋体"/>
                <w:color w:val="auto"/>
                <w:kern w:val="2"/>
                <w:sz w:val="24"/>
                <w:szCs w:val="24"/>
                <w:lang w:val="en-US" w:eastAsia="zh-CN" w:bidi="ar"/>
              </w:rPr>
              <w:t>，注水压力约为</w:t>
            </w:r>
            <w:r>
              <w:rPr>
                <w:rFonts w:hint="default" w:ascii="Times New Roman" w:hAnsi="Times New Roman" w:eastAsia="宋体" w:cs="Times New Roman"/>
                <w:color w:val="auto"/>
                <w:kern w:val="2"/>
                <w:sz w:val="24"/>
                <w:szCs w:val="24"/>
                <w:lang w:val="en-US" w:eastAsia="zh-CN" w:bidi="ar"/>
              </w:rPr>
              <w:t>35MPa</w:t>
            </w:r>
            <w:r>
              <w:rPr>
                <w:rFonts w:hint="eastAsia" w:ascii="宋体" w:hAnsi="宋体" w:eastAsia="宋体" w:cs="宋体"/>
                <w:color w:val="auto"/>
                <w:kern w:val="2"/>
                <w:sz w:val="24"/>
                <w:szCs w:val="24"/>
                <w:lang w:val="en-US" w:eastAsia="zh-CN" w:bidi="ar"/>
              </w:rPr>
              <w:t>，污水回注设计规模为</w:t>
            </w:r>
            <w:r>
              <w:rPr>
                <w:rFonts w:hint="default" w:ascii="Times New Roman" w:hAnsi="Times New Roman" w:eastAsia="宋体" w:cs="Times New Roman"/>
                <w:color w:val="auto"/>
                <w:kern w:val="2"/>
                <w:sz w:val="24"/>
                <w:szCs w:val="24"/>
                <w:lang w:val="en-US" w:eastAsia="zh-CN" w:bidi="ar"/>
              </w:rPr>
              <w:t>300m</w:t>
            </w:r>
            <w:r>
              <w:rPr>
                <w:rFonts w:hint="default" w:ascii="Times New Roman" w:hAnsi="Times New Roman" w:eastAsia="宋体" w:cs="Times New Roman"/>
                <w:color w:val="auto"/>
                <w:kern w:val="2"/>
                <w:sz w:val="24"/>
                <w:szCs w:val="24"/>
                <w:vertAlign w:val="superscript"/>
                <w:lang w:val="en-US" w:eastAsia="zh-CN" w:bidi="ar"/>
              </w:rPr>
              <w:t>3</w:t>
            </w:r>
            <w:r>
              <w:rPr>
                <w:rFonts w:hint="default" w:ascii="Times New Roman" w:hAnsi="Times New Roman" w:eastAsia="宋体" w:cs="Times New Roman"/>
                <w:color w:val="auto"/>
                <w:kern w:val="2"/>
                <w:sz w:val="24"/>
                <w:szCs w:val="24"/>
                <w:lang w:val="en-US" w:eastAsia="zh-CN" w:bidi="ar"/>
              </w:rPr>
              <w:t>/d</w:t>
            </w:r>
            <w:r>
              <w:rPr>
                <w:rFonts w:hint="eastAsia" w:ascii="宋体" w:hAnsi="宋体" w:eastAsia="宋体" w:cs="宋体"/>
                <w:color w:val="auto"/>
                <w:kern w:val="2"/>
                <w:sz w:val="24"/>
                <w:szCs w:val="24"/>
                <w:lang w:val="en-US" w:eastAsia="zh-CN" w:bidi="ar"/>
              </w:rPr>
              <w:t>，目前回注量为</w:t>
            </w:r>
            <w:r>
              <w:rPr>
                <w:rFonts w:hint="default" w:ascii="Times New Roman" w:hAnsi="Times New Roman" w:eastAsia="宋体" w:cs="Times New Roman"/>
                <w:color w:val="auto"/>
                <w:kern w:val="2"/>
                <w:sz w:val="24"/>
                <w:szCs w:val="24"/>
                <w:lang w:val="en-US" w:eastAsia="zh-CN" w:bidi="ar"/>
              </w:rPr>
              <w:t>90~130m</w:t>
            </w:r>
            <w:r>
              <w:rPr>
                <w:rFonts w:hint="default" w:ascii="Times New Roman" w:hAnsi="Times New Roman" w:eastAsia="宋体" w:cs="Times New Roman"/>
                <w:color w:val="auto"/>
                <w:kern w:val="2"/>
                <w:sz w:val="24"/>
                <w:szCs w:val="24"/>
                <w:vertAlign w:val="superscript"/>
                <w:lang w:val="en-US" w:eastAsia="zh-CN" w:bidi="ar"/>
              </w:rPr>
              <w:t>3</w:t>
            </w:r>
            <w:r>
              <w:rPr>
                <w:rFonts w:hint="default" w:ascii="Times New Roman" w:hAnsi="Times New Roman" w:eastAsia="宋体" w:cs="Times New Roman"/>
                <w:color w:val="auto"/>
                <w:kern w:val="2"/>
                <w:sz w:val="24"/>
                <w:szCs w:val="24"/>
                <w:lang w:val="en-US" w:eastAsia="zh-CN" w:bidi="ar"/>
              </w:rPr>
              <w:t>/d</w:t>
            </w:r>
            <w:r>
              <w:rPr>
                <w:rFonts w:hint="eastAsia" w:ascii="宋体" w:hAnsi="宋体" w:eastAsia="宋体" w:cs="宋体"/>
                <w:color w:val="auto"/>
                <w:kern w:val="2"/>
                <w:sz w:val="24"/>
                <w:szCs w:val="24"/>
                <w:lang w:val="en-US" w:eastAsia="zh-CN" w:bidi="ar"/>
              </w:rPr>
              <w:t>，已回注总量为</w:t>
            </w:r>
            <w:r>
              <w:rPr>
                <w:rFonts w:hint="default" w:ascii="Times New Roman" w:hAnsi="Times New Roman" w:eastAsia="宋体" w:cs="Times New Roman"/>
                <w:color w:val="auto"/>
                <w:kern w:val="2"/>
                <w:sz w:val="24"/>
                <w:szCs w:val="24"/>
                <w:lang w:val="en-US" w:eastAsia="zh-CN" w:bidi="ar"/>
              </w:rPr>
              <w:t>90.33</w:t>
            </w:r>
            <w:r>
              <w:rPr>
                <w:rFonts w:hint="eastAsia" w:ascii="宋体" w:hAnsi="宋体" w:eastAsia="宋体" w:cs="宋体"/>
                <w:color w:val="auto"/>
                <w:kern w:val="2"/>
                <w:sz w:val="24"/>
                <w:szCs w:val="24"/>
                <w:lang w:val="en-US" w:eastAsia="zh-CN" w:bidi="ar"/>
              </w:rPr>
              <w:t>×</w:t>
            </w:r>
            <w:r>
              <w:rPr>
                <w:rFonts w:hint="default" w:ascii="Times New Roman" w:hAnsi="Times New Roman" w:eastAsia="宋体" w:cs="Times New Roman"/>
                <w:color w:val="auto"/>
                <w:kern w:val="2"/>
                <w:sz w:val="24"/>
                <w:szCs w:val="24"/>
                <w:lang w:val="en-US" w:eastAsia="zh-CN" w:bidi="ar"/>
              </w:rPr>
              <w:t>10</w:t>
            </w:r>
            <w:r>
              <w:rPr>
                <w:rFonts w:hint="default" w:ascii="Times New Roman" w:hAnsi="Times New Roman" w:eastAsia="宋体" w:cs="Times New Roman"/>
                <w:color w:val="auto"/>
                <w:kern w:val="2"/>
                <w:sz w:val="24"/>
                <w:szCs w:val="24"/>
                <w:vertAlign w:val="superscript"/>
                <w:lang w:val="en-US" w:eastAsia="zh-CN" w:bidi="ar"/>
              </w:rPr>
              <w:t>4</w:t>
            </w:r>
            <w:r>
              <w:rPr>
                <w:rFonts w:hint="default" w:ascii="Times New Roman" w:hAnsi="Times New Roman" w:eastAsia="宋体" w:cs="Times New Roman"/>
                <w:color w:val="auto"/>
                <w:kern w:val="2"/>
                <w:sz w:val="24"/>
                <w:szCs w:val="24"/>
                <w:lang w:val="en-US" w:eastAsia="zh-CN" w:bidi="ar"/>
              </w:rPr>
              <w:t>m</w:t>
            </w:r>
            <w:r>
              <w:rPr>
                <w:rFonts w:hint="default" w:ascii="Times New Roman" w:hAnsi="Times New Roman" w:eastAsia="宋体" w:cs="Times New Roman"/>
                <w:color w:val="auto"/>
                <w:kern w:val="2"/>
                <w:sz w:val="24"/>
                <w:szCs w:val="24"/>
                <w:vertAlign w:val="superscript"/>
                <w:lang w:val="en-US" w:eastAsia="zh-CN" w:bidi="ar"/>
              </w:rPr>
              <w:t>3</w:t>
            </w:r>
            <w:r>
              <w:rPr>
                <w:rFonts w:hint="eastAsia" w:ascii="宋体" w:hAnsi="宋体" w:eastAsia="宋体" w:cs="宋体"/>
                <w:color w:val="auto"/>
                <w:kern w:val="2"/>
                <w:sz w:val="24"/>
                <w:szCs w:val="24"/>
                <w:lang w:val="en-US" w:eastAsia="zh-CN" w:bidi="ar"/>
              </w:rPr>
              <w:t>，剩余</w:t>
            </w:r>
            <w:r>
              <w:rPr>
                <w:rFonts w:hint="default" w:ascii="Times New Roman" w:hAnsi="Times New Roman" w:eastAsia="宋体" w:cs="Times New Roman"/>
                <w:color w:val="auto"/>
                <w:kern w:val="2"/>
                <w:sz w:val="24"/>
                <w:szCs w:val="24"/>
                <w:lang w:val="en-US" w:eastAsia="zh-CN" w:bidi="ar"/>
              </w:rPr>
              <w:t>100.67</w:t>
            </w:r>
            <w:r>
              <w:rPr>
                <w:rFonts w:hint="eastAsia" w:ascii="宋体" w:hAnsi="宋体" w:eastAsia="宋体" w:cs="宋体"/>
                <w:color w:val="auto"/>
                <w:kern w:val="2"/>
                <w:sz w:val="24"/>
                <w:szCs w:val="24"/>
                <w:lang w:val="en-US" w:eastAsia="zh-CN" w:bidi="ar"/>
              </w:rPr>
              <w:t>×</w:t>
            </w:r>
            <w:r>
              <w:rPr>
                <w:rFonts w:hint="default" w:ascii="Times New Roman" w:hAnsi="Times New Roman" w:eastAsia="宋体" w:cs="Times New Roman"/>
                <w:color w:val="auto"/>
                <w:kern w:val="2"/>
                <w:sz w:val="24"/>
                <w:szCs w:val="24"/>
                <w:lang w:val="en-US" w:eastAsia="zh-CN" w:bidi="ar"/>
              </w:rPr>
              <w:t>10</w:t>
            </w:r>
            <w:r>
              <w:rPr>
                <w:rFonts w:hint="default" w:ascii="Times New Roman" w:hAnsi="Times New Roman" w:eastAsia="宋体" w:cs="Times New Roman"/>
                <w:color w:val="auto"/>
                <w:kern w:val="2"/>
                <w:sz w:val="24"/>
                <w:szCs w:val="24"/>
                <w:vertAlign w:val="superscript"/>
                <w:lang w:val="en-US" w:eastAsia="zh-CN" w:bidi="ar"/>
              </w:rPr>
              <w:t>4</w:t>
            </w:r>
            <w:r>
              <w:rPr>
                <w:rFonts w:hint="default" w:ascii="Times New Roman" w:hAnsi="Times New Roman" w:eastAsia="宋体" w:cs="Times New Roman"/>
                <w:color w:val="auto"/>
                <w:kern w:val="2"/>
                <w:sz w:val="24"/>
                <w:szCs w:val="24"/>
                <w:lang w:val="en-US" w:eastAsia="zh-CN" w:bidi="ar"/>
              </w:rPr>
              <w:t>m</w:t>
            </w:r>
            <w:r>
              <w:rPr>
                <w:rFonts w:hint="default" w:ascii="Times New Roman" w:hAnsi="Times New Roman" w:eastAsia="宋体" w:cs="Times New Roman"/>
                <w:color w:val="auto"/>
                <w:kern w:val="2"/>
                <w:sz w:val="24"/>
                <w:szCs w:val="24"/>
                <w:vertAlign w:val="superscript"/>
                <w:lang w:val="en-US" w:eastAsia="zh-CN" w:bidi="ar"/>
              </w:rPr>
              <w:t>3</w:t>
            </w:r>
            <w:r>
              <w:rPr>
                <w:rFonts w:hint="eastAsia" w:ascii="宋体" w:hAnsi="宋体" w:eastAsia="宋体" w:cs="宋体"/>
                <w:color w:val="auto"/>
                <w:kern w:val="2"/>
                <w:sz w:val="24"/>
                <w:szCs w:val="24"/>
                <w:lang w:val="en-US" w:eastAsia="zh-CN" w:bidi="ar"/>
              </w:rPr>
              <w:t>，本项目试气工程期间普光</w:t>
            </w:r>
            <w:r>
              <w:rPr>
                <w:rFonts w:hint="default" w:ascii="Times New Roman" w:hAnsi="Times New Roman" w:eastAsia="宋体" w:cs="Times New Roman"/>
                <w:color w:val="auto"/>
                <w:kern w:val="2"/>
                <w:sz w:val="24"/>
                <w:szCs w:val="24"/>
                <w:lang w:val="en-US" w:eastAsia="zh-CN" w:bidi="ar"/>
              </w:rPr>
              <w:t>3</w:t>
            </w:r>
            <w:r>
              <w:rPr>
                <w:rFonts w:hint="eastAsia" w:ascii="宋体" w:hAnsi="宋体" w:eastAsia="宋体" w:cs="宋体"/>
                <w:color w:val="auto"/>
                <w:kern w:val="2"/>
                <w:sz w:val="24"/>
                <w:szCs w:val="24"/>
                <w:lang w:val="en-US" w:eastAsia="zh-CN" w:bidi="ar"/>
              </w:rPr>
              <w:t>井有足够的回注能力及空间接纳本项目废水。因此，本项目未能回用完的作业废水可由赵家坝污水处理站通过氧化除硫</w:t>
            </w:r>
            <w:r>
              <w:rPr>
                <w:rFonts w:hint="default" w:ascii="Times New Roman" w:hAnsi="Times New Roman" w:eastAsia="宋体" w:cs="Times New Roman"/>
                <w:color w:val="auto"/>
                <w:kern w:val="2"/>
                <w:sz w:val="24"/>
                <w:szCs w:val="24"/>
                <w:lang w:val="en-US" w:eastAsia="zh-CN" w:bidi="ar"/>
              </w:rPr>
              <w:t>+</w:t>
            </w:r>
            <w:r>
              <w:rPr>
                <w:rFonts w:hint="eastAsia" w:ascii="宋体" w:hAnsi="宋体" w:eastAsia="宋体" w:cs="宋体"/>
                <w:color w:val="auto"/>
                <w:kern w:val="2"/>
                <w:sz w:val="24"/>
                <w:szCs w:val="24"/>
                <w:lang w:val="en-US" w:eastAsia="zh-CN" w:bidi="ar"/>
              </w:rPr>
              <w:t>混凝沉降</w:t>
            </w:r>
            <w:r>
              <w:rPr>
                <w:rFonts w:hint="default" w:ascii="Times New Roman" w:hAnsi="Times New Roman" w:eastAsia="宋体" w:cs="Times New Roman"/>
                <w:color w:val="auto"/>
                <w:kern w:val="2"/>
                <w:sz w:val="24"/>
                <w:szCs w:val="24"/>
                <w:lang w:val="en-US" w:eastAsia="zh-CN" w:bidi="ar"/>
              </w:rPr>
              <w:t>+</w:t>
            </w:r>
            <w:r>
              <w:rPr>
                <w:rFonts w:hint="eastAsia" w:ascii="宋体" w:hAnsi="宋体" w:eastAsia="宋体" w:cs="宋体"/>
                <w:color w:val="auto"/>
                <w:kern w:val="2"/>
                <w:sz w:val="24"/>
                <w:szCs w:val="24"/>
                <w:lang w:val="en-US" w:eastAsia="zh-CN" w:bidi="ar"/>
              </w:rPr>
              <w:t>过滤”工艺处理本项目废水，处理后能够满足《气田水回注方法》（</w:t>
            </w:r>
            <w:r>
              <w:rPr>
                <w:rFonts w:hint="default" w:ascii="Times New Roman" w:hAnsi="Times New Roman" w:eastAsia="宋体" w:cs="Times New Roman"/>
                <w:color w:val="auto"/>
                <w:kern w:val="2"/>
                <w:sz w:val="24"/>
                <w:szCs w:val="24"/>
                <w:lang w:val="en-US" w:eastAsia="zh-CN" w:bidi="ar"/>
              </w:rPr>
              <w:t>SY/T6596-2004</w:t>
            </w:r>
            <w:r>
              <w:rPr>
                <w:rFonts w:hint="eastAsia" w:ascii="宋体" w:hAnsi="宋体" w:eastAsia="宋体" w:cs="宋体"/>
                <w:color w:val="auto"/>
                <w:kern w:val="2"/>
                <w:sz w:val="24"/>
                <w:szCs w:val="24"/>
                <w:lang w:val="en-US" w:eastAsia="zh-CN" w:bidi="ar"/>
              </w:rPr>
              <w:t>）表</w:t>
            </w:r>
            <w:r>
              <w:rPr>
                <w:rFonts w:hint="default" w:ascii="Times New Roman" w:hAnsi="Times New Roman" w:eastAsia="宋体" w:cs="Times New Roman"/>
                <w:color w:val="auto"/>
                <w:kern w:val="2"/>
                <w:sz w:val="24"/>
                <w:szCs w:val="24"/>
                <w:lang w:val="en-US" w:eastAsia="zh-CN" w:bidi="ar"/>
              </w:rPr>
              <w:t>1</w:t>
            </w:r>
            <w:r>
              <w:rPr>
                <w:rFonts w:hint="eastAsia" w:ascii="宋体" w:hAnsi="宋体" w:eastAsia="宋体" w:cs="宋体"/>
                <w:color w:val="auto"/>
                <w:kern w:val="2"/>
                <w:sz w:val="24"/>
                <w:szCs w:val="24"/>
                <w:lang w:val="en-US" w:eastAsia="zh-CN" w:bidi="ar"/>
              </w:rPr>
              <w:t>中标准，并通过普光</w:t>
            </w:r>
            <w:r>
              <w:rPr>
                <w:rFonts w:hint="default" w:ascii="Times New Roman" w:hAnsi="Times New Roman" w:eastAsia="宋体" w:cs="Times New Roman"/>
                <w:color w:val="auto"/>
                <w:kern w:val="2"/>
                <w:sz w:val="24"/>
                <w:szCs w:val="24"/>
                <w:lang w:val="en-US" w:eastAsia="zh-CN" w:bidi="ar"/>
              </w:rPr>
              <w:t>3</w:t>
            </w:r>
            <w:r>
              <w:rPr>
                <w:rFonts w:hint="eastAsia" w:ascii="宋体" w:hAnsi="宋体" w:eastAsia="宋体" w:cs="宋体"/>
                <w:color w:val="auto"/>
                <w:kern w:val="2"/>
                <w:sz w:val="24"/>
                <w:szCs w:val="24"/>
                <w:lang w:val="en-US" w:eastAsia="zh-CN" w:bidi="ar"/>
              </w:rPr>
              <w:t>井回注地层。同时普光</w:t>
            </w:r>
            <w:r>
              <w:rPr>
                <w:rFonts w:hint="default" w:ascii="Times New Roman" w:hAnsi="Times New Roman" w:eastAsia="宋体" w:cs="Times New Roman"/>
                <w:color w:val="auto"/>
                <w:kern w:val="2"/>
                <w:sz w:val="24"/>
                <w:szCs w:val="24"/>
                <w:lang w:val="en-US" w:eastAsia="zh-CN" w:bidi="ar"/>
              </w:rPr>
              <w:t>3</w:t>
            </w:r>
            <w:r>
              <w:rPr>
                <w:rFonts w:hint="eastAsia" w:ascii="宋体" w:hAnsi="宋体" w:eastAsia="宋体" w:cs="宋体"/>
                <w:color w:val="auto"/>
                <w:kern w:val="2"/>
                <w:sz w:val="24"/>
                <w:szCs w:val="24"/>
                <w:lang w:val="en-US" w:eastAsia="zh-CN" w:bidi="ar"/>
              </w:rPr>
              <w:t>井已稳定运行多年，地下空间结构稳定，运行期间未检测到地下空间发生结构变化，剩余总回注量远大于本项目试气废水产生量，剩余储集空间较大，满足回注要求</w:t>
            </w:r>
            <w:r>
              <w:rPr>
                <w:rFonts w:hint="eastAsia" w:ascii="Times New Roman" w:hAnsi="Times New Roman" w:cs="Times New Roman"/>
                <w:color w:val="auto"/>
                <w:sz w:val="24"/>
                <w:szCs w:val="32"/>
                <w:lang w:val="en-US" w:eastAsia="zh-CN" w:bidi="ar"/>
              </w:rPr>
              <w:t>。</w:t>
            </w:r>
          </w:p>
          <w:p>
            <w:pPr>
              <w:pStyle w:val="38"/>
              <w:keepNext/>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jc w:val="both"/>
              <w:textAlignment w:val="auto"/>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lang w:val="en-US" w:eastAsia="zh-CN" w:bidi="ar"/>
              </w:rPr>
              <w:t>③</w:t>
            </w:r>
            <w:r>
              <w:rPr>
                <w:rFonts w:hint="eastAsia" w:ascii="宋体" w:hAnsi="宋体" w:eastAsia="宋体" w:cs="宋体"/>
                <w:color w:val="auto"/>
                <w:kern w:val="0"/>
                <w:sz w:val="24"/>
                <w:szCs w:val="24"/>
                <w:lang w:val="en-US" w:eastAsia="zh-CN" w:bidi="ar"/>
              </w:rPr>
              <w:t>毛开</w:t>
            </w:r>
            <w:r>
              <w:rPr>
                <w:rFonts w:hint="default" w:ascii="Times New Roman" w:hAnsi="Times New Roman" w:eastAsia="宋体" w:cs="Times New Roman"/>
                <w:color w:val="auto"/>
                <w:kern w:val="0"/>
                <w:sz w:val="24"/>
                <w:szCs w:val="24"/>
                <w:lang w:val="en-US" w:eastAsia="zh-CN" w:bidi="ar"/>
              </w:rPr>
              <w:t>1</w:t>
            </w:r>
            <w:r>
              <w:rPr>
                <w:rFonts w:hint="eastAsia" w:ascii="宋体" w:hAnsi="宋体" w:eastAsia="宋体" w:cs="宋体"/>
                <w:color w:val="auto"/>
                <w:kern w:val="0"/>
                <w:sz w:val="24"/>
                <w:szCs w:val="24"/>
                <w:lang w:val="en-US" w:eastAsia="zh-CN" w:bidi="ar"/>
              </w:rPr>
              <w:t>井回注站</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jc w:val="both"/>
              <w:textAlignment w:val="auto"/>
              <w:rPr>
                <w:rFonts w:hint="default" w:ascii="Times New Roman" w:hAnsi="Times New Roman" w:eastAsia="宋体" w:cs="Times New Roman"/>
                <w:color w:val="auto"/>
                <w:sz w:val="24"/>
                <w:szCs w:val="24"/>
              </w:rPr>
            </w:pPr>
            <w:bookmarkStart w:id="34" w:name="OLE_LINK47"/>
            <w:bookmarkStart w:id="35" w:name="OLE_LINK48"/>
            <w:r>
              <w:rPr>
                <w:rFonts w:hint="default" w:ascii="Times New Roman" w:hAnsi="Times New Roman" w:eastAsia="宋体" w:cs="Times New Roman"/>
                <w:color w:val="auto"/>
                <w:sz w:val="24"/>
                <w:szCs w:val="24"/>
                <w:lang w:val="en-US" w:eastAsia="zh-CN" w:bidi="ar"/>
              </w:rPr>
              <w:t>毛开1井回注站位于达州市宣汉县普光镇堰口村6组旁，该站场已建废水池容积为600m</w:t>
            </w:r>
            <w:r>
              <w:rPr>
                <w:rFonts w:hint="default" w:ascii="Times New Roman" w:hAnsi="Times New Roman" w:eastAsia="宋体" w:cs="Times New Roman"/>
                <w:color w:val="auto"/>
                <w:sz w:val="24"/>
                <w:szCs w:val="24"/>
                <w:vertAlign w:val="superscript"/>
                <w:lang w:val="en-US" w:eastAsia="zh-CN" w:bidi="ar"/>
              </w:rPr>
              <w:t>3</w:t>
            </w:r>
            <w:r>
              <w:rPr>
                <w:rFonts w:hint="default" w:ascii="Times New Roman" w:hAnsi="Times New Roman" w:eastAsia="宋体" w:cs="Times New Roman"/>
                <w:color w:val="auto"/>
                <w:sz w:val="24"/>
                <w:szCs w:val="24"/>
                <w:lang w:val="en-US" w:eastAsia="zh-CN" w:bidi="ar"/>
              </w:rPr>
              <w:t>，池内现有水量为120m</w:t>
            </w:r>
            <w:r>
              <w:rPr>
                <w:rFonts w:hint="default" w:ascii="Times New Roman" w:hAnsi="Times New Roman" w:eastAsia="宋体" w:cs="Times New Roman"/>
                <w:color w:val="auto"/>
                <w:sz w:val="24"/>
                <w:szCs w:val="24"/>
                <w:vertAlign w:val="superscript"/>
                <w:lang w:val="en-US" w:eastAsia="zh-CN" w:bidi="ar"/>
              </w:rPr>
              <w:t>3</w:t>
            </w:r>
            <w:r>
              <w:rPr>
                <w:rFonts w:hint="default" w:ascii="Times New Roman" w:hAnsi="Times New Roman" w:eastAsia="宋体" w:cs="Times New Roman"/>
                <w:color w:val="auto"/>
                <w:sz w:val="24"/>
                <w:szCs w:val="24"/>
                <w:lang w:val="en-US" w:eastAsia="zh-CN" w:bidi="ar"/>
              </w:rPr>
              <w:t>，该井站回注层位为嘉陵江组（井段3680m～3790m）、雷口坡组（井段2235m～2350m），回注水量储集空间为226.77×10</w:t>
            </w:r>
            <w:r>
              <w:rPr>
                <w:rFonts w:hint="default" w:ascii="Times New Roman" w:hAnsi="Times New Roman" w:eastAsia="宋体" w:cs="Times New Roman"/>
                <w:color w:val="auto"/>
                <w:sz w:val="24"/>
                <w:szCs w:val="24"/>
                <w:vertAlign w:val="superscript"/>
                <w:lang w:val="en-US" w:eastAsia="zh-CN" w:bidi="ar"/>
              </w:rPr>
              <w:t>4</w:t>
            </w:r>
            <w:r>
              <w:rPr>
                <w:rFonts w:hint="default" w:ascii="Times New Roman" w:hAnsi="Times New Roman" w:eastAsia="宋体" w:cs="Times New Roman"/>
                <w:color w:val="auto"/>
                <w:sz w:val="24"/>
                <w:szCs w:val="24"/>
                <w:lang w:val="en-US" w:eastAsia="zh-CN" w:bidi="ar"/>
              </w:rPr>
              <w:t>m</w:t>
            </w:r>
            <w:r>
              <w:rPr>
                <w:rFonts w:hint="default" w:ascii="Times New Roman" w:hAnsi="Times New Roman" w:eastAsia="宋体" w:cs="Times New Roman"/>
                <w:color w:val="auto"/>
                <w:sz w:val="24"/>
                <w:szCs w:val="24"/>
                <w:vertAlign w:val="superscript"/>
                <w:lang w:val="en-US" w:eastAsia="zh-CN" w:bidi="ar"/>
              </w:rPr>
              <w:t>3</w:t>
            </w:r>
            <w:r>
              <w:rPr>
                <w:rFonts w:hint="default" w:ascii="Times New Roman" w:hAnsi="Times New Roman" w:eastAsia="宋体" w:cs="Times New Roman"/>
                <w:color w:val="auto"/>
                <w:sz w:val="24"/>
                <w:szCs w:val="24"/>
                <w:lang w:val="en-US" w:eastAsia="zh-CN" w:bidi="ar"/>
              </w:rPr>
              <w:t>，井口高压管线设计压力为37MPa，目前回注压力为28MPa，污水回注设计规模为120m</w:t>
            </w:r>
            <w:r>
              <w:rPr>
                <w:rFonts w:hint="default" w:ascii="Times New Roman" w:hAnsi="Times New Roman" w:eastAsia="宋体" w:cs="Times New Roman"/>
                <w:color w:val="auto"/>
                <w:sz w:val="24"/>
                <w:szCs w:val="24"/>
                <w:vertAlign w:val="superscript"/>
                <w:lang w:val="en-US" w:eastAsia="zh-CN" w:bidi="ar"/>
              </w:rPr>
              <w:t>3</w:t>
            </w:r>
            <w:r>
              <w:rPr>
                <w:rFonts w:hint="default" w:ascii="Times New Roman" w:hAnsi="Times New Roman" w:eastAsia="宋体" w:cs="Times New Roman"/>
                <w:color w:val="auto"/>
                <w:sz w:val="24"/>
                <w:szCs w:val="24"/>
                <w:lang w:val="en-US" w:eastAsia="zh-CN" w:bidi="ar"/>
              </w:rPr>
              <w:t>/d，目前回注量为70~90m</w:t>
            </w:r>
            <w:r>
              <w:rPr>
                <w:rFonts w:hint="default" w:ascii="Times New Roman" w:hAnsi="Times New Roman" w:eastAsia="宋体" w:cs="Times New Roman"/>
                <w:color w:val="auto"/>
                <w:sz w:val="24"/>
                <w:szCs w:val="24"/>
                <w:vertAlign w:val="superscript"/>
                <w:lang w:val="en-US" w:eastAsia="zh-CN" w:bidi="ar"/>
              </w:rPr>
              <w:t>3</w:t>
            </w:r>
            <w:r>
              <w:rPr>
                <w:rFonts w:hint="default" w:ascii="Times New Roman" w:hAnsi="Times New Roman" w:eastAsia="宋体" w:cs="Times New Roman"/>
                <w:color w:val="auto"/>
                <w:sz w:val="24"/>
                <w:szCs w:val="24"/>
                <w:lang w:val="en-US" w:eastAsia="zh-CN" w:bidi="ar"/>
              </w:rPr>
              <w:t>/d，已回注总量为20×10</w:t>
            </w:r>
            <w:r>
              <w:rPr>
                <w:rFonts w:hint="default" w:ascii="Times New Roman" w:hAnsi="Times New Roman" w:eastAsia="宋体" w:cs="Times New Roman"/>
                <w:color w:val="auto"/>
                <w:sz w:val="24"/>
                <w:szCs w:val="24"/>
                <w:vertAlign w:val="superscript"/>
                <w:lang w:val="en-US" w:eastAsia="zh-CN" w:bidi="ar"/>
              </w:rPr>
              <w:t>4</w:t>
            </w:r>
            <w:r>
              <w:rPr>
                <w:rFonts w:hint="default" w:ascii="Times New Roman" w:hAnsi="Times New Roman" w:eastAsia="宋体" w:cs="Times New Roman"/>
                <w:color w:val="auto"/>
                <w:sz w:val="24"/>
                <w:szCs w:val="24"/>
                <w:lang w:val="en-US" w:eastAsia="zh-CN" w:bidi="ar"/>
              </w:rPr>
              <w:t>m</w:t>
            </w:r>
            <w:r>
              <w:rPr>
                <w:rFonts w:hint="default" w:ascii="Times New Roman" w:hAnsi="Times New Roman" w:eastAsia="宋体" w:cs="Times New Roman"/>
                <w:color w:val="auto"/>
                <w:sz w:val="24"/>
                <w:szCs w:val="24"/>
                <w:vertAlign w:val="superscript"/>
                <w:lang w:val="en-US" w:eastAsia="zh-CN" w:bidi="ar"/>
              </w:rPr>
              <w:t>3</w:t>
            </w:r>
            <w:r>
              <w:rPr>
                <w:rFonts w:hint="default" w:ascii="Times New Roman" w:hAnsi="Times New Roman" w:eastAsia="宋体" w:cs="Times New Roman"/>
                <w:color w:val="auto"/>
                <w:sz w:val="24"/>
                <w:szCs w:val="24"/>
                <w:lang w:val="en-US" w:eastAsia="zh-CN" w:bidi="ar"/>
              </w:rPr>
              <w:t>，</w:t>
            </w:r>
            <w:bookmarkEnd w:id="34"/>
            <w:bookmarkEnd w:id="35"/>
            <w:r>
              <w:rPr>
                <w:rFonts w:hint="default" w:ascii="Times New Roman" w:hAnsi="Times New Roman" w:eastAsia="宋体" w:cs="Times New Roman"/>
                <w:color w:val="auto"/>
                <w:sz w:val="24"/>
                <w:szCs w:val="24"/>
                <w:lang w:val="en-US" w:eastAsia="zh-CN" w:bidi="ar"/>
              </w:rPr>
              <w:t>剩余206.77×10</w:t>
            </w:r>
            <w:r>
              <w:rPr>
                <w:rFonts w:hint="default" w:ascii="Times New Roman" w:hAnsi="Times New Roman" w:eastAsia="宋体" w:cs="Times New Roman"/>
                <w:color w:val="auto"/>
                <w:sz w:val="24"/>
                <w:szCs w:val="24"/>
                <w:vertAlign w:val="superscript"/>
                <w:lang w:val="en-US" w:eastAsia="zh-CN" w:bidi="ar"/>
              </w:rPr>
              <w:t>4</w:t>
            </w:r>
            <w:r>
              <w:rPr>
                <w:rFonts w:hint="default" w:ascii="Times New Roman" w:hAnsi="Times New Roman" w:eastAsia="宋体" w:cs="Times New Roman"/>
                <w:color w:val="auto"/>
                <w:sz w:val="24"/>
                <w:szCs w:val="24"/>
                <w:lang w:val="en-US" w:eastAsia="zh-CN" w:bidi="ar"/>
              </w:rPr>
              <w:t>m</w:t>
            </w:r>
            <w:r>
              <w:rPr>
                <w:rFonts w:hint="default" w:ascii="Times New Roman" w:hAnsi="Times New Roman" w:eastAsia="宋体" w:cs="Times New Roman"/>
                <w:color w:val="auto"/>
                <w:sz w:val="24"/>
                <w:szCs w:val="24"/>
                <w:vertAlign w:val="superscript"/>
                <w:lang w:val="en-US" w:eastAsia="zh-CN" w:bidi="ar"/>
              </w:rPr>
              <w:t>3</w:t>
            </w:r>
            <w:r>
              <w:rPr>
                <w:rFonts w:hint="default" w:ascii="Times New Roman" w:hAnsi="Times New Roman" w:eastAsia="宋体" w:cs="Times New Roman"/>
                <w:color w:val="auto"/>
                <w:sz w:val="24"/>
                <w:szCs w:val="24"/>
                <w:lang w:val="en-US" w:eastAsia="zh-CN" w:bidi="ar"/>
              </w:rPr>
              <w:t>。本项目试气工程期间毛开1井有足够的回注能力及空间接纳本项目废水，剩余总回注量远大于本项目试气废水产生量，剩余储集空间较大，满足回注要求</w:t>
            </w:r>
            <w:r>
              <w:rPr>
                <w:rFonts w:hint="default" w:ascii="Times New Roman" w:hAnsi="Times New Roman" w:eastAsia="宋体" w:cs="Times New Roman"/>
                <w:color w:val="auto"/>
                <w:kern w:val="2"/>
                <w:sz w:val="24"/>
                <w:szCs w:val="24"/>
                <w:vertAlign w:val="baseline"/>
                <w:lang w:val="en-US" w:eastAsia="zh-CN" w:bidi="ar"/>
              </w:rPr>
              <w:t>。</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eastAsia" w:ascii="Times New Roman" w:hAnsi="Times New Roman" w:cs="Times New Roman"/>
                <w:color w:val="auto"/>
                <w:lang w:eastAsia="zh-CN" w:bidi="ar"/>
              </w:rPr>
            </w:pPr>
            <w:r>
              <w:rPr>
                <w:rFonts w:hint="eastAsia" w:ascii="Times New Roman" w:hAnsi="Times New Roman" w:cs="Times New Roman"/>
                <w:color w:val="auto"/>
                <w:lang w:val="en-US" w:eastAsia="zh-CN" w:bidi="ar"/>
              </w:rPr>
              <w:t>本项目污水处理站及回注站依托工程可行性见表 5.2-2。</w:t>
            </w:r>
          </w:p>
          <w:p>
            <w:pPr>
              <w:pStyle w:val="38"/>
              <w:keepNext/>
              <w:keepLines w:val="0"/>
              <w:pageBreakBefore w:val="0"/>
              <w:widowControl/>
              <w:suppressLineNumbers w:val="0"/>
              <w:tabs>
                <w:tab w:val="left" w:pos="377"/>
              </w:tabs>
              <w:kinsoku/>
              <w:wordWrap/>
              <w:overflowPunct/>
              <w:topLinePunct w:val="0"/>
              <w:autoSpaceDE/>
              <w:autoSpaceDN/>
              <w:bidi w:val="0"/>
              <w:adjustRightInd/>
              <w:snapToGrid/>
              <w:spacing w:before="0" w:beforeAutospacing="0" w:after="0" w:afterAutospacing="0" w:line="360" w:lineRule="auto"/>
              <w:ind w:left="0" w:right="0" w:firstLine="0" w:firstLineChars="0"/>
              <w:jc w:val="center"/>
              <w:textAlignment w:val="auto"/>
              <w:rPr>
                <w:rFonts w:hint="eastAsia" w:ascii="Times New Roman" w:hAnsi="Times New Roman" w:cs="Times New Roman"/>
                <w:b/>
                <w:bCs/>
                <w:color w:val="auto"/>
                <w:lang w:eastAsia="zh-CN" w:bidi="ar"/>
              </w:rPr>
            </w:pPr>
            <w:r>
              <w:rPr>
                <w:rFonts w:hint="eastAsia" w:ascii="Times New Roman" w:hAnsi="Times New Roman" w:cs="Times New Roman"/>
                <w:b/>
                <w:bCs/>
                <w:color w:val="auto"/>
                <w:lang w:val="en-US" w:eastAsia="zh-CN" w:bidi="ar"/>
              </w:rPr>
              <w:t>表 5.2-2 本项目污水处理站及回注站依托可行性</w:t>
            </w:r>
          </w:p>
          <w:tbl>
            <w:tblPr>
              <w:tblStyle w:val="45"/>
              <w:tblW w:w="8526" w:type="dxa"/>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421"/>
              <w:gridCol w:w="1421"/>
              <w:gridCol w:w="1421"/>
              <w:gridCol w:w="1421"/>
              <w:gridCol w:w="1421"/>
              <w:gridCol w:w="1421"/>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369" w:hRule="atLeast"/>
              </w:trPr>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依托工程名称</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设计规模（m</w:t>
                  </w:r>
                  <w:r>
                    <w:rPr>
                      <w:rFonts w:hint="eastAsia" w:ascii="Times New Roman" w:hAnsi="Times New Roman" w:cs="Times New Roman"/>
                      <w:color w:val="auto"/>
                      <w:szCs w:val="21"/>
                      <w:vertAlign w:val="superscript"/>
                      <w:lang w:val="en-US" w:eastAsia="zh-CN" w:bidi="ar"/>
                    </w:rPr>
                    <w:t>3</w:t>
                  </w:r>
                  <w:r>
                    <w:rPr>
                      <w:rFonts w:hint="eastAsia" w:ascii="Times New Roman" w:hAnsi="Times New Roman" w:cs="Times New Roman"/>
                      <w:color w:val="auto"/>
                      <w:szCs w:val="21"/>
                      <w:lang w:val="en-US" w:eastAsia="zh-CN" w:bidi="ar"/>
                    </w:rPr>
                    <w:t>/d）</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现处理规模（m</w:t>
                  </w:r>
                  <w:r>
                    <w:rPr>
                      <w:rFonts w:hint="eastAsia" w:ascii="Times New Roman" w:hAnsi="Times New Roman" w:cs="Times New Roman"/>
                      <w:color w:val="auto"/>
                      <w:szCs w:val="21"/>
                      <w:vertAlign w:val="superscript"/>
                      <w:lang w:val="en-US" w:eastAsia="zh-CN" w:bidi="ar"/>
                    </w:rPr>
                    <w:t>3</w:t>
                  </w:r>
                  <w:r>
                    <w:rPr>
                      <w:rFonts w:hint="eastAsia" w:ascii="Times New Roman" w:hAnsi="Times New Roman" w:cs="Times New Roman"/>
                      <w:color w:val="auto"/>
                      <w:szCs w:val="21"/>
                      <w:lang w:val="en-US" w:eastAsia="zh-CN" w:bidi="ar"/>
                    </w:rPr>
                    <w:t>/d）</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富裕能力（m</w:t>
                  </w:r>
                  <w:r>
                    <w:rPr>
                      <w:rFonts w:hint="eastAsia" w:ascii="Times New Roman" w:hAnsi="Times New Roman" w:cs="Times New Roman"/>
                      <w:color w:val="auto"/>
                      <w:szCs w:val="21"/>
                      <w:vertAlign w:val="superscript"/>
                      <w:lang w:val="en-US" w:eastAsia="zh-CN" w:bidi="ar"/>
                    </w:rPr>
                    <w:t>3</w:t>
                  </w:r>
                  <w:r>
                    <w:rPr>
                      <w:rFonts w:hint="eastAsia" w:ascii="Times New Roman" w:hAnsi="Times New Roman" w:cs="Times New Roman"/>
                      <w:color w:val="auto"/>
                      <w:szCs w:val="21"/>
                      <w:lang w:val="en-US" w:eastAsia="zh-CN" w:bidi="ar"/>
                    </w:rPr>
                    <w:t>/d）</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本项目产生量（m</w:t>
                  </w:r>
                  <w:r>
                    <w:rPr>
                      <w:rFonts w:hint="eastAsia" w:ascii="Times New Roman" w:hAnsi="Times New Roman" w:cs="Times New Roman"/>
                      <w:color w:val="auto"/>
                      <w:szCs w:val="21"/>
                      <w:vertAlign w:val="superscript"/>
                      <w:lang w:val="en-US" w:eastAsia="zh-CN" w:bidi="ar"/>
                    </w:rPr>
                    <w:t>3</w:t>
                  </w:r>
                  <w:r>
                    <w:rPr>
                      <w:rFonts w:hint="eastAsia" w:ascii="Times New Roman" w:hAnsi="Times New Roman" w:cs="Times New Roman"/>
                      <w:color w:val="auto"/>
                      <w:szCs w:val="21"/>
                      <w:lang w:val="en-US" w:eastAsia="zh-CN" w:bidi="ar"/>
                    </w:rPr>
                    <w:t>/d）</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是否可行</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cs="Times New Roman"/>
                      <w:color w:val="auto"/>
                      <w:szCs w:val="21"/>
                      <w:lang w:val="en-US" w:eastAsia="zh-CN" w:bidi="ar"/>
                    </w:rPr>
                    <w:t>赵家坝污水处理站</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800</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350</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450</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default" w:ascii="Times New Roman" w:hAnsi="Times New Roman" w:cs="Times New Roman"/>
                      <w:color w:val="auto"/>
                      <w:szCs w:val="21"/>
                      <w:lang w:val="en-US" w:eastAsia="zh-CN" w:bidi="ar"/>
                    </w:rPr>
                  </w:pPr>
                  <w:r>
                    <w:rPr>
                      <w:rFonts w:hint="eastAsia" w:cs="Times New Roman"/>
                      <w:color w:val="auto"/>
                      <w:szCs w:val="21"/>
                      <w:lang w:val="en-US" w:eastAsia="zh-CN" w:bidi="ar"/>
                    </w:rPr>
                    <w:t>192.5</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可行</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cs="Times New Roman"/>
                      <w:color w:val="auto"/>
                      <w:szCs w:val="21"/>
                      <w:lang w:val="en-US" w:eastAsia="zh-CN" w:bidi="ar"/>
                    </w:rPr>
                    <w:t>普光3井</w:t>
                  </w:r>
                  <w:r>
                    <w:rPr>
                      <w:rFonts w:hint="eastAsia" w:ascii="Times New Roman" w:hAnsi="Times New Roman" w:cs="Times New Roman"/>
                      <w:color w:val="auto"/>
                      <w:szCs w:val="21"/>
                      <w:lang w:val="en-US" w:eastAsia="zh-CN" w:bidi="ar"/>
                    </w:rPr>
                    <w:t>回注站</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300</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130</w:t>
                  </w:r>
                </w:p>
              </w:tc>
              <w:tc>
                <w:tcPr>
                  <w:tcW w:w="1421" w:type="dxa"/>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170</w:t>
                  </w:r>
                </w:p>
              </w:tc>
              <w:tc>
                <w:tcPr>
                  <w:tcW w:w="1421" w:type="dxa"/>
                  <w:vMerge w:val="restart"/>
                  <w:tcBorders>
                    <w:tl2br w:val="nil"/>
                    <w:tr2bl w:val="nil"/>
                  </w:tcBorders>
                  <w:vAlign w:val="center"/>
                </w:tcPr>
                <w:p>
                  <w:pPr>
                    <w:keepNext/>
                    <w:keepLines w:val="0"/>
                    <w:suppressLineNumbers w:val="0"/>
                    <w:spacing w:before="0" w:beforeAutospacing="0" w:after="0" w:afterAutospacing="0"/>
                    <w:ind w:left="0" w:right="0"/>
                    <w:jc w:val="center"/>
                    <w:rPr>
                      <w:rFonts w:hint="default" w:ascii="Times New Roman" w:hAnsi="Times New Roman" w:cs="Times New Roman"/>
                      <w:color w:val="auto"/>
                      <w:szCs w:val="21"/>
                      <w:lang w:val="en-US" w:eastAsia="zh-CN" w:bidi="ar"/>
                    </w:rPr>
                  </w:pPr>
                  <w:r>
                    <w:rPr>
                      <w:rFonts w:hint="eastAsia" w:cs="Times New Roman"/>
                      <w:color w:val="auto"/>
                      <w:szCs w:val="21"/>
                      <w:lang w:val="en-US" w:eastAsia="zh-CN" w:bidi="ar"/>
                    </w:rPr>
                    <w:t>192.5</w:t>
                  </w:r>
                </w:p>
              </w:tc>
              <w:tc>
                <w:tcPr>
                  <w:tcW w:w="1421" w:type="dxa"/>
                  <w:vMerge w:val="restart"/>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eastAsia="zh-CN" w:bidi="ar"/>
                    </w:rPr>
                  </w:pPr>
                  <w:r>
                    <w:rPr>
                      <w:rFonts w:hint="eastAsia" w:ascii="Times New Roman" w:hAnsi="Times New Roman" w:cs="Times New Roman"/>
                      <w:color w:val="auto"/>
                      <w:szCs w:val="21"/>
                      <w:lang w:val="en-US" w:eastAsia="zh-CN" w:bidi="ar"/>
                    </w:rPr>
                    <w:t>可行</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1421" w:type="dxa"/>
                  <w:tcBorders>
                    <w:tl2br w:val="nil"/>
                    <w:tr2bl w:val="nil"/>
                  </w:tcBorders>
                  <w:shd w:val="clear" w:color="auto" w:fill="auto"/>
                  <w:vAlign w:val="center"/>
                </w:tcPr>
                <w:p>
                  <w:pPr>
                    <w:keepNext/>
                    <w:keepLines w:val="0"/>
                    <w:suppressLineNumbers w:val="0"/>
                    <w:spacing w:before="0" w:beforeAutospacing="0" w:after="0" w:afterAutospacing="0"/>
                    <w:ind w:left="0" w:leftChars="0" w:right="0" w:rightChars="0"/>
                    <w:jc w:val="center"/>
                    <w:rPr>
                      <w:rFonts w:hint="eastAsia" w:ascii="Times New Roman" w:hAnsi="Times New Roman" w:eastAsia="宋体" w:cs="Times New Roman"/>
                      <w:color w:val="auto"/>
                      <w:kern w:val="2"/>
                      <w:sz w:val="21"/>
                      <w:szCs w:val="21"/>
                      <w:lang w:val="en-US" w:eastAsia="zh-CN" w:bidi="ar"/>
                    </w:rPr>
                  </w:pPr>
                  <w:r>
                    <w:rPr>
                      <w:rFonts w:hint="eastAsia" w:cs="Times New Roman"/>
                      <w:color w:val="auto"/>
                      <w:szCs w:val="21"/>
                      <w:lang w:val="en-US" w:eastAsia="zh-CN" w:bidi="ar"/>
                    </w:rPr>
                    <w:t>毛开1回注站</w:t>
                  </w:r>
                </w:p>
              </w:tc>
              <w:tc>
                <w:tcPr>
                  <w:tcW w:w="1421" w:type="dxa"/>
                  <w:tcBorders>
                    <w:tl2br w:val="nil"/>
                    <w:tr2bl w:val="nil"/>
                  </w:tcBorders>
                  <w:shd w:val="clear" w:color="auto" w:fill="auto"/>
                  <w:vAlign w:val="center"/>
                </w:tcPr>
                <w:p>
                  <w:pPr>
                    <w:keepNext/>
                    <w:keepLines w:val="0"/>
                    <w:suppressLineNumbers w:val="0"/>
                    <w:spacing w:before="0" w:beforeAutospacing="0" w:after="0" w:afterAutospacing="0"/>
                    <w:ind w:left="0" w:leftChars="0" w:right="0" w:rightChars="0"/>
                    <w:jc w:val="center"/>
                    <w:rPr>
                      <w:rFonts w:hint="eastAsia" w:ascii="Times New Roman" w:hAnsi="Times New Roman" w:eastAsia="宋体" w:cs="Times New Roman"/>
                      <w:color w:val="auto"/>
                      <w:kern w:val="2"/>
                      <w:sz w:val="21"/>
                      <w:szCs w:val="21"/>
                      <w:lang w:val="en-US" w:eastAsia="zh-CN" w:bidi="ar"/>
                    </w:rPr>
                  </w:pPr>
                  <w:r>
                    <w:rPr>
                      <w:rFonts w:hint="eastAsia" w:cs="Times New Roman"/>
                      <w:color w:val="auto"/>
                      <w:szCs w:val="21"/>
                      <w:lang w:val="en-US" w:eastAsia="zh-CN" w:bidi="ar"/>
                    </w:rPr>
                    <w:t>120</w:t>
                  </w:r>
                </w:p>
              </w:tc>
              <w:tc>
                <w:tcPr>
                  <w:tcW w:w="1421" w:type="dxa"/>
                  <w:tcBorders>
                    <w:tl2br w:val="nil"/>
                    <w:tr2bl w:val="nil"/>
                  </w:tcBorders>
                  <w:shd w:val="clear" w:color="auto" w:fill="auto"/>
                  <w:vAlign w:val="center"/>
                </w:tcPr>
                <w:p>
                  <w:pPr>
                    <w:keepNext/>
                    <w:keepLines w:val="0"/>
                    <w:suppressLineNumbers w:val="0"/>
                    <w:spacing w:before="0" w:beforeAutospacing="0" w:after="0" w:afterAutospacing="0"/>
                    <w:ind w:left="0" w:leftChars="0" w:right="0" w:rightChars="0"/>
                    <w:jc w:val="center"/>
                    <w:rPr>
                      <w:rFonts w:hint="eastAsia" w:ascii="Times New Roman" w:hAnsi="Times New Roman" w:eastAsia="宋体" w:cs="Times New Roman"/>
                      <w:color w:val="auto"/>
                      <w:kern w:val="2"/>
                      <w:sz w:val="21"/>
                      <w:szCs w:val="21"/>
                      <w:lang w:val="en-US" w:eastAsia="zh-CN" w:bidi="ar"/>
                    </w:rPr>
                  </w:pPr>
                  <w:r>
                    <w:rPr>
                      <w:rFonts w:hint="eastAsia" w:cs="Times New Roman"/>
                      <w:color w:val="auto"/>
                      <w:szCs w:val="21"/>
                      <w:lang w:val="en-US" w:eastAsia="zh-CN" w:bidi="ar"/>
                    </w:rPr>
                    <w:t>90</w:t>
                  </w:r>
                </w:p>
              </w:tc>
              <w:tc>
                <w:tcPr>
                  <w:tcW w:w="1421" w:type="dxa"/>
                  <w:tcBorders>
                    <w:tl2br w:val="nil"/>
                    <w:tr2bl w:val="nil"/>
                  </w:tcBorders>
                  <w:shd w:val="clear" w:color="auto" w:fill="auto"/>
                  <w:vAlign w:val="center"/>
                </w:tcPr>
                <w:p>
                  <w:pPr>
                    <w:keepNext/>
                    <w:keepLines w:val="0"/>
                    <w:suppressLineNumbers w:val="0"/>
                    <w:spacing w:before="0" w:beforeAutospacing="0" w:after="0" w:afterAutospacing="0"/>
                    <w:ind w:left="0" w:leftChars="0" w:right="0" w:rightChars="0"/>
                    <w:jc w:val="center"/>
                    <w:rPr>
                      <w:rFonts w:hint="eastAsia" w:ascii="Times New Roman" w:hAnsi="Times New Roman" w:eastAsia="宋体" w:cs="Times New Roman"/>
                      <w:color w:val="auto"/>
                      <w:kern w:val="2"/>
                      <w:sz w:val="21"/>
                      <w:szCs w:val="21"/>
                      <w:lang w:val="en-US" w:eastAsia="zh-CN" w:bidi="ar"/>
                    </w:rPr>
                  </w:pPr>
                  <w:r>
                    <w:rPr>
                      <w:rFonts w:hint="eastAsia" w:cs="Times New Roman"/>
                      <w:color w:val="auto"/>
                      <w:szCs w:val="21"/>
                      <w:lang w:val="en-US" w:eastAsia="zh-CN" w:bidi="ar"/>
                    </w:rPr>
                    <w:t>30</w:t>
                  </w:r>
                </w:p>
              </w:tc>
              <w:tc>
                <w:tcPr>
                  <w:tcW w:w="1421" w:type="dxa"/>
                  <w:vMerge w:val="continue"/>
                  <w:tcBorders>
                    <w:tl2br w:val="nil"/>
                    <w:tr2bl w:val="nil"/>
                  </w:tcBorders>
                  <w:vAlign w:val="center"/>
                </w:tcPr>
                <w:p>
                  <w:pPr>
                    <w:keepNext/>
                    <w:keepLines w:val="0"/>
                    <w:suppressLineNumbers w:val="0"/>
                    <w:spacing w:before="0" w:beforeAutospacing="0" w:after="0" w:afterAutospacing="0"/>
                    <w:ind w:left="0" w:right="0"/>
                    <w:jc w:val="center"/>
                    <w:rPr>
                      <w:rFonts w:hint="eastAsia" w:cs="Times New Roman"/>
                      <w:color w:val="auto"/>
                      <w:szCs w:val="21"/>
                      <w:lang w:val="en-US" w:eastAsia="zh-CN" w:bidi="ar"/>
                    </w:rPr>
                  </w:pPr>
                </w:p>
              </w:tc>
              <w:tc>
                <w:tcPr>
                  <w:tcW w:w="1421" w:type="dxa"/>
                  <w:vMerge w:val="continue"/>
                  <w:tcBorders>
                    <w:tl2br w:val="nil"/>
                    <w:tr2bl w:val="nil"/>
                  </w:tcBorders>
                  <w:vAlign w:val="center"/>
                </w:tcPr>
                <w:p>
                  <w:pPr>
                    <w:keepNext/>
                    <w:keepLines w:val="0"/>
                    <w:suppressLineNumbers w:val="0"/>
                    <w:spacing w:before="0" w:beforeAutospacing="0" w:after="0" w:afterAutospacing="0"/>
                    <w:ind w:left="0" w:right="0"/>
                    <w:jc w:val="center"/>
                    <w:rPr>
                      <w:rFonts w:hint="eastAsia" w:ascii="Times New Roman" w:hAnsi="Times New Roman" w:cs="Times New Roman"/>
                      <w:color w:val="auto"/>
                      <w:szCs w:val="21"/>
                      <w:lang w:val="en-US" w:eastAsia="zh-CN" w:bidi="ar"/>
                    </w:rPr>
                  </w:pPr>
                </w:p>
              </w:tc>
            </w:tr>
          </w:tbl>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lang w:bidi="ar"/>
              </w:rPr>
              <w:t>综上所述，本项目压裂返排液通过密闭罐车拉运至</w:t>
            </w:r>
            <w:r>
              <w:rPr>
                <w:rFonts w:hint="eastAsia" w:ascii="Times New Roman" w:hAnsi="Times New Roman" w:cs="Times New Roman"/>
                <w:color w:val="auto"/>
                <w:lang w:eastAsia="zh-CN" w:bidi="ar"/>
              </w:rPr>
              <w:t>赵家坝污水处理站</w:t>
            </w:r>
            <w:r>
              <w:rPr>
                <w:rFonts w:hint="default" w:ascii="Times New Roman" w:hAnsi="Times New Roman" w:cs="Times New Roman"/>
                <w:color w:val="auto"/>
                <w:lang w:bidi="ar"/>
              </w:rPr>
              <w:t>处理达到《气田水回注方法》（SY/T 6596-2016）中注入水基本要求后</w:t>
            </w:r>
            <w:r>
              <w:rPr>
                <w:rFonts w:hint="eastAsia" w:ascii="Times New Roman" w:hAnsi="Times New Roman" w:cs="Times New Roman"/>
                <w:color w:val="auto"/>
                <w:lang w:eastAsia="zh-CN" w:bidi="ar"/>
              </w:rPr>
              <w:t>由罐车拉运至普光3井等</w:t>
            </w:r>
            <w:r>
              <w:rPr>
                <w:rFonts w:hint="default" w:ascii="Times New Roman" w:hAnsi="Times New Roman" w:cs="Times New Roman"/>
                <w:color w:val="auto"/>
                <w:lang w:bidi="ar"/>
              </w:rPr>
              <w:t>回注站回注处理，不外排，得到妥善处置，未发生环境污染事故。</w:t>
            </w:r>
            <w:r>
              <w:rPr>
                <w:rFonts w:hint="default" w:ascii="Times New Roman" w:hAnsi="Times New Roman" w:cs="Times New Roman"/>
                <w:color w:val="auto"/>
              </w:rPr>
              <w:t>项目废水依托</w:t>
            </w:r>
            <w:r>
              <w:rPr>
                <w:rFonts w:hint="eastAsia" w:ascii="Times New Roman" w:hAnsi="Times New Roman" w:cs="Times New Roman"/>
                <w:color w:val="auto"/>
                <w:lang w:eastAsia="zh-CN"/>
              </w:rPr>
              <w:t>赵家坝污水处理站</w:t>
            </w:r>
            <w:r>
              <w:rPr>
                <w:rFonts w:hint="default" w:ascii="Times New Roman" w:hAnsi="Times New Roman" w:cs="Times New Roman"/>
                <w:color w:val="auto"/>
              </w:rPr>
              <w:t>、</w:t>
            </w:r>
            <w:r>
              <w:rPr>
                <w:rFonts w:hint="eastAsia" w:ascii="Times New Roman" w:hAnsi="Times New Roman" w:cs="Times New Roman"/>
                <w:color w:val="auto"/>
                <w:lang w:eastAsia="zh-CN"/>
              </w:rPr>
              <w:t>普光3井等</w:t>
            </w:r>
            <w:r>
              <w:rPr>
                <w:rFonts w:hint="default" w:ascii="Times New Roman" w:hAnsi="Times New Roman" w:cs="Times New Roman"/>
                <w:color w:val="auto"/>
              </w:rPr>
              <w:t>污水回注站进行处理，在处理能力及工艺技术上均依托可行。</w:t>
            </w:r>
          </w:p>
          <w:p>
            <w:pPr>
              <w:keepNext/>
              <w:keepLines w:val="0"/>
              <w:suppressLineNumbers w:val="0"/>
              <w:spacing w:before="0" w:beforeAutospacing="0" w:after="0" w:afterAutospacing="0" w:line="360" w:lineRule="auto"/>
              <w:ind w:left="0" w:right="0" w:firstLine="482" w:firstLineChars="200"/>
              <w:rPr>
                <w:rFonts w:hint="default" w:ascii="Times New Roman" w:hAnsi="Times New Roman" w:cs="Times New Roman"/>
                <w:b/>
                <w:color w:val="auto"/>
                <w:sz w:val="24"/>
              </w:rPr>
            </w:pPr>
            <w:r>
              <w:rPr>
                <w:rFonts w:hint="default" w:ascii="Times New Roman" w:hAnsi="Times New Roman" w:cs="Times New Roman"/>
                <w:b/>
                <w:color w:val="auto"/>
                <w:sz w:val="24"/>
                <w:lang w:bidi="ar"/>
              </w:rPr>
              <w:t>（4）废水收集、储存管理及可行性分析</w:t>
            </w:r>
          </w:p>
          <w:p>
            <w:pPr>
              <w:pStyle w:val="38"/>
              <w:keepNext/>
              <w:keepLines w:val="0"/>
              <w:widowControl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kern w:val="2"/>
                <w:lang w:bidi="ar"/>
              </w:rPr>
            </w:pPr>
            <w:r>
              <w:rPr>
                <w:rFonts w:hint="default" w:ascii="Times New Roman" w:hAnsi="Times New Roman" w:cs="Times New Roman"/>
                <w:color w:val="auto"/>
                <w:kern w:val="2"/>
                <w:lang w:bidi="ar"/>
              </w:rPr>
              <w:t>1）钻井废水产生及收集情况见下表。</w:t>
            </w:r>
          </w:p>
          <w:p>
            <w:pPr>
              <w:pStyle w:val="38"/>
              <w:keepNext w:val="0"/>
              <w:keepLines w:val="0"/>
              <w:widowControl w:val="0"/>
              <w:suppressLineNumbers w:val="0"/>
              <w:spacing w:before="0" w:beforeAutospacing="0" w:after="0" w:afterAutospacing="0"/>
              <w:ind w:left="0" w:right="0" w:firstLine="482" w:firstLineChars="200"/>
              <w:jc w:val="center"/>
              <w:rPr>
                <w:rFonts w:hint="default" w:ascii="Times New Roman" w:hAnsi="Times New Roman" w:cs="Times New Roman"/>
                <w:color w:val="auto"/>
                <w:sz w:val="21"/>
                <w:szCs w:val="21"/>
              </w:rPr>
            </w:pPr>
            <w:r>
              <w:rPr>
                <w:rFonts w:hint="default" w:ascii="Times New Roman" w:hAnsi="Times New Roman" w:cs="Times New Roman"/>
                <w:b/>
                <w:color w:val="auto"/>
                <w:lang w:bidi="ar"/>
              </w:rPr>
              <w:t>表5</w:t>
            </w:r>
            <w:r>
              <w:rPr>
                <w:rFonts w:hint="eastAsia" w:ascii="Times New Roman" w:hAnsi="Times New Roman" w:cs="Times New Roman"/>
                <w:b/>
                <w:color w:val="auto"/>
                <w:lang w:val="en-US" w:eastAsia="zh-CN" w:bidi="ar"/>
              </w:rPr>
              <w:t>.2</w:t>
            </w:r>
            <w:r>
              <w:rPr>
                <w:rFonts w:hint="default" w:ascii="Times New Roman" w:hAnsi="Times New Roman" w:cs="Times New Roman"/>
                <w:b/>
                <w:color w:val="auto"/>
                <w:lang w:bidi="ar"/>
              </w:rPr>
              <w:t>-</w:t>
            </w:r>
            <w:r>
              <w:rPr>
                <w:rFonts w:hint="eastAsia" w:ascii="Times New Roman" w:hAnsi="Times New Roman" w:cs="Times New Roman"/>
                <w:b/>
                <w:color w:val="auto"/>
                <w:lang w:val="en-US" w:eastAsia="zh-CN" w:bidi="ar"/>
              </w:rPr>
              <w:t>3</w:t>
            </w:r>
            <w:r>
              <w:rPr>
                <w:rFonts w:hint="default" w:ascii="Times New Roman" w:hAnsi="Times New Roman" w:cs="Times New Roman"/>
                <w:b/>
                <w:color w:val="auto"/>
                <w:lang w:bidi="ar"/>
              </w:rPr>
              <w:t xml:space="preserve">    废水产生及收集情况表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57" w:type="dxa"/>
                <w:bottom w:w="0" w:type="dxa"/>
                <w:right w:w="57" w:type="dxa"/>
              </w:tblCellMar>
            </w:tblPr>
            <w:tblGrid>
              <w:gridCol w:w="2113"/>
              <w:gridCol w:w="2111"/>
              <w:gridCol w:w="1993"/>
              <w:gridCol w:w="199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69" w:hRule="atLeast"/>
                <w:jc w:val="center"/>
              </w:trPr>
              <w:tc>
                <w:tcPr>
                  <w:tcW w:w="1700" w:type="dxa"/>
                  <w:tcBorders>
                    <w:tl2br w:val="nil"/>
                    <w:tr2bl w:val="nil"/>
                  </w:tcBorders>
                  <w:vAlign w:val="center"/>
                </w:tcPr>
                <w:p>
                  <w:pPr>
                    <w:keepNext/>
                    <w:keepLines w:val="0"/>
                    <w:suppressLineNumbers w:val="0"/>
                    <w:spacing w:before="0" w:beforeAutospacing="0" w:after="0" w:afterAutospacing="0"/>
                    <w:ind w:left="0" w:right="0"/>
                    <w:jc w:val="center"/>
                    <w:rPr>
                      <w:rFonts w:hint="default" w:ascii="Times New Roman" w:hAnsi="Times New Roman" w:cs="Times New Roman"/>
                      <w:b/>
                      <w:color w:val="auto"/>
                      <w:kern w:val="0"/>
                      <w:szCs w:val="21"/>
                    </w:rPr>
                  </w:pPr>
                  <w:r>
                    <w:rPr>
                      <w:rFonts w:hint="default" w:ascii="Times New Roman" w:hAnsi="Times New Roman" w:cs="Times New Roman"/>
                      <w:b/>
                      <w:color w:val="auto"/>
                      <w:kern w:val="0"/>
                      <w:szCs w:val="21"/>
                    </w:rPr>
                    <w:t>井号</w:t>
                  </w:r>
                </w:p>
              </w:tc>
              <w:tc>
                <w:tcPr>
                  <w:tcW w:w="1699" w:type="dxa"/>
                  <w:tcBorders>
                    <w:tl2br w:val="nil"/>
                    <w:tr2bl w:val="nil"/>
                  </w:tcBorders>
                  <w:vAlign w:val="center"/>
                </w:tcPr>
                <w:p>
                  <w:pPr>
                    <w:keepNext/>
                    <w:keepLines w:val="0"/>
                    <w:suppressLineNumbers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lang w:bidi="ar"/>
                    </w:rPr>
                    <w:t>钻井废水</w:t>
                  </w:r>
                </w:p>
              </w:tc>
              <w:tc>
                <w:tcPr>
                  <w:tcW w:w="1604" w:type="dxa"/>
                  <w:tcBorders>
                    <w:tl2br w:val="nil"/>
                    <w:tr2bl w:val="nil"/>
                  </w:tcBorders>
                  <w:vAlign w:val="center"/>
                </w:tcPr>
                <w:p>
                  <w:pPr>
                    <w:keepNext/>
                    <w:keepLines w:val="0"/>
                    <w:suppressLineNumbers w:val="0"/>
                    <w:spacing w:before="0" w:beforeAutospacing="0" w:after="0" w:afterAutospacing="0"/>
                    <w:ind w:left="0" w:right="0"/>
                    <w:jc w:val="center"/>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洗井废水</w:t>
                  </w:r>
                </w:p>
              </w:tc>
              <w:tc>
                <w:tcPr>
                  <w:tcW w:w="1604" w:type="dxa"/>
                  <w:tcBorders>
                    <w:tl2br w:val="nil"/>
                    <w:tr2bl w:val="nil"/>
                  </w:tcBorders>
                  <w:vAlign w:val="center"/>
                </w:tcPr>
                <w:p>
                  <w:pPr>
                    <w:keepNext/>
                    <w:keepLines w:val="0"/>
                    <w:suppressLineNumbers w:val="0"/>
                    <w:spacing w:before="0" w:beforeAutospacing="0" w:after="0" w:afterAutospacing="0"/>
                    <w:ind w:left="0" w:right="0"/>
                    <w:jc w:val="center"/>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压裂返排液</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69" w:hRule="atLeast"/>
                <w:jc w:val="center"/>
              </w:trPr>
              <w:tc>
                <w:tcPr>
                  <w:tcW w:w="1700" w:type="dxa"/>
                  <w:tcBorders>
                    <w:tl2br w:val="nil"/>
                    <w:tr2bl w:val="nil"/>
                  </w:tcBorders>
                  <w:vAlign w:val="center"/>
                </w:tcPr>
                <w:p>
                  <w:pPr>
                    <w:keepNext w:val="0"/>
                    <w:keepLines w:val="0"/>
                    <w:widowControl/>
                    <w:suppressLineNumbers w:val="0"/>
                    <w:spacing w:before="0" w:beforeAutospacing="0" w:after="0" w:afterAutospacing="0"/>
                    <w:ind w:left="0" w:right="0"/>
                    <w:jc w:val="center"/>
                    <w:textAlignment w:val="center"/>
                    <w:rPr>
                      <w:rFonts w:hint="eastAsia" w:ascii="Times New Roman" w:hAnsi="Times New Roman" w:eastAsia="宋体" w:cs="Times New Roman"/>
                      <w:color w:val="auto"/>
                      <w:szCs w:val="21"/>
                      <w:lang w:eastAsia="zh-CN"/>
                    </w:rPr>
                  </w:pPr>
                  <w:r>
                    <w:rPr>
                      <w:rFonts w:hint="eastAsia" w:cs="Times New Roman"/>
                      <w:color w:val="auto"/>
                      <w:kern w:val="0"/>
                      <w:szCs w:val="21"/>
                      <w:lang w:eastAsia="zh-CN" w:bidi="ar"/>
                    </w:rPr>
                    <w:t>普陆12HF井</w:t>
                  </w:r>
                </w:p>
              </w:tc>
              <w:tc>
                <w:tcPr>
                  <w:tcW w:w="1699" w:type="dxa"/>
                  <w:tcBorders>
                    <w:tl2br w:val="nil"/>
                    <w:tr2bl w:val="nil"/>
                  </w:tcBorders>
                  <w:vAlign w:val="center"/>
                </w:tcPr>
                <w:p>
                  <w:pPr>
                    <w:keepNext/>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eastAsia" w:cs="Times New Roman"/>
                      <w:color w:val="auto"/>
                      <w:szCs w:val="21"/>
                      <w:lang w:val="en-US" w:eastAsia="zh-CN" w:bidi="ar"/>
                    </w:rPr>
                    <w:t>172</w:t>
                  </w:r>
                  <w:r>
                    <w:rPr>
                      <w:rFonts w:hint="default" w:ascii="Times New Roman" w:hAnsi="Times New Roman" w:cs="Times New Roman"/>
                      <w:color w:val="auto"/>
                      <w:szCs w:val="21"/>
                      <w:lang w:bidi="ar"/>
                    </w:rPr>
                    <w:t>m</w:t>
                  </w:r>
                  <w:r>
                    <w:rPr>
                      <w:rFonts w:hint="default" w:ascii="Times New Roman" w:hAnsi="Times New Roman" w:cs="Times New Roman"/>
                      <w:color w:val="auto"/>
                      <w:szCs w:val="21"/>
                      <w:vertAlign w:val="superscript"/>
                      <w:lang w:bidi="ar"/>
                    </w:rPr>
                    <w:t>3</w:t>
                  </w:r>
                </w:p>
              </w:tc>
              <w:tc>
                <w:tcPr>
                  <w:tcW w:w="1604" w:type="dxa"/>
                  <w:tcBorders>
                    <w:tl2br w:val="nil"/>
                    <w:tr2bl w:val="nil"/>
                  </w:tcBorders>
                  <w:vAlign w:val="center"/>
                </w:tcPr>
                <w:p>
                  <w:pPr>
                    <w:keepNext/>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default" w:ascii="Times New Roman" w:hAnsi="Times New Roman" w:cs="Times New Roman"/>
                      <w:color w:val="auto"/>
                      <w:szCs w:val="21"/>
                      <w:lang w:bidi="ar"/>
                    </w:rPr>
                    <w:t>300m</w:t>
                  </w:r>
                  <w:r>
                    <w:rPr>
                      <w:rFonts w:hint="default" w:ascii="Times New Roman" w:hAnsi="Times New Roman" w:cs="Times New Roman"/>
                      <w:color w:val="auto"/>
                      <w:szCs w:val="21"/>
                      <w:vertAlign w:val="superscript"/>
                      <w:lang w:bidi="ar"/>
                    </w:rPr>
                    <w:t>3</w:t>
                  </w:r>
                </w:p>
              </w:tc>
              <w:tc>
                <w:tcPr>
                  <w:tcW w:w="1604" w:type="dxa"/>
                  <w:tcBorders>
                    <w:tl2br w:val="nil"/>
                    <w:tr2bl w:val="nil"/>
                  </w:tcBorders>
                  <w:vAlign w:val="center"/>
                </w:tcPr>
                <w:p>
                  <w:pPr>
                    <w:keepNext/>
                    <w:keepLines w:val="0"/>
                    <w:suppressLineNumbers w:val="0"/>
                    <w:spacing w:before="0" w:beforeAutospacing="0" w:after="0" w:afterAutospacing="0"/>
                    <w:ind w:left="0" w:right="0"/>
                    <w:jc w:val="center"/>
                    <w:rPr>
                      <w:rFonts w:hint="default" w:ascii="Times New Roman" w:hAnsi="Times New Roman" w:cs="Times New Roman"/>
                      <w:color w:val="auto"/>
                      <w:szCs w:val="21"/>
                      <w:lang w:bidi="ar"/>
                    </w:rPr>
                  </w:pPr>
                  <w:r>
                    <w:rPr>
                      <w:rFonts w:hint="eastAsia" w:cs="Times New Roman"/>
                      <w:color w:val="auto"/>
                      <w:szCs w:val="21"/>
                      <w:lang w:eastAsia="zh-CN" w:bidi="ar"/>
                    </w:rPr>
                    <w:t>5775</w:t>
                  </w:r>
                  <w:r>
                    <w:rPr>
                      <w:rFonts w:hint="default" w:ascii="Times New Roman" w:hAnsi="Times New Roman" w:cs="Times New Roman"/>
                      <w:color w:val="auto"/>
                      <w:szCs w:val="21"/>
                      <w:lang w:bidi="ar"/>
                    </w:rPr>
                    <w:t>m</w:t>
                  </w:r>
                  <w:r>
                    <w:rPr>
                      <w:rFonts w:hint="default" w:ascii="Times New Roman" w:hAnsi="Times New Roman" w:cs="Times New Roman"/>
                      <w:color w:val="auto"/>
                      <w:szCs w:val="21"/>
                      <w:vertAlign w:val="superscript"/>
                      <w:lang w:bidi="ar"/>
                    </w:rPr>
                    <w:t>3</w:t>
                  </w:r>
                </w:p>
              </w:tc>
            </w:tr>
          </w:tbl>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lang w:bidi="ar"/>
              </w:rPr>
              <w:t>通过上表可以看出，本项目洗井废水优先回用于压裂液配置</w:t>
            </w:r>
            <w:r>
              <w:rPr>
                <w:rFonts w:hint="default" w:ascii="Times New Roman" w:hAnsi="Times New Roman" w:cs="Times New Roman"/>
                <w:color w:val="auto"/>
                <w:lang w:eastAsia="zh-CN" w:bidi="ar"/>
              </w:rPr>
              <w:t>，</w:t>
            </w:r>
            <w:r>
              <w:rPr>
                <w:rFonts w:hint="default" w:ascii="Times New Roman" w:hAnsi="Times New Roman" w:cs="Times New Roman"/>
                <w:color w:val="auto"/>
                <w:lang w:val="en-US" w:eastAsia="zh-CN" w:bidi="ar"/>
              </w:rPr>
              <w:t>不能回用时用密闭罐车定期拉运至</w:t>
            </w:r>
            <w:r>
              <w:rPr>
                <w:rFonts w:hint="eastAsia" w:ascii="Times New Roman" w:hAnsi="Times New Roman" w:cs="Times New Roman"/>
                <w:color w:val="auto"/>
                <w:lang w:val="en-US" w:eastAsia="zh-CN" w:bidi="ar"/>
              </w:rPr>
              <w:t>赵家坝污水处理站</w:t>
            </w:r>
            <w:r>
              <w:rPr>
                <w:rFonts w:hint="default" w:ascii="Times New Roman" w:hAnsi="Times New Roman" w:cs="Times New Roman"/>
                <w:color w:val="auto"/>
                <w:lang w:val="en-US" w:eastAsia="zh-CN" w:bidi="ar"/>
              </w:rPr>
              <w:t>处理达标后</w:t>
            </w:r>
            <w:r>
              <w:rPr>
                <w:rFonts w:hint="eastAsia" w:ascii="Times New Roman" w:hAnsi="Times New Roman" w:cs="Times New Roman"/>
                <w:color w:val="auto"/>
                <w:lang w:val="en-US" w:eastAsia="zh-CN" w:bidi="ar"/>
              </w:rPr>
              <w:t>由罐车拉运至普光3井等</w:t>
            </w:r>
            <w:r>
              <w:rPr>
                <w:rFonts w:hint="default" w:ascii="Times New Roman" w:hAnsi="Times New Roman" w:cs="Times New Roman"/>
                <w:color w:val="auto"/>
                <w:lang w:val="en-US" w:eastAsia="zh-CN" w:bidi="ar"/>
              </w:rPr>
              <w:t>回注站回注</w:t>
            </w:r>
            <w:r>
              <w:rPr>
                <w:rFonts w:hint="default" w:ascii="Times New Roman" w:hAnsi="Times New Roman" w:cs="Times New Roman"/>
                <w:color w:val="auto"/>
                <w:lang w:bidi="ar"/>
              </w:rPr>
              <w:t>，试气工程期间产生的废水总量约</w:t>
            </w:r>
            <w:r>
              <w:rPr>
                <w:rFonts w:hint="eastAsia" w:ascii="Times New Roman" w:hAnsi="Times New Roman" w:cs="Times New Roman"/>
                <w:color w:val="auto"/>
                <w:lang w:eastAsia="zh-CN" w:bidi="ar"/>
              </w:rPr>
              <w:t>5775</w:t>
            </w:r>
            <w:r>
              <w:rPr>
                <w:rFonts w:hint="default" w:ascii="Times New Roman" w:hAnsi="Times New Roman" w:cs="Times New Roman"/>
                <w:color w:val="auto"/>
                <w:lang w:bidi="ar"/>
              </w:rPr>
              <w:t>m</w:t>
            </w:r>
            <w:r>
              <w:rPr>
                <w:rFonts w:hint="default" w:ascii="Times New Roman" w:hAnsi="Times New Roman" w:cs="Times New Roman"/>
                <w:color w:val="auto"/>
                <w:vertAlign w:val="superscript"/>
                <w:lang w:bidi="ar"/>
              </w:rPr>
              <w:t>3</w:t>
            </w:r>
            <w:r>
              <w:rPr>
                <w:rFonts w:hint="default" w:ascii="Times New Roman" w:hAnsi="Times New Roman" w:cs="Times New Roman"/>
                <w:color w:val="auto"/>
                <w:lang w:bidi="ar"/>
              </w:rPr>
              <w:t>，压裂返排液返排时间约为</w:t>
            </w:r>
            <w:r>
              <w:rPr>
                <w:rFonts w:hint="eastAsia" w:ascii="Times New Roman" w:hAnsi="Times New Roman" w:cs="Times New Roman"/>
                <w:color w:val="auto"/>
                <w:lang w:val="en-US" w:eastAsia="zh-CN" w:bidi="ar"/>
              </w:rPr>
              <w:t>30</w:t>
            </w:r>
            <w:r>
              <w:rPr>
                <w:rFonts w:hint="default" w:ascii="Times New Roman" w:hAnsi="Times New Roman" w:cs="Times New Roman"/>
                <w:color w:val="auto"/>
                <w:lang w:bidi="ar"/>
              </w:rPr>
              <w:t>天，每天产生返排液约为</w:t>
            </w:r>
            <w:r>
              <w:rPr>
                <w:rFonts w:hint="eastAsia" w:ascii="Times New Roman" w:hAnsi="Times New Roman" w:cs="Times New Roman"/>
                <w:color w:val="auto"/>
                <w:lang w:val="en-US" w:eastAsia="zh-CN" w:bidi="ar"/>
              </w:rPr>
              <w:t>192.5</w:t>
            </w:r>
            <w:r>
              <w:rPr>
                <w:rFonts w:hint="default" w:ascii="Times New Roman" w:hAnsi="Times New Roman" w:cs="Times New Roman"/>
                <w:color w:val="auto"/>
                <w:lang w:bidi="ar"/>
              </w:rPr>
              <w:t>m</w:t>
            </w:r>
            <w:r>
              <w:rPr>
                <w:rFonts w:hint="default" w:ascii="Times New Roman" w:hAnsi="Times New Roman" w:cs="Times New Roman"/>
                <w:color w:val="auto"/>
                <w:vertAlign w:val="superscript"/>
                <w:lang w:bidi="ar"/>
              </w:rPr>
              <w:t>3</w:t>
            </w:r>
            <w:r>
              <w:rPr>
                <w:rFonts w:hint="default" w:ascii="Times New Roman" w:hAnsi="Times New Roman" w:cs="Times New Roman"/>
                <w:color w:val="auto"/>
                <w:lang w:bidi="ar"/>
              </w:rPr>
              <w:t>，本项目场内设置20个压裂重叠罐（每个40m</w:t>
            </w:r>
            <w:r>
              <w:rPr>
                <w:rFonts w:hint="default" w:ascii="Times New Roman" w:hAnsi="Times New Roman" w:cs="Times New Roman"/>
                <w:color w:val="auto"/>
                <w:vertAlign w:val="superscript"/>
                <w:lang w:bidi="ar"/>
              </w:rPr>
              <w:t>3</w:t>
            </w:r>
            <w:r>
              <w:rPr>
                <w:rFonts w:hint="default" w:ascii="Times New Roman" w:hAnsi="Times New Roman" w:cs="Times New Roman"/>
                <w:color w:val="auto"/>
                <w:lang w:bidi="ar"/>
              </w:rPr>
              <w:t>）用于</w:t>
            </w:r>
            <w:r>
              <w:rPr>
                <w:rFonts w:hint="eastAsia" w:ascii="Times New Roman" w:hAnsi="Times New Roman" w:cs="Times New Roman"/>
                <w:color w:val="auto"/>
                <w:lang w:eastAsia="zh-CN" w:bidi="ar"/>
              </w:rPr>
              <w:t>接收</w:t>
            </w:r>
            <w:r>
              <w:rPr>
                <w:rFonts w:hint="default" w:ascii="Times New Roman" w:hAnsi="Times New Roman" w:cs="Times New Roman"/>
                <w:color w:val="auto"/>
                <w:lang w:bidi="ar"/>
              </w:rPr>
              <w:t>压裂返排液，因此井场的收集设施完全能够满足本项目钻井作业时收纳废水的要求</w:t>
            </w:r>
            <w:r>
              <w:rPr>
                <w:rFonts w:hint="default" w:ascii="Times New Roman" w:hAnsi="Times New Roman" w:cs="Times New Roman"/>
                <w:color w:val="auto"/>
                <w:kern w:val="2"/>
                <w:lang w:bidi="ar"/>
              </w:rPr>
              <w:t>。</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2）压裂废水收集、储存管理措施</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eastAsia="宋体" w:cs="Times New Roman"/>
                <w:color w:val="auto"/>
                <w:lang w:val="en-US" w:eastAsia="zh-CN" w:bidi="ar"/>
              </w:rPr>
            </w:pPr>
            <w:r>
              <w:rPr>
                <w:rFonts w:hint="default" w:ascii="Times New Roman" w:hAnsi="Times New Roman" w:eastAsia="宋体" w:cs="Times New Roman"/>
                <w:color w:val="auto"/>
                <w:lang w:val="en-US" w:eastAsia="zh-CN" w:bidi="ar"/>
              </w:rPr>
              <w:t>本项目试气工程作业期间最大返排液量</w:t>
            </w:r>
            <w:r>
              <w:rPr>
                <w:rFonts w:hint="eastAsia" w:ascii="Times New Roman" w:hAnsi="Times New Roman" w:eastAsia="宋体" w:cs="Times New Roman"/>
                <w:color w:val="auto"/>
                <w:lang w:val="en-US" w:eastAsia="zh-CN" w:bidi="ar"/>
              </w:rPr>
              <w:t>192.5</w:t>
            </w:r>
            <w:r>
              <w:rPr>
                <w:rFonts w:hint="default" w:ascii="Times New Roman" w:hAnsi="Times New Roman" w:eastAsia="宋体" w:cs="Times New Roman"/>
                <w:color w:val="auto"/>
                <w:lang w:bidi="ar"/>
              </w:rPr>
              <w:t>m</w:t>
            </w:r>
            <w:r>
              <w:rPr>
                <w:rFonts w:hint="default" w:ascii="Times New Roman" w:hAnsi="Times New Roman" w:eastAsia="宋体" w:cs="Times New Roman"/>
                <w:color w:val="auto"/>
                <w:vertAlign w:val="superscript"/>
                <w:lang w:bidi="ar"/>
              </w:rPr>
              <w:t>3</w:t>
            </w:r>
            <w:r>
              <w:rPr>
                <w:rFonts w:hint="default" w:ascii="Times New Roman" w:hAnsi="Times New Roman" w:eastAsia="宋体" w:cs="Times New Roman"/>
                <w:color w:val="auto"/>
                <w:lang w:bidi="ar"/>
              </w:rPr>
              <w:t>/</w:t>
            </w:r>
            <w:r>
              <w:rPr>
                <w:rFonts w:hint="default" w:ascii="Times New Roman" w:hAnsi="Times New Roman" w:eastAsia="宋体" w:cs="Times New Roman"/>
                <w:color w:val="auto"/>
                <w:lang w:val="en-US" w:eastAsia="zh-CN" w:bidi="ar"/>
              </w:rPr>
              <w:t>d，项目放喷池容积为300m</w:t>
            </w:r>
            <w:r>
              <w:rPr>
                <w:rFonts w:hint="default" w:ascii="Times New Roman" w:hAnsi="Times New Roman" w:eastAsia="宋体" w:cs="Times New Roman"/>
                <w:color w:val="auto"/>
                <w:vertAlign w:val="superscript"/>
                <w:lang w:val="en-US" w:eastAsia="zh-CN" w:bidi="ar"/>
              </w:rPr>
              <w:t>3</w:t>
            </w:r>
            <w:r>
              <w:rPr>
                <w:rFonts w:hint="default" w:ascii="Times New Roman" w:hAnsi="Times New Roman" w:eastAsia="宋体" w:cs="Times New Roman"/>
                <w:color w:val="auto"/>
                <w:lang w:val="en-US" w:eastAsia="zh-CN" w:bidi="ar"/>
              </w:rPr>
              <w:t>，压裂返排液经现场絮凝沉淀后</w:t>
            </w:r>
            <w:r>
              <w:rPr>
                <w:rFonts w:hint="default" w:ascii="Times New Roman" w:hAnsi="Times New Roman" w:eastAsia="宋体" w:cs="Times New Roman"/>
                <w:color w:val="auto"/>
                <w:lang w:bidi="ar"/>
              </w:rPr>
              <w:t>利用罐车</w:t>
            </w:r>
            <w:r>
              <w:rPr>
                <w:rFonts w:hint="default" w:ascii="Times New Roman" w:hAnsi="Times New Roman" w:eastAsia="宋体" w:cs="Times New Roman"/>
                <w:color w:val="auto"/>
                <w:lang w:val="en-US" w:eastAsia="zh-CN" w:bidi="ar"/>
              </w:rPr>
              <w:t>及时</w:t>
            </w:r>
            <w:r>
              <w:rPr>
                <w:rFonts w:hint="default" w:ascii="Times New Roman" w:hAnsi="Times New Roman" w:eastAsia="宋体" w:cs="Times New Roman"/>
                <w:color w:val="auto"/>
                <w:lang w:bidi="ar"/>
              </w:rPr>
              <w:t>转运</w:t>
            </w:r>
            <w:r>
              <w:rPr>
                <w:rFonts w:hint="default" w:ascii="Times New Roman" w:hAnsi="Times New Roman" w:eastAsia="宋体" w:cs="Times New Roman"/>
                <w:color w:val="auto"/>
                <w:lang w:eastAsia="zh-CN" w:bidi="ar"/>
              </w:rPr>
              <w:t>，</w:t>
            </w:r>
            <w:r>
              <w:rPr>
                <w:rFonts w:hint="default" w:ascii="Times New Roman" w:hAnsi="Times New Roman" w:eastAsia="宋体" w:cs="Times New Roman"/>
                <w:color w:val="auto"/>
                <w:lang w:val="en-US" w:eastAsia="zh-CN" w:bidi="ar"/>
              </w:rPr>
              <w:t>且通过采用油嘴控制排液，延长排液时间</w:t>
            </w:r>
            <w:r>
              <w:rPr>
                <w:rFonts w:hint="default" w:ascii="Times New Roman" w:hAnsi="Times New Roman" w:eastAsia="宋体" w:cs="Times New Roman"/>
                <w:color w:val="auto"/>
                <w:lang w:bidi="ar"/>
              </w:rPr>
              <w:t>等措施后，压裂</w:t>
            </w:r>
            <w:r>
              <w:rPr>
                <w:rFonts w:hint="default" w:ascii="Times New Roman" w:hAnsi="Times New Roman" w:eastAsia="宋体" w:cs="Times New Roman"/>
                <w:color w:val="auto"/>
                <w:lang w:val="en-US" w:eastAsia="zh-CN" w:bidi="ar"/>
              </w:rPr>
              <w:t>返排液</w:t>
            </w:r>
            <w:r>
              <w:rPr>
                <w:rFonts w:hint="default" w:ascii="Times New Roman" w:hAnsi="Times New Roman" w:eastAsia="宋体" w:cs="Times New Roman"/>
                <w:color w:val="auto"/>
                <w:lang w:bidi="ar"/>
              </w:rPr>
              <w:t>能够得到有效收集、</w:t>
            </w:r>
            <w:r>
              <w:rPr>
                <w:rFonts w:hint="default" w:ascii="Times New Roman" w:hAnsi="Times New Roman" w:eastAsia="宋体" w:cs="Times New Roman"/>
                <w:color w:val="auto"/>
                <w:lang w:val="en-US" w:eastAsia="zh-CN" w:bidi="ar"/>
              </w:rPr>
              <w:t>处理</w:t>
            </w:r>
            <w:r>
              <w:rPr>
                <w:rFonts w:hint="default" w:ascii="Times New Roman" w:hAnsi="Times New Roman" w:eastAsia="宋体" w:cs="Times New Roman"/>
                <w:color w:val="auto"/>
                <w:lang w:bidi="ar"/>
              </w:rPr>
              <w:t>。</w:t>
            </w:r>
            <w:r>
              <w:rPr>
                <w:rFonts w:hint="default" w:ascii="Times New Roman" w:hAnsi="Times New Roman" w:eastAsia="宋体" w:cs="Times New Roman"/>
                <w:color w:val="auto"/>
                <w:lang w:val="en-US" w:eastAsia="zh-CN" w:bidi="ar"/>
              </w:rPr>
              <w:t>确保</w:t>
            </w:r>
            <w:r>
              <w:rPr>
                <w:rFonts w:hint="eastAsia" w:ascii="Times New Roman" w:hAnsi="Times New Roman" w:cs="Times New Roman"/>
                <w:color w:val="auto"/>
                <w:lang w:val="en-US" w:eastAsia="zh-CN" w:bidi="ar"/>
              </w:rPr>
              <w:t>压裂</w:t>
            </w:r>
            <w:r>
              <w:rPr>
                <w:rFonts w:hint="default" w:ascii="Times New Roman" w:hAnsi="Times New Roman" w:eastAsia="宋体" w:cs="Times New Roman"/>
                <w:color w:val="auto"/>
                <w:lang w:val="en-US" w:eastAsia="zh-CN" w:bidi="ar"/>
              </w:rPr>
              <w:t>返排液经处理后及时转运至</w:t>
            </w:r>
            <w:r>
              <w:rPr>
                <w:rFonts w:hint="eastAsia" w:ascii="Times New Roman" w:hAnsi="Times New Roman" w:cs="Times New Roman"/>
                <w:color w:val="auto"/>
                <w:lang w:val="en-US" w:eastAsia="zh-CN" w:bidi="ar"/>
              </w:rPr>
              <w:t>赵家坝污水处理站</w:t>
            </w:r>
            <w:r>
              <w:rPr>
                <w:rFonts w:hint="default" w:ascii="Times New Roman" w:hAnsi="Times New Roman" w:eastAsia="宋体" w:cs="Times New Roman"/>
                <w:color w:val="auto"/>
                <w:lang w:val="en-US" w:eastAsia="zh-CN" w:bidi="ar"/>
              </w:rPr>
              <w:t>处理。</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eastAsia="宋体" w:cs="Times New Roman"/>
                <w:color w:val="auto"/>
                <w:lang w:bidi="ar"/>
              </w:rPr>
            </w:pPr>
            <w:r>
              <w:rPr>
                <w:rFonts w:hint="default" w:ascii="Times New Roman" w:hAnsi="Times New Roman" w:eastAsia="宋体" w:cs="Times New Roman"/>
                <w:color w:val="auto"/>
                <w:lang w:bidi="ar"/>
              </w:rPr>
              <w:t>建设单位针对废水储存采取了以下管理措施：</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eastAsia="宋体" w:cs="Times New Roman"/>
                <w:color w:val="auto"/>
                <w:lang w:bidi="ar"/>
              </w:rPr>
            </w:pPr>
            <w:r>
              <w:rPr>
                <w:rFonts w:hint="default" w:ascii="Times New Roman" w:hAnsi="Times New Roman" w:eastAsia="宋体" w:cs="Times New Roman"/>
                <w:color w:val="auto"/>
                <w:lang w:bidi="ar"/>
              </w:rPr>
              <w:fldChar w:fldCharType="begin"/>
            </w:r>
            <w:r>
              <w:rPr>
                <w:rFonts w:hint="default" w:ascii="Times New Roman" w:hAnsi="Times New Roman" w:eastAsia="宋体" w:cs="Times New Roman"/>
                <w:color w:val="auto"/>
                <w:lang w:bidi="ar"/>
              </w:rPr>
              <w:instrText xml:space="preserve"> = 1 \* GB3 \* MERGEFORMAT </w:instrText>
            </w:r>
            <w:r>
              <w:rPr>
                <w:rFonts w:hint="default" w:ascii="Times New Roman" w:hAnsi="Times New Roman" w:eastAsia="宋体" w:cs="Times New Roman"/>
                <w:color w:val="auto"/>
                <w:lang w:bidi="ar"/>
              </w:rPr>
              <w:fldChar w:fldCharType="separate"/>
            </w:r>
            <w:r>
              <w:rPr>
                <w:rFonts w:hint="default" w:ascii="Times New Roman" w:hAnsi="Times New Roman" w:eastAsia="宋体" w:cs="Times New Roman"/>
                <w:color w:val="auto"/>
                <w:lang w:bidi="ar"/>
              </w:rPr>
              <w:t>①</w:t>
            </w:r>
            <w:r>
              <w:rPr>
                <w:rFonts w:hint="default" w:ascii="Times New Roman" w:hAnsi="Times New Roman" w:eastAsia="宋体" w:cs="Times New Roman"/>
                <w:color w:val="auto"/>
                <w:lang w:bidi="ar"/>
              </w:rPr>
              <w:fldChar w:fldCharType="end"/>
            </w:r>
            <w:r>
              <w:rPr>
                <w:rFonts w:hint="default" w:ascii="Times New Roman" w:hAnsi="Times New Roman" w:eastAsia="宋体" w:cs="Times New Roman"/>
                <w:color w:val="auto"/>
                <w:lang w:bidi="ar"/>
              </w:rPr>
              <w:t>井场应实施清污分流，清污分流管道应完善畅通，并确保废水全部进入水池中。</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eastAsia="宋体" w:cs="Times New Roman"/>
                <w:color w:val="auto"/>
                <w:lang w:bidi="ar"/>
              </w:rPr>
            </w:pPr>
            <w:r>
              <w:rPr>
                <w:rFonts w:hint="default" w:ascii="Times New Roman" w:hAnsi="Times New Roman" w:eastAsia="宋体" w:cs="Times New Roman"/>
                <w:color w:val="auto"/>
                <w:lang w:bidi="ar"/>
              </w:rPr>
              <w:fldChar w:fldCharType="begin"/>
            </w:r>
            <w:r>
              <w:rPr>
                <w:rFonts w:hint="default" w:ascii="Times New Roman" w:hAnsi="Times New Roman" w:eastAsia="宋体" w:cs="Times New Roman"/>
                <w:color w:val="auto"/>
                <w:lang w:bidi="ar"/>
              </w:rPr>
              <w:instrText xml:space="preserve"> = 2 \* GB3 \* MERGEFORMAT </w:instrText>
            </w:r>
            <w:r>
              <w:rPr>
                <w:rFonts w:hint="default" w:ascii="Times New Roman" w:hAnsi="Times New Roman" w:eastAsia="宋体" w:cs="Times New Roman"/>
                <w:color w:val="auto"/>
                <w:lang w:bidi="ar"/>
              </w:rPr>
              <w:fldChar w:fldCharType="separate"/>
            </w:r>
            <w:r>
              <w:rPr>
                <w:rFonts w:hint="default" w:ascii="Times New Roman" w:hAnsi="Times New Roman" w:eastAsia="宋体" w:cs="Times New Roman"/>
                <w:color w:val="auto"/>
                <w:lang w:bidi="ar"/>
              </w:rPr>
              <w:t>②</w:t>
            </w:r>
            <w:r>
              <w:rPr>
                <w:rFonts w:hint="default" w:ascii="Times New Roman" w:hAnsi="Times New Roman" w:eastAsia="宋体" w:cs="Times New Roman"/>
                <w:color w:val="auto"/>
                <w:lang w:bidi="ar"/>
              </w:rPr>
              <w:fldChar w:fldCharType="end"/>
            </w:r>
            <w:r>
              <w:rPr>
                <w:rFonts w:hint="default" w:ascii="Times New Roman" w:hAnsi="Times New Roman" w:eastAsia="宋体" w:cs="Times New Roman"/>
                <w:color w:val="auto"/>
                <w:lang w:bidi="ar"/>
              </w:rPr>
              <w:t>不得乱排乱放废水。</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eastAsia="宋体" w:cs="Times New Roman"/>
                <w:color w:val="auto"/>
                <w:lang w:bidi="ar"/>
              </w:rPr>
            </w:pPr>
            <w:r>
              <w:rPr>
                <w:rFonts w:hint="default" w:ascii="Times New Roman" w:hAnsi="Times New Roman" w:eastAsia="宋体" w:cs="Times New Roman"/>
                <w:color w:val="auto"/>
                <w:lang w:bidi="ar"/>
              </w:rPr>
              <w:fldChar w:fldCharType="begin"/>
            </w:r>
            <w:r>
              <w:rPr>
                <w:rFonts w:hint="default" w:ascii="Times New Roman" w:hAnsi="Times New Roman" w:eastAsia="宋体" w:cs="Times New Roman"/>
                <w:color w:val="auto"/>
                <w:lang w:bidi="ar"/>
              </w:rPr>
              <w:instrText xml:space="preserve"> = 3 \* GB3 \* MERGEFORMAT </w:instrText>
            </w:r>
            <w:r>
              <w:rPr>
                <w:rFonts w:hint="default" w:ascii="Times New Roman" w:hAnsi="Times New Roman" w:eastAsia="宋体" w:cs="Times New Roman"/>
                <w:color w:val="auto"/>
                <w:lang w:bidi="ar"/>
              </w:rPr>
              <w:fldChar w:fldCharType="separate"/>
            </w:r>
            <w:r>
              <w:rPr>
                <w:rFonts w:hint="default" w:ascii="Times New Roman" w:hAnsi="Times New Roman" w:eastAsia="宋体" w:cs="Times New Roman"/>
                <w:color w:val="auto"/>
                <w:lang w:bidi="ar"/>
              </w:rPr>
              <w:t>③</w:t>
            </w:r>
            <w:r>
              <w:rPr>
                <w:rFonts w:hint="default" w:ascii="Times New Roman" w:hAnsi="Times New Roman" w:eastAsia="宋体" w:cs="Times New Roman"/>
                <w:color w:val="auto"/>
                <w:lang w:bidi="ar"/>
              </w:rPr>
              <w:fldChar w:fldCharType="end"/>
            </w:r>
            <w:r>
              <w:rPr>
                <w:rFonts w:hint="default" w:ascii="Times New Roman" w:hAnsi="Times New Roman" w:eastAsia="宋体" w:cs="Times New Roman"/>
                <w:color w:val="auto"/>
                <w:lang w:bidi="ar"/>
              </w:rPr>
              <w:t>现场人员应定期对水罐渗漏情况进行巡检，发现异常情况立即汇报和整改，并做好记录。</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eastAsia="宋体" w:cs="Times New Roman"/>
                <w:color w:val="auto"/>
                <w:lang w:bidi="ar"/>
              </w:rPr>
            </w:pPr>
            <w:r>
              <w:rPr>
                <w:rFonts w:hint="default" w:ascii="Times New Roman" w:hAnsi="Times New Roman" w:eastAsia="宋体" w:cs="Times New Roman"/>
                <w:color w:val="auto"/>
                <w:lang w:bidi="ar"/>
              </w:rPr>
              <w:fldChar w:fldCharType="begin"/>
            </w:r>
            <w:r>
              <w:rPr>
                <w:rFonts w:hint="default" w:ascii="Times New Roman" w:hAnsi="Times New Roman" w:eastAsia="宋体" w:cs="Times New Roman"/>
                <w:color w:val="auto"/>
                <w:lang w:bidi="ar"/>
              </w:rPr>
              <w:instrText xml:space="preserve"> = 4 \* GB3 \* MERGEFORMAT </w:instrText>
            </w:r>
            <w:r>
              <w:rPr>
                <w:rFonts w:hint="default" w:ascii="Times New Roman" w:hAnsi="Times New Roman" w:eastAsia="宋体" w:cs="Times New Roman"/>
                <w:color w:val="auto"/>
                <w:lang w:bidi="ar"/>
              </w:rPr>
              <w:fldChar w:fldCharType="separate"/>
            </w:r>
            <w:r>
              <w:rPr>
                <w:rFonts w:hint="default" w:ascii="Times New Roman" w:hAnsi="Times New Roman" w:eastAsia="宋体" w:cs="Times New Roman"/>
                <w:color w:val="auto"/>
                <w:lang w:bidi="ar"/>
              </w:rPr>
              <w:t>④</w:t>
            </w:r>
            <w:r>
              <w:rPr>
                <w:rFonts w:hint="default" w:ascii="Times New Roman" w:hAnsi="Times New Roman" w:eastAsia="宋体" w:cs="Times New Roman"/>
                <w:color w:val="auto"/>
                <w:lang w:bidi="ar"/>
              </w:rPr>
              <w:fldChar w:fldCharType="end"/>
            </w:r>
            <w:r>
              <w:rPr>
                <w:rFonts w:hint="default" w:ascii="Times New Roman" w:hAnsi="Times New Roman" w:eastAsia="宋体" w:cs="Times New Roman"/>
                <w:color w:val="auto"/>
                <w:lang w:bidi="ar"/>
              </w:rPr>
              <w:t>井场还及时转运废水，以防止暴雨进入水池、水罐引起废水外溢从而导致环境污染。</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eastAsia="宋体" w:cs="Times New Roman"/>
                <w:color w:val="auto"/>
                <w:lang w:bidi="ar"/>
              </w:rPr>
            </w:pPr>
            <w:r>
              <w:rPr>
                <w:rFonts w:hint="default" w:ascii="Times New Roman" w:hAnsi="Times New Roman" w:eastAsia="宋体" w:cs="Times New Roman"/>
                <w:color w:val="auto"/>
                <w:lang w:bidi="ar"/>
              </w:rPr>
              <w:t>由此可见，本项目采取的废水收集、储存措施有效可行。</w:t>
            </w:r>
          </w:p>
          <w:p>
            <w:pPr>
              <w:keepNext/>
              <w:keepLines w:val="0"/>
              <w:suppressLineNumbers w:val="0"/>
              <w:spacing w:before="0" w:beforeAutospacing="0" w:after="0" w:afterAutospacing="0" w:line="360" w:lineRule="auto"/>
              <w:ind w:left="0" w:right="0" w:firstLine="482" w:firstLineChars="200"/>
              <w:rPr>
                <w:rFonts w:hint="default" w:ascii="Times New Roman" w:hAnsi="Times New Roman" w:cs="Times New Roman"/>
                <w:b/>
                <w:color w:val="auto"/>
                <w:sz w:val="24"/>
              </w:rPr>
            </w:pPr>
            <w:r>
              <w:rPr>
                <w:rFonts w:hint="default" w:ascii="Times New Roman" w:hAnsi="Times New Roman" w:cs="Times New Roman"/>
                <w:b/>
                <w:color w:val="auto"/>
                <w:sz w:val="24"/>
                <w:lang w:bidi="ar"/>
              </w:rPr>
              <w:t>（4）废水转运措施分析</w:t>
            </w:r>
          </w:p>
          <w:p>
            <w:pPr>
              <w:pStyle w:val="38"/>
              <w:keepNext/>
              <w:keepLines w:val="0"/>
              <w:widowControl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u w:val="single"/>
              </w:rPr>
            </w:pPr>
            <w:r>
              <w:rPr>
                <w:rFonts w:hint="default" w:ascii="Times New Roman" w:hAnsi="Times New Roman" w:cs="Times New Roman"/>
                <w:color w:val="auto"/>
                <w:kern w:val="2"/>
                <w:lang w:bidi="ar"/>
              </w:rPr>
              <w:t>本项目最终产生的试气工程废水采用罐车</w:t>
            </w:r>
            <w:r>
              <w:rPr>
                <w:rFonts w:hint="default" w:ascii="Times New Roman" w:hAnsi="Times New Roman" w:cs="Times New Roman"/>
                <w:color w:val="auto"/>
                <w:lang w:bidi="ar"/>
              </w:rPr>
              <w:t>拉运</w:t>
            </w:r>
            <w:r>
              <w:rPr>
                <w:rFonts w:hint="default" w:ascii="Times New Roman" w:hAnsi="Times New Roman" w:cs="Times New Roman"/>
                <w:color w:val="auto"/>
              </w:rPr>
              <w:t>至废水处理站处理</w:t>
            </w:r>
            <w:r>
              <w:rPr>
                <w:rFonts w:hint="default" w:ascii="Times New Roman" w:hAnsi="Times New Roman" w:cs="Times New Roman"/>
                <w:color w:val="auto"/>
                <w:kern w:val="2"/>
                <w:lang w:bidi="ar"/>
              </w:rPr>
              <w:t>，建设单位针对废水转运采取的管理措施为：</w:t>
            </w:r>
          </w:p>
          <w:p>
            <w:pPr>
              <w:keepNext/>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lang w:bidi="ar"/>
              </w:rPr>
              <w:t>①制定科学合理的车辆运输，根据车辆运输实施相应的管理。</w:t>
            </w:r>
          </w:p>
          <w:p>
            <w:pPr>
              <w:keepNext/>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lang w:bidi="ar"/>
              </w:rPr>
              <w:t>②废水承运单位为非建设单位所属单位，承运方需具备建设单位HSE准入资格和相应的运输服务准入资格。</w:t>
            </w:r>
          </w:p>
          <w:p>
            <w:pPr>
              <w:keepNext/>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lang w:bidi="ar"/>
              </w:rPr>
              <w:t>③废水承运单位在开展运输工作之前，应对运输人员进行相关安全环保知识培训，废水运输车辆、装卸工具必须符合安全环保要求，装卸和运输废水过程中不得溢出和渗漏。严禁任意倾倒、排放或向第三方转移废水。</w:t>
            </w:r>
          </w:p>
          <w:p>
            <w:pPr>
              <w:keepNext/>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lang w:bidi="ar"/>
              </w:rPr>
              <w:t>④废水承运人员进入井场装卸废水，必须遵守有关安全环保管理规定，并服从井站值班人员的管理，不得擅自进入生产装置区和操作井场设备设施。</w:t>
            </w:r>
          </w:p>
          <w:p>
            <w:pPr>
              <w:keepNext/>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lang w:bidi="ar"/>
              </w:rPr>
              <w:t>⑤废水车辆运输严格执行签认制度。签认单复印件报属地管理单位安全部门和承运单位备查，保存期不得少于二年。</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⑥废水转运时采取罐车密闭输送。</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⑦尽量避免在雨天和大雾天转运。</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为确保本工程废水得到妥善处理，本着切实保护环境的原则，建议本工程废水转运过程中，增加如下措施：</w:t>
            </w:r>
          </w:p>
          <w:p>
            <w:pPr>
              <w:pStyle w:val="38"/>
              <w:keepNext/>
              <w:keepLines w:val="0"/>
              <w:suppressLineNumbers w:val="0"/>
              <w:tabs>
                <w:tab w:val="left" w:pos="377"/>
              </w:tabs>
              <w:spacing w:before="0" w:beforeAutospacing="0" w:after="0" w:afterAutospacing="0" w:line="360" w:lineRule="auto"/>
              <w:ind w:left="0" w:right="0" w:firstLine="480"/>
              <w:jc w:val="both"/>
              <w:rPr>
                <w:rFonts w:hint="default" w:ascii="Times New Roman" w:hAnsi="Times New Roman" w:cs="Times New Roman"/>
                <w:color w:val="auto"/>
                <w:kern w:val="2"/>
                <w:lang w:bidi="ar"/>
              </w:rPr>
            </w:pPr>
            <w:r>
              <w:rPr>
                <w:rFonts w:hint="default" w:ascii="Times New Roman" w:hAnsi="Times New Roman" w:cs="Times New Roman"/>
                <w:color w:val="auto"/>
                <w:lang w:bidi="ar"/>
              </w:rPr>
              <w:t>①</w:t>
            </w:r>
            <w:r>
              <w:rPr>
                <w:rFonts w:hint="default" w:ascii="Times New Roman" w:hAnsi="Times New Roman" w:cs="Times New Roman"/>
                <w:color w:val="auto"/>
                <w:kern w:val="2"/>
                <w:lang w:bidi="ar"/>
              </w:rPr>
              <w:t>建设单位应当加强对废水承运单位的监管和沟通，督促其严格监管废水转运车辆，运输车辆尽可能绕避饮用水源保护区以防废水承运人员半途随意倾倒废水造成环境污染。</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rPr>
            </w:pPr>
            <w:r>
              <w:rPr>
                <w:rFonts w:hint="default" w:ascii="Times New Roman" w:hAnsi="Times New Roman" w:cs="Times New Roman"/>
                <w:color w:val="auto"/>
                <w:kern w:val="2"/>
                <w:lang w:bidi="ar"/>
              </w:rPr>
              <w:t>②对承包废水转运的承包商实施车辆登记制度，为每台车安装GPS，并纳入建设方的GPS监控系统平台。</w:t>
            </w:r>
          </w:p>
          <w:p>
            <w:pPr>
              <w:pStyle w:val="38"/>
              <w:keepNext/>
              <w:keepLines w:val="0"/>
              <w:suppressLineNumbers w:val="0"/>
              <w:tabs>
                <w:tab w:val="left" w:pos="377"/>
              </w:tabs>
              <w:spacing w:before="0" w:beforeAutospacing="0" w:after="0" w:afterAutospacing="0" w:line="360" w:lineRule="auto"/>
              <w:ind w:left="420" w:right="0"/>
              <w:jc w:val="both"/>
              <w:rPr>
                <w:rFonts w:hint="default" w:ascii="Times New Roman" w:hAnsi="Times New Roman" w:cs="Times New Roman"/>
                <w:color w:val="auto"/>
              </w:rPr>
            </w:pPr>
            <w:r>
              <w:rPr>
                <w:rFonts w:hint="default" w:ascii="Times New Roman" w:hAnsi="Times New Roman" w:cs="Times New Roman"/>
                <w:color w:val="auto"/>
                <w:kern w:val="2"/>
                <w:lang w:bidi="ar"/>
              </w:rPr>
              <w:t>③转运过程做好转运台账，严格实施交接清单制度。噪声影响及措施</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lang w:bidi="ar"/>
              </w:rPr>
              <w:t>由此可见，本项目采取的废水转运措施有效可行。</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5.3.3噪声治理措施及可行性分析</w:t>
            </w:r>
          </w:p>
          <w:p>
            <w:pPr>
              <w:pStyle w:val="38"/>
              <w:keepNext/>
              <w:keepLines w:val="0"/>
              <w:suppressLineNumbers w:val="0"/>
              <w:tabs>
                <w:tab w:val="left" w:pos="377"/>
              </w:tabs>
              <w:spacing w:before="0" w:beforeAutospacing="0" w:after="0" w:afterAutospacing="0" w:line="360" w:lineRule="auto"/>
              <w:ind w:left="0" w:right="0" w:firstLine="480" w:firstLineChars="200"/>
              <w:jc w:val="both"/>
              <w:rPr>
                <w:rFonts w:hint="default" w:ascii="Times New Roman" w:hAnsi="Times New Roman" w:cs="Times New Roman"/>
                <w:color w:val="auto"/>
                <w:kern w:val="2"/>
                <w:lang w:bidi="ar"/>
              </w:rPr>
            </w:pPr>
            <w:r>
              <w:rPr>
                <w:rFonts w:hint="default" w:ascii="Times New Roman" w:hAnsi="Times New Roman" w:cs="Times New Roman"/>
                <w:color w:val="auto"/>
                <w:kern w:val="2"/>
                <w:lang w:bidi="ar"/>
              </w:rPr>
              <w:t>对于压裂作业产生的噪声，其采取的措施主要是选用低噪声设备、对相关设备采取基础减震和优化井场布局来减轻噪声的影响，对噪声源采取噪声防治措施主要为对相关设备安装减振垫、消声器等措施；泥浆泵可加衬弹性垫料和安装消声装置以达到减噪目的。此外，在管理和作业过程中平稳操作，施工期间加强施工管理，加强设备日常维护，同时在操作时做到平稳操作，避免特种作业时产生非正常的噪声等。对噪声受影响的农户采取沟通宣传和耐心解释等方式，同时施工方在施工前应与受影响居民协商达成一致，采取临时撤离等措施解决噪声超标问题，待作业结束后返回，确保不噪声扰民。</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5.3.4固体废物治理措施及可行性分析</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试气工程期间产生的固体废物主要为废油、废油桶、废棉纱/手套、废包装材料及生活垃圾。其中危</w:t>
            </w:r>
            <w:r>
              <w:rPr>
                <w:rFonts w:hint="eastAsia" w:ascii="Times New Roman" w:hAnsi="Times New Roman" w:cs="Times New Roman"/>
                <w:color w:val="auto"/>
                <w:szCs w:val="24"/>
                <w:lang w:eastAsia="zh-CN"/>
              </w:rPr>
              <w:t>险</w:t>
            </w:r>
            <w:r>
              <w:rPr>
                <w:rFonts w:hint="default" w:ascii="Times New Roman" w:hAnsi="Times New Roman" w:cs="Times New Roman"/>
                <w:color w:val="auto"/>
                <w:szCs w:val="24"/>
              </w:rPr>
              <w:t>废物为废油、废油桶、废棉纱/手套，一般工业固体废物为废包装材料。</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危险废物收集后暂存于危险废物贮存点内，拟及时交由有资质单位处置。要求建设单位严格按照《危险废物收集、贮存、运输技术规范》（HJ2025-2012）及《建设项目危险废物环境影响评价指南》中相关规定做好收集、暂存和转运工作。</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废包装材料集中收集后定期运至就近的废品回收站进行处理。</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生活垃圾交由当地环卫部门处置。</w:t>
            </w:r>
          </w:p>
          <w:p>
            <w:pPr>
              <w:pStyle w:val="215"/>
              <w:keepNext w:val="0"/>
              <w:keepLines w:val="0"/>
              <w:suppressLineNumbers w:val="0"/>
              <w:spacing w:before="0" w:beforeAutospacing="0" w:after="0" w:afterAutospacing="0"/>
              <w:ind w:left="0" w:right="0"/>
              <w:rPr>
                <w:rFonts w:hint="default" w:ascii="Times New Roman" w:hAnsi="Times New Roman" w:cs="Times New Roman"/>
                <w:color w:val="auto"/>
                <w:szCs w:val="24"/>
              </w:rPr>
            </w:pPr>
            <w:r>
              <w:rPr>
                <w:rFonts w:hint="default" w:ascii="Times New Roman" w:hAnsi="Times New Roman" w:cs="Times New Roman"/>
                <w:color w:val="auto"/>
                <w:szCs w:val="24"/>
              </w:rPr>
              <w:t>综上所述，试气工程期间固体废物得到有效处置，对外环境影响较小。</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5.4地下水防治措施可行性分析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（1）源头控制</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钻井设计中采取先进的钻井方案和清洁钻井液体系，</w:t>
            </w:r>
            <w:r>
              <w:rPr>
                <w:rFonts w:hint="eastAsia" w:cs="Times New Roman"/>
                <w:color w:val="auto"/>
                <w:sz w:val="24"/>
                <w:lang w:val="en-US" w:eastAsia="zh-CN"/>
              </w:rPr>
              <w:t>一开</w:t>
            </w:r>
            <w:r>
              <w:rPr>
                <w:rFonts w:hint="default" w:ascii="Times New Roman" w:hAnsi="Times New Roman" w:cs="Times New Roman"/>
                <w:color w:val="auto"/>
                <w:sz w:val="24"/>
              </w:rPr>
              <w:t>段采用清水钻井，二开段</w:t>
            </w:r>
            <w:r>
              <w:rPr>
                <w:rFonts w:hint="default" w:ascii="Times New Roman" w:hAnsi="Times New Roman" w:cs="Times New Roman"/>
                <w:color w:val="auto"/>
                <w:sz w:val="24"/>
                <w:lang w:val="en-US" w:eastAsia="zh-CN"/>
              </w:rPr>
              <w:t>优先采用气体钻井，当不满足钻井要求时更换为</w:t>
            </w:r>
            <w:r>
              <w:rPr>
                <w:rFonts w:hint="default" w:ascii="Times New Roman" w:hAnsi="Times New Roman" w:cs="Times New Roman"/>
                <w:color w:val="auto"/>
                <w:sz w:val="24"/>
              </w:rPr>
              <w:t>水基钻井液钻井</w:t>
            </w:r>
            <w:r>
              <w:rPr>
                <w:rFonts w:hint="default" w:ascii="Times New Roman" w:hAnsi="Times New Roman" w:cs="Times New Roman"/>
                <w:color w:val="auto"/>
                <w:sz w:val="24"/>
                <w:lang w:eastAsia="zh-CN"/>
              </w:rPr>
              <w:t>，</w:t>
            </w:r>
            <w:r>
              <w:rPr>
                <w:rFonts w:hint="default" w:ascii="Times New Roman" w:hAnsi="Times New Roman" w:cs="Times New Roman"/>
                <w:color w:val="auto"/>
                <w:sz w:val="24"/>
                <w:lang w:val="en-US" w:eastAsia="zh-CN"/>
              </w:rPr>
              <w:t>三开段采用水基钻井液钻井</w:t>
            </w:r>
            <w:r>
              <w:rPr>
                <w:rFonts w:hint="default" w:ascii="Times New Roman" w:hAnsi="Times New Roman" w:cs="Times New Roman"/>
                <w:color w:val="auto"/>
                <w:sz w:val="24"/>
              </w:rPr>
              <w:t>。评价提出井场储备足够的堵漏剂，堵漏剂的选取应考虑清洁、无毒、对人体无害，环境污染轻的种类。通过实施清洁化操作，能够减少新鲜水用量，实行清污分流，减少污水产生量。岩屑堆放区设雨棚。经济技术可行。</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（2）防渗分区及防渗措施</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重点防渗区：井口区、井架基础区、井场设备基础硬化区（柴油机动力区、泥浆泵区、发电房和气源房基础区、循环系统）、泥浆不落地平台、环境监测池、岩屑堆放区、油罐区、放喷池。</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防渗要求：各区域防渗要求满足等效黏土防渗层厚度≥6m，渗透系数≤10</w:t>
            </w:r>
            <w:r>
              <w:rPr>
                <w:rFonts w:hint="default" w:ascii="Times New Roman" w:hAnsi="Times New Roman" w:cs="Times New Roman"/>
                <w:color w:val="auto"/>
                <w:sz w:val="24"/>
                <w:vertAlign w:val="superscript"/>
              </w:rPr>
              <w:t>-7</w:t>
            </w:r>
            <w:r>
              <w:rPr>
                <w:rFonts w:hint="default" w:ascii="Times New Roman" w:hAnsi="Times New Roman" w:cs="Times New Roman"/>
                <w:color w:val="auto"/>
                <w:sz w:val="24"/>
              </w:rPr>
              <w:t>cm/s。</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一般防渗区：泥浆储备罐区、</w:t>
            </w:r>
            <w:r>
              <w:rPr>
                <w:rFonts w:hint="eastAsia" w:cs="Times New Roman"/>
                <w:color w:val="auto"/>
                <w:sz w:val="24"/>
                <w:lang w:val="en-US" w:eastAsia="zh-CN"/>
              </w:rPr>
              <w:t>环境监测</w:t>
            </w:r>
            <w:r>
              <w:rPr>
                <w:rFonts w:hint="default" w:ascii="Times New Roman" w:hAnsi="Times New Roman" w:cs="Times New Roman"/>
                <w:color w:val="auto"/>
                <w:sz w:val="24"/>
              </w:rPr>
              <w:t>池、清污分流区域、生态一体化厕所、井场部分。防渗要求：上述区域防渗要求满足等效黏土防渗层厚度≥1.5m，渗透系数≤10</w:t>
            </w:r>
            <w:r>
              <w:rPr>
                <w:rFonts w:hint="default" w:ascii="Times New Roman" w:hAnsi="Times New Roman" w:cs="Times New Roman"/>
                <w:color w:val="auto"/>
                <w:sz w:val="24"/>
                <w:vertAlign w:val="superscript"/>
              </w:rPr>
              <w:t>-7</w:t>
            </w:r>
            <w:r>
              <w:rPr>
                <w:rFonts w:hint="default" w:ascii="Times New Roman" w:hAnsi="Times New Roman" w:cs="Times New Roman"/>
                <w:color w:val="auto"/>
                <w:sz w:val="24"/>
              </w:rPr>
              <w:t>cm/s。</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kern w:val="0"/>
                <w:sz w:val="24"/>
                <w:lang w:bidi="ar"/>
              </w:rPr>
              <w:t>结合混凝防渗性能分析，设计中采取的防渗措施总体</w:t>
            </w:r>
            <w:r>
              <w:rPr>
                <w:rFonts w:hint="default" w:ascii="Times New Roman" w:hAnsi="Times New Roman" w:cs="Times New Roman"/>
                <w:bCs/>
                <w:color w:val="auto"/>
                <w:sz w:val="24"/>
              </w:rPr>
              <w:t>满足防渗要求。</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（3）地下水保护措施</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color w:val="auto"/>
                <w:sz w:val="24"/>
              </w:rPr>
            </w:pPr>
            <w:r>
              <w:rPr>
                <w:rFonts w:hint="default" w:ascii="Times New Roman" w:hAnsi="Times New Roman" w:cs="Times New Roman"/>
                <w:color w:val="auto"/>
                <w:sz w:val="24"/>
              </w:rPr>
              <w:t>通过采取地下水防治措施可有效保护项目所在地地下水环境，合理选址和分区防渗、重点防护等措施在天然气井建设项目中已多次成功应用，地下水防治措施可行，本项目建设正常工况下对当地居民取水水井地下水环境影响较小，但在事故工况下会对区域地下水含水层造成一定范围的超标影响。居民水井一旦受本项目影响，居民饮用水供给得不到有效保障，环境影响后果较大，故本评价建议在发生地下水污染事故时，若发现地下水受到污染，立即告知村民停止饮用地下水源，启动地下水应急监测方案，因本项目导致周边居民饮水及生产用水困难时，由建设单位应解决居民用水问题，临时拉运自来水或外购桶装水等方式解决居民用水问题，直到居民饮水问题得以解决。</w:t>
            </w:r>
          </w:p>
          <w:p>
            <w:pPr>
              <w:keepNext w:val="0"/>
              <w:keepLines w:val="0"/>
              <w:suppressLineNumbers w:val="0"/>
              <w:spacing w:before="0" w:beforeAutospacing="0" w:after="0" w:afterAutospacing="0" w:line="360" w:lineRule="auto"/>
              <w:ind w:left="0" w:right="0" w:firstLine="480" w:firstLineChars="200"/>
              <w:jc w:val="left"/>
              <w:rPr>
                <w:rFonts w:hint="default" w:ascii="Times New Roman" w:hAnsi="Times New Roman" w:cs="Times New Roman"/>
                <w:color w:val="auto"/>
                <w:sz w:val="24"/>
              </w:rPr>
            </w:pPr>
            <w:r>
              <w:rPr>
                <w:rFonts w:hint="default" w:ascii="Times New Roman" w:hAnsi="Times New Roman" w:cs="Times New Roman"/>
                <w:color w:val="auto"/>
                <w:sz w:val="24"/>
              </w:rPr>
              <w:t>综上所述，通过采取上述地下水防治措施可有效保护项目所在地地下水环境，减轻地下水环境影响。本项目采取的合理选址、分区防渗、源头控制、优化工艺、应急响应等措施在钻井项目中已多次成功应用，地下水防治措施可行。</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5.5环境风险影响分析及措施可行性分析</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5.5.1井喷风险防范措施</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施工单位应按《石油天然气工业健康、安全与环境管理体系》（SY/T 6276-2014）及相关的井控技术标准和规范中的有关规定执行，并针对本井情况制定具体的可操作的实施方案。根据《石油天然气钻井井控技术规范》（GB/T31033-2014）相关规定，对井口压力实施实时监控，设置液压防喷器等井控装置，设置可燃气体报警装置。</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1）试气作业前按《气井试气、采气及动态监测工艺规程》（SY/T 6125-2013）等相关标准要求进行试气设计。</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2）按照有关标准及试气设计对井口装置、测试管线、地面测试流程进行安装固定、试压，并测试是否达到设计和标准的要求。</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3）测试现场做好安全警戒工作，以及治安保卫、交通管制工作。</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4）施工作业前安排组织进行技术交底，施工过程中应安排安全环保监督全程参与。</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5）放喷点火时，使用点火枪或海军信号弹，点火人员应佩戴好空气呼吸器。</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6）井口产出的流体经分离计量后液体进入储罐，天然气进入测试</w:t>
            </w:r>
            <w:r>
              <w:rPr>
                <w:rFonts w:hint="default" w:ascii="Times New Roman" w:hAnsi="Times New Roman" w:cs="Times New Roman"/>
                <w:bCs/>
                <w:color w:val="auto"/>
                <w:sz w:val="24"/>
                <w:lang w:eastAsia="zh-CN"/>
              </w:rPr>
              <w:t>放喷池</w:t>
            </w:r>
            <w:r>
              <w:rPr>
                <w:rFonts w:hint="default" w:ascii="Times New Roman" w:hAnsi="Times New Roman" w:cs="Times New Roman"/>
                <w:bCs/>
                <w:color w:val="auto"/>
                <w:sz w:val="24"/>
              </w:rPr>
              <w:t>点火烧掉；分离器距井口30m以上，</w:t>
            </w:r>
            <w:r>
              <w:rPr>
                <w:rFonts w:hint="default" w:ascii="Times New Roman" w:hAnsi="Times New Roman" w:cs="Times New Roman"/>
                <w:bCs/>
                <w:color w:val="auto"/>
                <w:sz w:val="24"/>
                <w:lang w:eastAsia="zh-CN"/>
              </w:rPr>
              <w:t>放喷池</w:t>
            </w:r>
            <w:r>
              <w:rPr>
                <w:rFonts w:hint="default" w:ascii="Times New Roman" w:hAnsi="Times New Roman" w:cs="Times New Roman"/>
                <w:bCs/>
                <w:color w:val="auto"/>
                <w:sz w:val="24"/>
              </w:rPr>
              <w:t>应距离井口100m以外，距离建筑物及森林50m以外。</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7）测试期间如发生井口超压，应及时开启放喷管汇降压，同时</w:t>
            </w:r>
            <w:r>
              <w:rPr>
                <w:rFonts w:hint="default" w:ascii="Times New Roman" w:hAnsi="Times New Roman" w:cs="Times New Roman"/>
                <w:bCs/>
                <w:color w:val="auto"/>
                <w:sz w:val="24"/>
                <w:lang w:eastAsia="zh-CN"/>
              </w:rPr>
              <w:t>做好</w:t>
            </w:r>
            <w:r>
              <w:rPr>
                <w:rFonts w:hint="default" w:ascii="Times New Roman" w:hAnsi="Times New Roman" w:cs="Times New Roman"/>
                <w:bCs/>
                <w:color w:val="auto"/>
                <w:sz w:val="24"/>
              </w:rPr>
              <w:t>压井准备。</w:t>
            </w:r>
          </w:p>
          <w:p>
            <w:pPr>
              <w:keepNext w:val="0"/>
              <w:keepLines w:val="0"/>
              <w:suppressLineNumbers w:val="0"/>
              <w:spacing w:before="0" w:beforeAutospacing="0" w:after="0" w:afterAutospacing="0" w:line="360" w:lineRule="auto"/>
              <w:ind w:left="0" w:right="0"/>
              <w:rPr>
                <w:rFonts w:hint="default" w:ascii="Times New Roman" w:hAnsi="Times New Roman" w:cs="Times New Roman"/>
                <w:bCs/>
                <w:color w:val="auto"/>
                <w:sz w:val="24"/>
              </w:rPr>
            </w:pPr>
            <w:r>
              <w:rPr>
                <w:rFonts w:hint="default" w:ascii="Times New Roman" w:hAnsi="Times New Roman" w:cs="Times New Roman"/>
                <w:b/>
                <w:bCs/>
                <w:color w:val="auto"/>
                <w:sz w:val="24"/>
              </w:rPr>
              <w:t>5.5.2防柴油、油类外溢措施</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（1）加强柴油罐、废油桶收集罐的维护保养，避免柴油、油类泄漏事件的发生。</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（2）加强柴油、油类运输车辆的维护，确保车辆和连接管道处于良好状态。</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（3）加强员工风险防范意识教育，严格</w:t>
            </w:r>
            <w:r>
              <w:rPr>
                <w:rFonts w:hint="eastAsia" w:cs="Times New Roman"/>
                <w:bCs/>
                <w:color w:val="auto"/>
                <w:sz w:val="24"/>
                <w:lang w:eastAsia="zh-CN"/>
              </w:rPr>
              <w:t>按照</w:t>
            </w:r>
            <w:r>
              <w:rPr>
                <w:rFonts w:hint="default" w:ascii="Times New Roman" w:hAnsi="Times New Roman" w:cs="Times New Roman"/>
                <w:bCs/>
                <w:color w:val="auto"/>
                <w:sz w:val="24"/>
              </w:rPr>
              <w:t>操作规程操作。在柴油、油类转运时，应对油罐及连接管道等进行严格检查，确保在不存在隐患的情况下进行转运。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（4）在油罐周围设0.3m高围堰（容积为20m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），正常情况下应保证围堰内有足够的容积，确保事故时能将泄漏的柴油导流并收集。</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（5）在泥浆储备罐区域周围设置围堰，围堰高0.3m（容积为10m</w:t>
            </w:r>
            <w:r>
              <w:rPr>
                <w:rFonts w:hint="default" w:ascii="Times New Roman" w:hAnsi="Times New Roman" w:cs="Times New Roman"/>
                <w:bCs/>
                <w:color w:val="auto"/>
                <w:sz w:val="24"/>
                <w:vertAlign w:val="superscript"/>
              </w:rPr>
              <w:t>3</w:t>
            </w:r>
            <w:r>
              <w:rPr>
                <w:rFonts w:hint="default" w:ascii="Times New Roman" w:hAnsi="Times New Roman" w:cs="Times New Roman"/>
                <w:bCs/>
                <w:color w:val="auto"/>
                <w:sz w:val="24"/>
              </w:rPr>
              <w:t>）。</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（6）柴油罐区围堰内地坪、泥浆储备罐区地盘采用混凝土地坪，并进行防渗漏处理</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5.5.3井漏防范措施</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在钻井过程中对井漏应坚持预防为主的原则，主要包括避开复杂地质环境、选用和维持较低的井筒内钻井介质压力、提高地层承压能力等防范措施：</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（1）降低井下环空压耗</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在保证钻井介质（钻井泥浆）能携带钻屑的前提下，尽可能降低钻井介质黏度，提高泥饼质量，防止因井壁泥饼较厚起环空间隙较小，导致环空压耗增大。</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（2）提高地层承压能力地层的漏失主要取决于地层的特性，通过人为的方法提高地层的承压能力，封堵漏失孔道，从而达到防漏的目的。</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项目建设存在一定环境风险，主要为废水泄漏外溢和井喷，但事故发生概率低。在严格按照各类作业操作规程进行施工作业，严格执行报告提出的风险防范措施并制定环境风险应急预案后，项目环境风险处于可接受水平。</w:t>
            </w:r>
          </w:p>
          <w:p>
            <w:pPr>
              <w:keepNext w:val="0"/>
              <w:keepLines w:val="0"/>
              <w:suppressLineNumbers w:val="0"/>
              <w:spacing w:before="0" w:beforeAutospacing="0" w:after="0" w:afterAutospacing="0" w:line="360" w:lineRule="auto"/>
              <w:ind w:left="0" w:right="0"/>
              <w:rPr>
                <w:rFonts w:hint="default" w:ascii="Times New Roman" w:hAnsi="Times New Roman" w:cs="Times New Roman"/>
                <w:b/>
                <w:color w:val="auto"/>
                <w:sz w:val="24"/>
              </w:rPr>
            </w:pPr>
            <w:r>
              <w:rPr>
                <w:rFonts w:hint="default" w:ascii="Times New Roman" w:hAnsi="Times New Roman" w:cs="Times New Roman"/>
                <w:b/>
                <w:color w:val="auto"/>
                <w:sz w:val="24"/>
              </w:rPr>
              <w:t>5.5.4废水收集与泄漏防范措施</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（1）废水泄漏防范措施</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①各罐体应合理选址，废水收集罐所在平台选址应避开不良地质或岩土松散的地段等地质结构不稳定的地方并做好地面防渗工作。</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②按相关要求规定对排水沟进行防渗处理，及时清理池内及排污沟内废水，确保排污沟留有足够空余容积。</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③加强员工操作规范管理，尽量避免废水装车失误。装车过程若遇到废水泄漏，立即停止装车作业，减少废水泄漏量，并利用井场内的污水沟将泄漏废水收集至相关罐体内，不外流。</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④在暴雨季节，对罐区采取加盖防雨篷布，加强巡查，降低废水泄漏的环境风险。</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⑤加强油罐、油桶的管理及安全检查。</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（2）废水外溢防范措施</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①对井场临时储存的废水进行及时转运，减少废水储存周期，降低废水外溢风险，特别在汛期来临之前要尽量腾空废水收集罐。</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②为避免突降大雨引起雨水进入废水收集罐，从而引发废水外溢，应及时转运废水罐中的废水。</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③井场采用清污分流系统，并定期进行维护，从而有效控制因暴雨而导致废水外溢。</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④为了防止废水渗漏或外溢污染地表水及浅层地下水，要求建设方对废水及时清运，并保持废水收集罐留有一定的富余容量，以容纳暴雨增加的水量，防止外溢；在暴雨季节，加强巡查，降低废水外溢的环境风险。</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⑤在本井场罐体满负荷前调配区域内其他井场闲置、质量完好的罐体于本井场内作为备用罐暂存压裂返排废水，保证压裂返排废水运至其他井场配制压裂液前不出现溢流、外排等可能造成环境污染的现象。</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⑥建立事故应急预案和联动机制，明确钻井过程中一旦出现环境风险事故的应急处置方式，以及钻井施工单位、地方政府及其他相关部门的联系人及联系方式。</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⑦设置地表水三级防控机制。</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一级防控体系：废水、废油罐区设置围堰、罐区防火堤，防止污染雨水和轻微事故泄漏造成的环境污染；</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二级防控体系：建设污水截流沟及环境监测池，防止污水进入雨水系统、事故泄漏物料外泄污染地表水环境；</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三级防控体系：发生事故时将事故废水收集至废水罐，然后通过密闭罐车定期拉运至</w:t>
            </w:r>
            <w:r>
              <w:rPr>
                <w:rFonts w:hint="eastAsia" w:cs="Times New Roman"/>
                <w:bCs/>
                <w:color w:val="auto"/>
                <w:sz w:val="24"/>
                <w:lang w:eastAsia="zh-CN"/>
              </w:rPr>
              <w:t>赵家坝污水处理站</w:t>
            </w:r>
            <w:r>
              <w:rPr>
                <w:rFonts w:hint="default" w:ascii="Times New Roman" w:hAnsi="Times New Roman" w:cs="Times New Roman"/>
                <w:bCs/>
                <w:color w:val="auto"/>
                <w:sz w:val="24"/>
              </w:rPr>
              <w:t>处理达标后</w:t>
            </w:r>
            <w:r>
              <w:rPr>
                <w:rFonts w:hint="eastAsia" w:cs="Times New Roman"/>
                <w:bCs/>
                <w:color w:val="auto"/>
                <w:sz w:val="24"/>
                <w:lang w:eastAsia="zh-CN"/>
              </w:rPr>
              <w:t>由罐车拉运至普光3井等</w:t>
            </w:r>
            <w:r>
              <w:rPr>
                <w:rFonts w:hint="default" w:ascii="Times New Roman" w:hAnsi="Times New Roman" w:cs="Times New Roman"/>
                <w:bCs/>
                <w:color w:val="auto"/>
                <w:sz w:val="24"/>
              </w:rPr>
              <w:t>回注站回注，防止外泄污染环境。</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项目采取以上防控措施并加强施工管理、并建立事故应急预案和联动机制，预防项目实施对周边流域的影响，杜绝污废水以任何形式进入周边地表沟渠，造成水质污染。</w:t>
            </w:r>
          </w:p>
          <w:p>
            <w:pPr>
              <w:keepNext w:val="0"/>
              <w:keepLines w:val="0"/>
              <w:suppressLineNumbers w:val="0"/>
              <w:spacing w:before="0" w:beforeAutospacing="0" w:after="0" w:afterAutospacing="0" w:line="360" w:lineRule="auto"/>
              <w:ind w:left="0" w:right="0"/>
              <w:rPr>
                <w:rFonts w:hint="default" w:ascii="Times New Roman" w:hAnsi="Times New Roman" w:cs="Times New Roman"/>
                <w:color w:val="auto"/>
                <w:sz w:val="24"/>
              </w:rPr>
            </w:pPr>
            <w:r>
              <w:rPr>
                <w:rFonts w:hint="default" w:ascii="Times New Roman" w:hAnsi="Times New Roman" w:cs="Times New Roman"/>
                <w:b/>
                <w:bCs/>
                <w:color w:val="auto"/>
                <w:sz w:val="24"/>
              </w:rPr>
              <w:t>5.6土壤环境影响保护</w:t>
            </w:r>
            <w:r>
              <w:rPr>
                <w:rFonts w:hint="default" w:ascii="Times New Roman" w:hAnsi="Times New Roman" w:cs="Times New Roman"/>
                <w:b/>
                <w:color w:val="auto"/>
                <w:sz w:val="24"/>
              </w:rPr>
              <w:t>措施可行性分析</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针对可能对土壤造成的影响，本项目拟采取以下措施：</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（1）本项目采用“泥浆不落地工艺”，钻井期间产生的岩屑通过岩屑罐收集后及时外运资源化利用，油类通过废油桶收集后回收利用；而项目产生的洗井废水、场地雨水优先用于配置压裂液</w:t>
            </w:r>
            <w:r>
              <w:rPr>
                <w:rFonts w:hint="default" w:ascii="Times New Roman" w:hAnsi="Times New Roman" w:cs="Times New Roman"/>
                <w:color w:val="auto"/>
                <w:sz w:val="24"/>
                <w:lang w:eastAsia="zh-CN"/>
              </w:rPr>
              <w:t>，</w:t>
            </w:r>
            <w:r>
              <w:rPr>
                <w:rFonts w:hint="default" w:ascii="Times New Roman" w:hAnsi="Times New Roman" w:cs="Times New Roman"/>
                <w:color w:val="auto"/>
                <w:sz w:val="24"/>
                <w:lang w:val="en-US" w:eastAsia="zh-CN"/>
              </w:rPr>
              <w:t>不能回用时用密闭罐车定期拉运至</w:t>
            </w:r>
            <w:r>
              <w:rPr>
                <w:rFonts w:hint="eastAsia" w:cs="Times New Roman"/>
                <w:color w:val="auto"/>
                <w:sz w:val="24"/>
                <w:lang w:val="en-US" w:eastAsia="zh-CN"/>
              </w:rPr>
              <w:t>赵家坝污水处理站</w:t>
            </w:r>
            <w:r>
              <w:rPr>
                <w:rFonts w:hint="default" w:ascii="Times New Roman" w:hAnsi="Times New Roman" w:cs="Times New Roman"/>
                <w:color w:val="auto"/>
                <w:sz w:val="24"/>
                <w:lang w:val="en-US" w:eastAsia="zh-CN"/>
              </w:rPr>
              <w:t>处理达标后</w:t>
            </w:r>
            <w:r>
              <w:rPr>
                <w:rFonts w:hint="eastAsia" w:cs="Times New Roman"/>
                <w:color w:val="auto"/>
                <w:sz w:val="24"/>
                <w:lang w:val="en-US" w:eastAsia="zh-CN"/>
              </w:rPr>
              <w:t>由罐车拉运至普光3井等</w:t>
            </w:r>
            <w:r>
              <w:rPr>
                <w:rFonts w:hint="default" w:ascii="Times New Roman" w:hAnsi="Times New Roman" w:cs="Times New Roman"/>
                <w:color w:val="auto"/>
                <w:sz w:val="24"/>
                <w:lang w:val="en-US" w:eastAsia="zh-CN"/>
              </w:rPr>
              <w:t>回注站回注</w:t>
            </w:r>
            <w:r>
              <w:rPr>
                <w:rFonts w:hint="default" w:ascii="Times New Roman" w:hAnsi="Times New Roman" w:cs="Times New Roman"/>
                <w:color w:val="auto"/>
                <w:sz w:val="24"/>
              </w:rPr>
              <w:t>，不能回用时通过罐车密闭罐车定期拉运至</w:t>
            </w:r>
            <w:r>
              <w:rPr>
                <w:rFonts w:hint="eastAsia" w:cs="Times New Roman"/>
                <w:color w:val="auto"/>
                <w:sz w:val="24"/>
                <w:lang w:eastAsia="zh-CN"/>
              </w:rPr>
              <w:t>赵家坝污水处理站</w:t>
            </w:r>
            <w:r>
              <w:rPr>
                <w:rFonts w:hint="default" w:ascii="Times New Roman" w:hAnsi="Times New Roman" w:cs="Times New Roman"/>
                <w:color w:val="auto"/>
                <w:sz w:val="24"/>
              </w:rPr>
              <w:t>处理达标后</w:t>
            </w:r>
            <w:r>
              <w:rPr>
                <w:rFonts w:hint="eastAsia" w:cs="Times New Roman"/>
                <w:color w:val="auto"/>
                <w:sz w:val="24"/>
                <w:lang w:eastAsia="zh-CN"/>
              </w:rPr>
              <w:t>由罐车拉运至普光3井等</w:t>
            </w:r>
            <w:r>
              <w:rPr>
                <w:rFonts w:hint="default" w:ascii="Times New Roman" w:hAnsi="Times New Roman" w:cs="Times New Roman"/>
                <w:color w:val="auto"/>
                <w:sz w:val="24"/>
              </w:rPr>
              <w:t>回注站回注。因此项目产生的各类污染物均能得到有效处置，从根本上消除了对周边土壤环境的污染隐患。</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（2）本项目针对各产污单元采取了分区防渗措施，可有效防止污染物渗入地下，并及时地将泄漏、渗漏的污染物收集并进行集中处理。</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（3）本项目井场采用清污分流、雨污分流制，井场内设置有污水截流沟，井场散落的污水汇入截流沟，最终可集中收集至污水罐内。</w:t>
            </w:r>
          </w:p>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综上所述，项目在采取以上防控措施后，可满足相关标准要求，项目建设对土壤环境影响处于可接受水平。</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5.7生态保护与恢复</w:t>
            </w:r>
            <w:r>
              <w:rPr>
                <w:rFonts w:hint="default" w:ascii="Times New Roman" w:hAnsi="Times New Roman" w:cs="Times New Roman"/>
                <w:b/>
                <w:color w:val="auto"/>
                <w:sz w:val="24"/>
              </w:rPr>
              <w:t>措施可行性分析</w:t>
            </w:r>
          </w:p>
          <w:p>
            <w:pPr>
              <w:pStyle w:val="206"/>
              <w:keepNext w:val="0"/>
              <w:keepLines w:val="0"/>
              <w:suppressLineNumbers w:val="0"/>
              <w:spacing w:before="0" w:beforeAutospacing="0" w:after="0" w:afterAutospacing="0" w:line="360" w:lineRule="auto"/>
              <w:ind w:left="0" w:right="0" w:firstLine="0" w:firstLineChars="0"/>
              <w:rPr>
                <w:rFonts w:hint="default" w:ascii="Times New Roman" w:hAnsi="Times New Roman" w:cs="Times New Roman"/>
                <w:b/>
                <w:color w:val="auto"/>
                <w:kern w:val="2"/>
                <w:szCs w:val="24"/>
              </w:rPr>
            </w:pPr>
            <w:r>
              <w:rPr>
                <w:rFonts w:hint="default" w:ascii="Times New Roman" w:hAnsi="Times New Roman" w:cs="Times New Roman"/>
                <w:b/>
                <w:color w:val="auto"/>
                <w:kern w:val="2"/>
                <w:szCs w:val="24"/>
              </w:rPr>
              <w:t>5.7.1生态防治措施</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1）严格落实清洁化生产工艺，及时收集处理钻井过程中的污染物，做到污染物不排放；保持周围道路路面的平整和整洁，保证过往车辆和行人出行的安全和通畅；严格控制和管理运输车辆及重型机械施工作业范围，尽可能减少对土壤和农作物的破坏以及由此引发的水土流失，尽量减轻对周边生态环境的影响。</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（2）根据施工阶段的不同，对不再使用的临时占地及时采取生态恢复措施，减少临时占地面积、缩短临时占地周期。</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3）施工过程中，合理安排施工进度，施工要避开雨季和大风天。分段施工，做到挖填平衡，尽量不留疏松地面，减少风蚀导致的水土流失；做到文明施工，有序作业，减少临时占地面积；尽量缩短施工期，使土壤暴露时间缩短，并快速回填；施工结束后，立即采取植被恢复措施，如人工绿化、植物护坡等；表土临时堆放场应选择较平整的场地，应使用篷布覆盖，并设置围挡，避免雨水冲后造成水土流失，且场地使用后尽快恢复植被。</w:t>
            </w:r>
          </w:p>
          <w:p>
            <w:pPr>
              <w:pStyle w:val="206"/>
              <w:keepNext w:val="0"/>
              <w:keepLines w:val="0"/>
              <w:suppressLineNumbers w:val="0"/>
              <w:spacing w:before="0" w:beforeAutospacing="0" w:after="0" w:afterAutospacing="0" w:line="360" w:lineRule="auto"/>
              <w:ind w:left="0" w:right="0" w:firstLine="0" w:firstLineChars="0"/>
              <w:rPr>
                <w:rFonts w:hint="default" w:ascii="Times New Roman" w:hAnsi="Times New Roman" w:cs="Times New Roman"/>
                <w:b/>
                <w:color w:val="auto"/>
                <w:kern w:val="2"/>
                <w:szCs w:val="24"/>
              </w:rPr>
            </w:pPr>
            <w:r>
              <w:rPr>
                <w:rFonts w:hint="default" w:ascii="Times New Roman" w:hAnsi="Times New Roman" w:cs="Times New Roman"/>
                <w:b/>
                <w:color w:val="auto"/>
                <w:kern w:val="2"/>
                <w:szCs w:val="24"/>
              </w:rPr>
              <w:t>5.7.2施工结束后环境保护措施</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工程结束后，由建设单位决定是否进行下一步施工计划，若无开采价值，则由建设单位决定井场设备全部搬迁。设备搬迁完成后即对场地内设施进行拆除，如清除场地碎石、拆除硬化地面及设备基础、拆除生态一体化厕所等。由此将产生场地碎石、硬化地面及防渗、生态一体化厕所等设施拆除废物，作为建筑废渣处理。</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（1）临时用地先清除地表的建筑，再用井场建设时的表层土作为种植土，进行植被恢复。恢复流程为：钻井完成→拆除建（构）筑物→清理场地→人工松土→将土覆盖→整理摊铺耕植土方→交付农民复耕。</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（2）油气测试完毕后，拆除放喷池周围的砖墙，并进行回收。采用井场建设时的表层土进行覆盖，然后进行植被的恢复。根据现场调查情况看，放喷池占地为水田，工程完工后可进行土地功能的恢复。</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（3）人工拆除临时占地基础。将井场建设保留的耕植土直接摊铺覆盖于场面上，然后进行植被的恢复，可进行农业生产，也可种植经济林木等。</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4）为尽快恢复土地功能，可增施肥料，加强灌溉，以改良土壤结构及其理化性质，提高土壤的保肥保水能力，恢复土壤生产能力。井场涉及用地类型主要为耕地，复垦确保与周边现状一致。建设初期采用表土分层剥离、存放，分层回填，预防措施得当，复垦后，对土壤进行翻耕、平整及培肥改良。</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5）清除钻井过程留下的污迹，然后进行迹地恢复、土地复垦。在完井后，将剥离的表土用于复垦工程，确保复垦后土壤肥力充足，生产性能良好；除井口和道路外其余地方均需进行复垦；硬化物拆除后，平整场地，对压实的土地进行翻松，松土厚度为30cm，土方松动后将剥离的表土铺覆于复垦区，覆土厚度一般为50-60cm。对放喷池等池类表面覆土回填，种植普通杂草绿化恢复生态，并设置标志，禁止用于种植深根系农作物。</w:t>
            </w:r>
          </w:p>
          <w:p>
            <w:pPr>
              <w:pStyle w:val="206"/>
              <w:keepNext w:val="0"/>
              <w:keepLines w:val="0"/>
              <w:suppressLineNumbers w:val="0"/>
              <w:spacing w:before="0" w:beforeAutospacing="0" w:after="0" w:afterAutospacing="0" w:line="360" w:lineRule="auto"/>
              <w:ind w:left="0" w:right="0" w:firstLine="0" w:firstLineChars="0"/>
              <w:rPr>
                <w:rFonts w:hint="default" w:ascii="Times New Roman" w:hAnsi="Times New Roman" w:cs="Times New Roman"/>
                <w:b/>
                <w:color w:val="auto"/>
                <w:kern w:val="2"/>
                <w:szCs w:val="24"/>
              </w:rPr>
            </w:pPr>
            <w:r>
              <w:rPr>
                <w:rFonts w:hint="default" w:ascii="Times New Roman" w:hAnsi="Times New Roman" w:cs="Times New Roman"/>
                <w:b/>
                <w:color w:val="auto"/>
                <w:kern w:val="2"/>
                <w:szCs w:val="24"/>
              </w:rPr>
              <w:t>5.7.3生态恢复方案</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根据《中华人民共和国土地管理法》规定和相关地方规定，对工程临时征地进行补偿；严禁砍伐野外植被；严格规定施工作业范围，严格限制施工活动范围；鼓励居民进行植被恢复，临时活动房搬迁后，搬迁基础，进行植被恢复。若完井测试结果表明该井不产油气或无工业开采价值，则将井口用水泥封固并进行完井后的完井设备搬迁工作，拆除井口装置、泥浆储备罐、放喷池、发电房等地面设施，做到工完、料净、场地清，再表层覆盖耕作土层，将废弃的井场恢复原状。</w:t>
            </w:r>
          </w:p>
          <w:p>
            <w:pPr>
              <w:pStyle w:val="206"/>
              <w:keepNext w:val="0"/>
              <w:keepLines w:val="0"/>
              <w:suppressLineNumbers w:val="0"/>
              <w:spacing w:before="0" w:beforeAutospacing="0" w:after="0" w:afterAutospacing="0" w:line="360" w:lineRule="auto"/>
              <w:ind w:left="0" w:right="0" w:firstLine="0" w:firstLineChars="0"/>
              <w:rPr>
                <w:rFonts w:hint="default" w:ascii="Times New Roman" w:hAnsi="Times New Roman" w:cs="Times New Roman"/>
                <w:b/>
                <w:color w:val="auto"/>
                <w:kern w:val="2"/>
                <w:szCs w:val="24"/>
              </w:rPr>
            </w:pPr>
            <w:r>
              <w:rPr>
                <w:rFonts w:hint="default" w:ascii="Times New Roman" w:hAnsi="Times New Roman" w:cs="Times New Roman"/>
                <w:b/>
                <w:color w:val="auto"/>
                <w:kern w:val="2"/>
                <w:szCs w:val="24"/>
              </w:rPr>
              <w:t>5.7.4土地复垦</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（1）复垦方向：总体全面复垦为旱地、水田，对边坡等局部复垦耕地条件的种植草本植物恢复生态。</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（2）复垦率及工期、植被恢复期。复垦率100%，钻井完工后进行复垦，施工期3个月。复垦种植恢复期2年。</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（3）复垦土壤：主要采用临时表土堆场耕植土以及其他临时占地原有耕植土。</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4）复垦范围：若无开采价值，井场除保留井口封井装置区外全部拆除，平整、翻耕、培肥改良复垦。若后续具有开发价值，根据后续地面集输工程征用占地，对占地墙外的区域全部拆除，平整、翻耕、培肥改良复垦。包括井场的油水罐区、泥浆罐区、生活区、放喷池、耕植土堆放区、泥浆不落地平台、岩屑堆放区以及边坡等。</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（5）复垦要求：对土壤进行翻耕、平整及培肥改良。满足《土地复垦质量控制标准》（TD/T1036-2013）中规定的要求。</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（6）临时用地先清除地表的建筑，再用井场建设时的表层土作为种植土，进行植被恢复。恢复流程为：钻井完成→拆除建（构）筑物→清理场地→人工松土→将土覆盖→整理摊铺耕植土方→交付农民复耕。</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color w:val="auto"/>
                <w:szCs w:val="24"/>
              </w:rPr>
            </w:pPr>
            <w:r>
              <w:rPr>
                <w:rFonts w:hint="default" w:ascii="Times New Roman" w:hAnsi="Times New Roman" w:cs="Times New Roman"/>
                <w:color w:val="auto"/>
                <w:szCs w:val="24"/>
              </w:rPr>
              <w:t>（7）完钻后及时对临时设施（生活区）进行生态恢复，可恢复为旱地。</w:t>
            </w:r>
          </w:p>
          <w:p>
            <w:pPr>
              <w:pStyle w:val="206"/>
              <w:keepNext w:val="0"/>
              <w:keepLines w:val="0"/>
              <w:suppressLineNumbers w:val="0"/>
              <w:spacing w:before="0" w:beforeAutospacing="0" w:after="0" w:afterAutospacing="0" w:line="360" w:lineRule="auto"/>
              <w:ind w:left="0" w:right="0" w:firstLine="480"/>
              <w:rPr>
                <w:rFonts w:hint="default" w:ascii="Times New Roman" w:hAnsi="Times New Roman" w:cs="Times New Roman"/>
                <w:b/>
                <w:color w:val="auto"/>
                <w:szCs w:val="24"/>
              </w:rPr>
            </w:pPr>
            <w:r>
              <w:rPr>
                <w:rFonts w:hint="default" w:ascii="Times New Roman" w:hAnsi="Times New Roman" w:cs="Times New Roman"/>
                <w:color w:val="auto"/>
                <w:szCs w:val="24"/>
              </w:rPr>
              <w:t>施工结束后，生态环境能够得到恢复，对生态环境的影响可接受，且拟采取措施较为成熟，简单可行</w:t>
            </w:r>
            <w:r>
              <w:rPr>
                <w:rFonts w:hint="default" w:ascii="Times New Roman" w:hAnsi="Times New Roman" w:cs="Times New Roman"/>
                <w:b/>
                <w:color w:val="auto"/>
                <w:szCs w:val="24"/>
              </w:rPr>
              <w:t>。</w:t>
            </w:r>
          </w:p>
          <w:p>
            <w:pPr>
              <w:keepNext w:val="0"/>
              <w:keepLines w:val="0"/>
              <w:suppressLineNumbers w:val="0"/>
              <w:spacing w:before="0" w:beforeAutospacing="0" w:after="0" w:afterAutospacing="0" w:line="360" w:lineRule="auto"/>
              <w:ind w:left="0" w:right="0"/>
              <w:rPr>
                <w:rFonts w:hint="default" w:ascii="Times New Roman" w:hAnsi="Times New Roman" w:cs="Times New Roman"/>
                <w:b/>
                <w:bCs/>
                <w:color w:val="auto"/>
                <w:sz w:val="24"/>
              </w:rPr>
            </w:pPr>
            <w:r>
              <w:rPr>
                <w:rFonts w:hint="default" w:ascii="Times New Roman" w:hAnsi="Times New Roman" w:cs="Times New Roman"/>
                <w:b/>
                <w:bCs/>
                <w:color w:val="auto"/>
                <w:sz w:val="24"/>
              </w:rPr>
              <w:t>5.8环境管理与监测计划</w:t>
            </w:r>
          </w:p>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color w:val="auto"/>
                <w:spacing w:val="10"/>
                <w:sz w:val="24"/>
              </w:rPr>
            </w:pPr>
            <w:r>
              <w:rPr>
                <w:rFonts w:hint="default" w:ascii="Times New Roman" w:hAnsi="Times New Roman" w:cs="Times New Roman"/>
                <w:bCs/>
                <w:color w:val="auto"/>
                <w:spacing w:val="10"/>
                <w:sz w:val="24"/>
              </w:rPr>
              <w:t>根据《排污单位自行监测技术指南 总则》（HJ819-2017）、参照《排污单位自行监测技术指南 陆上石油天然气开采工业》(HJ1248-2022</w:t>
            </w:r>
            <w:r>
              <w:rPr>
                <w:rFonts w:hint="eastAsia" w:cs="Times New Roman"/>
                <w:bCs/>
                <w:color w:val="auto"/>
                <w:spacing w:val="10"/>
                <w:sz w:val="24"/>
                <w:lang w:eastAsia="zh-CN"/>
              </w:rPr>
              <w:t>）</w:t>
            </w:r>
            <w:r>
              <w:rPr>
                <w:rFonts w:hint="default" w:ascii="Times New Roman" w:hAnsi="Times New Roman" w:cs="Times New Roman"/>
                <w:bCs/>
                <w:color w:val="auto"/>
                <w:spacing w:val="10"/>
                <w:sz w:val="24"/>
              </w:rPr>
              <w:t>要求和相关地下水、土壤导则要求，结合环评预计的环境影响情况，制定监测计划如下。</w:t>
            </w:r>
          </w:p>
          <w:p>
            <w:pPr>
              <w:pStyle w:val="215"/>
              <w:keepNext w:val="0"/>
              <w:keepLines w:val="0"/>
              <w:suppressLineNumbers w:val="0"/>
              <w:spacing w:before="0" w:beforeAutospacing="0" w:after="0" w:afterAutospacing="0"/>
              <w:ind w:left="0" w:right="0" w:firstLine="0" w:firstLineChars="0"/>
              <w:jc w:val="center"/>
              <w:rPr>
                <w:rFonts w:hint="default" w:ascii="Times New Roman" w:hAnsi="Times New Roman" w:cs="Times New Roman"/>
                <w:b/>
                <w:color w:val="auto"/>
                <w:szCs w:val="24"/>
              </w:rPr>
            </w:pPr>
            <w:r>
              <w:rPr>
                <w:rFonts w:hint="default" w:ascii="Times New Roman" w:hAnsi="Times New Roman" w:cs="Times New Roman"/>
                <w:b/>
                <w:color w:val="auto"/>
                <w:szCs w:val="24"/>
              </w:rPr>
              <w:t>表5-3  环境监测计划一览表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89"/>
              <w:gridCol w:w="498"/>
              <w:gridCol w:w="1079"/>
              <w:gridCol w:w="1762"/>
              <w:gridCol w:w="2695"/>
              <w:gridCol w:w="178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540" w:type="pct"/>
                  <w:gridSpan w:val="2"/>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类别</w:t>
                  </w:r>
                </w:p>
              </w:tc>
              <w:tc>
                <w:tcPr>
                  <w:tcW w:w="657" w:type="pc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监测点位</w:t>
                  </w:r>
                </w:p>
              </w:tc>
              <w:tc>
                <w:tcPr>
                  <w:tcW w:w="1072" w:type="pc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监测位置</w:t>
                  </w:r>
                </w:p>
              </w:tc>
              <w:tc>
                <w:tcPr>
                  <w:tcW w:w="1641" w:type="pc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监测项目</w:t>
                  </w:r>
                </w:p>
              </w:tc>
              <w:tc>
                <w:tcPr>
                  <w:tcW w:w="1088" w:type="pc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b/>
                      <w:color w:val="auto"/>
                      <w:szCs w:val="21"/>
                    </w:rPr>
                  </w:pPr>
                  <w:r>
                    <w:rPr>
                      <w:rFonts w:hint="default" w:ascii="Times New Roman" w:hAnsi="Times New Roman" w:cs="Times New Roman"/>
                      <w:b/>
                      <w:color w:val="auto"/>
                      <w:szCs w:val="21"/>
                    </w:rPr>
                    <w:t>监测频率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36" w:type="pct"/>
                  <w:vMerge w:val="restar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地下水</w:t>
                  </w:r>
                </w:p>
              </w:tc>
              <w:tc>
                <w:tcPr>
                  <w:tcW w:w="303" w:type="pct"/>
                  <w:vMerge w:val="restar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水井</w:t>
                  </w:r>
                </w:p>
              </w:tc>
              <w:tc>
                <w:tcPr>
                  <w:tcW w:w="657" w:type="pct"/>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1#监测点</w:t>
                  </w:r>
                </w:p>
              </w:tc>
              <w:tc>
                <w:tcPr>
                  <w:tcW w:w="1072"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lang w:val="en-US" w:eastAsia="zh-CN"/>
                    </w:rPr>
                  </w:pPr>
                  <w:r>
                    <w:rPr>
                      <w:rFonts w:hint="eastAsia" w:cs="Times New Roman"/>
                      <w:bCs/>
                      <w:color w:val="auto"/>
                      <w:sz w:val="21"/>
                      <w:szCs w:val="21"/>
                      <w:lang w:val="en-US" w:eastAsia="zh-CN"/>
                    </w:rPr>
                    <w:t>*</w:t>
                  </w:r>
                </w:p>
              </w:tc>
              <w:tc>
                <w:tcPr>
                  <w:tcW w:w="1641" w:type="pct"/>
                  <w:vMerge w:val="restar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pH、石油类、石油烃（C</w:t>
                  </w:r>
                  <w:r>
                    <w:rPr>
                      <w:rFonts w:hint="default" w:ascii="Times New Roman" w:hAnsi="Times New Roman" w:cs="Times New Roman"/>
                      <w:color w:val="auto"/>
                      <w:szCs w:val="21"/>
                      <w:vertAlign w:val="subscript"/>
                    </w:rPr>
                    <w:t>6</w:t>
                  </w:r>
                  <w:r>
                    <w:rPr>
                      <w:rFonts w:hint="default" w:ascii="Times New Roman" w:hAnsi="Times New Roman" w:cs="Times New Roman"/>
                      <w:color w:val="auto"/>
                      <w:szCs w:val="21"/>
                    </w:rPr>
                    <w:t>~C</w:t>
                  </w:r>
                  <w:r>
                    <w:rPr>
                      <w:rFonts w:hint="default" w:ascii="Times New Roman" w:hAnsi="Times New Roman" w:cs="Times New Roman"/>
                      <w:color w:val="auto"/>
                      <w:szCs w:val="21"/>
                      <w:vertAlign w:val="subscript"/>
                    </w:rPr>
                    <w:t>9</w:t>
                  </w:r>
                  <w:r>
                    <w:rPr>
                      <w:rFonts w:hint="default" w:ascii="Times New Roman" w:hAnsi="Times New Roman" w:cs="Times New Roman"/>
                      <w:color w:val="auto"/>
                      <w:szCs w:val="21"/>
                    </w:rPr>
                    <w:t>）、石油烃（C</w:t>
                  </w:r>
                  <w:r>
                    <w:rPr>
                      <w:rFonts w:hint="default" w:ascii="Times New Roman" w:hAnsi="Times New Roman" w:cs="Times New Roman"/>
                      <w:color w:val="auto"/>
                      <w:szCs w:val="21"/>
                      <w:vertAlign w:val="subscript"/>
                    </w:rPr>
                    <w:t>10</w:t>
                  </w:r>
                  <w:r>
                    <w:rPr>
                      <w:rFonts w:hint="default" w:ascii="Times New Roman" w:hAnsi="Times New Roman" w:cs="Times New Roman"/>
                      <w:color w:val="auto"/>
                      <w:szCs w:val="21"/>
                    </w:rPr>
                    <w:t>~C</w:t>
                  </w:r>
                  <w:r>
                    <w:rPr>
                      <w:rFonts w:hint="default" w:ascii="Times New Roman" w:hAnsi="Times New Roman" w:cs="Times New Roman"/>
                      <w:color w:val="auto"/>
                      <w:szCs w:val="21"/>
                      <w:vertAlign w:val="subscript"/>
                    </w:rPr>
                    <w:t>40</w:t>
                  </w:r>
                  <w:r>
                    <w:rPr>
                      <w:rFonts w:hint="default" w:ascii="Times New Roman" w:hAnsi="Times New Roman" w:cs="Times New Roman"/>
                      <w:color w:val="auto"/>
                      <w:szCs w:val="21"/>
                    </w:rPr>
                    <w:t>）、钡、汞、砷、六价铬</w:t>
                  </w:r>
                </w:p>
              </w:tc>
              <w:tc>
                <w:tcPr>
                  <w:tcW w:w="1088" w:type="pct"/>
                  <w:vMerge w:val="restar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完工后验收监测1次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236" w:type="pct"/>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303" w:type="pct"/>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657" w:type="pct"/>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2#监测点</w:t>
                  </w:r>
                </w:p>
              </w:tc>
              <w:tc>
                <w:tcPr>
                  <w:tcW w:w="1072" w:type="pct"/>
                  <w:tcBorders>
                    <w:tl2br w:val="nil"/>
                    <w:tr2bl w:val="nil"/>
                  </w:tcBorders>
                  <w:vAlign w:val="center"/>
                </w:tcPr>
                <w:p>
                  <w:pPr>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lang w:val="en-US" w:eastAsia="zh-CN"/>
                    </w:rPr>
                  </w:pPr>
                  <w:r>
                    <w:rPr>
                      <w:rFonts w:hint="eastAsia" w:cs="Times New Roman"/>
                      <w:bCs/>
                      <w:color w:val="auto"/>
                      <w:sz w:val="21"/>
                      <w:szCs w:val="21"/>
                      <w:lang w:val="en-US" w:eastAsia="zh-CN"/>
                    </w:rPr>
                    <w:t>*</w:t>
                  </w:r>
                </w:p>
              </w:tc>
              <w:tc>
                <w:tcPr>
                  <w:tcW w:w="1641" w:type="pct"/>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088" w:type="pct"/>
                  <w:vMerge w:val="continue"/>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540" w:type="pct"/>
                  <w:gridSpan w:val="2"/>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土壤</w:t>
                  </w:r>
                </w:p>
              </w:tc>
              <w:tc>
                <w:tcPr>
                  <w:tcW w:w="657" w:type="pct"/>
                  <w:tcBorders>
                    <w:tl2br w:val="nil"/>
                    <w:tr2bl w:val="nil"/>
                  </w:tcBorders>
                  <w:vAlign w:val="center"/>
                </w:tcPr>
                <w:p>
                  <w:pPr>
                    <w:keepNext w:val="0"/>
                    <w:keepLines w:val="0"/>
                    <w:widowControl/>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1个土壤监测点</w:t>
                  </w:r>
                </w:p>
              </w:tc>
              <w:tc>
                <w:tcPr>
                  <w:tcW w:w="1072" w:type="pc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泥浆不落地平台旁</w:t>
                  </w:r>
                </w:p>
              </w:tc>
              <w:tc>
                <w:tcPr>
                  <w:tcW w:w="1641" w:type="pc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pH、石油类、石油烃（C</w:t>
                  </w:r>
                  <w:r>
                    <w:rPr>
                      <w:rFonts w:hint="default" w:ascii="Times New Roman" w:hAnsi="Times New Roman" w:cs="Times New Roman"/>
                      <w:color w:val="auto"/>
                      <w:szCs w:val="21"/>
                      <w:vertAlign w:val="subscript"/>
                    </w:rPr>
                    <w:t>6</w:t>
                  </w:r>
                  <w:r>
                    <w:rPr>
                      <w:rFonts w:hint="default" w:ascii="Times New Roman" w:hAnsi="Times New Roman" w:cs="Times New Roman"/>
                      <w:color w:val="auto"/>
                      <w:szCs w:val="21"/>
                    </w:rPr>
                    <w:t>~C</w:t>
                  </w:r>
                  <w:r>
                    <w:rPr>
                      <w:rFonts w:hint="default" w:ascii="Times New Roman" w:hAnsi="Times New Roman" w:cs="Times New Roman"/>
                      <w:color w:val="auto"/>
                      <w:szCs w:val="21"/>
                      <w:vertAlign w:val="subscript"/>
                    </w:rPr>
                    <w:t>9</w:t>
                  </w:r>
                  <w:r>
                    <w:rPr>
                      <w:rFonts w:hint="default" w:ascii="Times New Roman" w:hAnsi="Times New Roman" w:cs="Times New Roman"/>
                      <w:color w:val="auto"/>
                      <w:szCs w:val="21"/>
                    </w:rPr>
                    <w:t>）、石油烃（C</w:t>
                  </w:r>
                  <w:r>
                    <w:rPr>
                      <w:rFonts w:hint="default" w:ascii="Times New Roman" w:hAnsi="Times New Roman" w:cs="Times New Roman"/>
                      <w:color w:val="auto"/>
                      <w:szCs w:val="21"/>
                      <w:vertAlign w:val="subscript"/>
                    </w:rPr>
                    <w:t>10</w:t>
                  </w:r>
                  <w:r>
                    <w:rPr>
                      <w:rFonts w:hint="default" w:ascii="Times New Roman" w:hAnsi="Times New Roman" w:cs="Times New Roman"/>
                      <w:color w:val="auto"/>
                      <w:szCs w:val="21"/>
                    </w:rPr>
                    <w:t>~C</w:t>
                  </w:r>
                  <w:r>
                    <w:rPr>
                      <w:rFonts w:hint="default" w:ascii="Times New Roman" w:hAnsi="Times New Roman" w:cs="Times New Roman"/>
                      <w:color w:val="auto"/>
                      <w:szCs w:val="21"/>
                      <w:vertAlign w:val="subscript"/>
                    </w:rPr>
                    <w:t>40</w:t>
                  </w:r>
                  <w:r>
                    <w:rPr>
                      <w:rFonts w:hint="default" w:ascii="Times New Roman" w:hAnsi="Times New Roman" w:cs="Times New Roman"/>
                      <w:color w:val="auto"/>
                      <w:szCs w:val="21"/>
                    </w:rPr>
                    <w:t>）、汞、砷、六价铬</w:t>
                  </w:r>
                </w:p>
              </w:tc>
              <w:tc>
                <w:tcPr>
                  <w:tcW w:w="1088" w:type="pct"/>
                  <w:tcBorders>
                    <w:tl2br w:val="nil"/>
                    <w:tr2bl w:val="nil"/>
                  </w:tcBorders>
                  <w:vAlign w:val="center"/>
                </w:tcPr>
                <w:p>
                  <w:pPr>
                    <w:keepNext w:val="0"/>
                    <w:keepLines w:val="0"/>
                    <w:suppressLineNumbers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完工后验收监测1次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gridSpan w:val="6"/>
                  <w:tcBorders>
                    <w:tl2br w:val="nil"/>
                    <w:tr2bl w:val="nil"/>
                  </w:tcBorders>
                  <w:vAlign w:val="center"/>
                </w:tcPr>
                <w:p>
                  <w:pPr>
                    <w:keepNext w:val="0"/>
                    <w:keepLines w:val="0"/>
                    <w:suppressLineNumbers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废水、固废：记录废水及各类固废产生量、处置量、储存量、危险废物详细记录具体去向</w:t>
                  </w:r>
                </w:p>
              </w:tc>
            </w:tr>
          </w:tbl>
          <w:p>
            <w:pPr>
              <w:keepNext w:val="0"/>
              <w:keepLines w:val="0"/>
              <w:suppressLineNumbers w:val="0"/>
              <w:spacing w:before="0" w:beforeAutospacing="0" w:after="0" w:afterAutospacing="0" w:line="360" w:lineRule="auto"/>
              <w:ind w:left="0" w:right="0" w:firstLine="460" w:firstLineChars="200"/>
              <w:rPr>
                <w:rFonts w:hint="default" w:ascii="Times New Roman" w:hAnsi="Times New Roman" w:cs="Times New Roman"/>
                <w:bCs/>
                <w:color w:val="auto"/>
                <w:spacing w:val="1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701" w:hRule="atLeast"/>
          <w:jc w:val="center"/>
        </w:trPr>
        <w:tc>
          <w:tcPr>
            <w:tcW w:w="753" w:type="dxa"/>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color w:val="auto"/>
                <w:spacing w:val="10"/>
                <w:szCs w:val="21"/>
              </w:rPr>
            </w:pPr>
            <w:r>
              <w:rPr>
                <w:rFonts w:hint="default" w:ascii="Times New Roman" w:hAnsi="Times New Roman" w:cs="Times New Roman"/>
                <w:bCs/>
                <w:color w:val="auto"/>
                <w:spacing w:val="10"/>
                <w:szCs w:val="21"/>
              </w:rPr>
              <w:t>运营期生态环境保护措施</w:t>
            </w:r>
          </w:p>
        </w:tc>
        <w:tc>
          <w:tcPr>
            <w:tcW w:w="8457"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color w:val="auto"/>
                <w:spacing w:val="10"/>
                <w:szCs w:val="21"/>
              </w:rPr>
            </w:pPr>
            <w:r>
              <w:rPr>
                <w:rFonts w:hint="default" w:ascii="Times New Roman" w:hAnsi="Times New Roman" w:cs="Times New Roman"/>
                <w:bCs/>
                <w:color w:val="auto"/>
                <w:spacing w:val="10"/>
                <w:szCs w:val="21"/>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753"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color w:val="auto"/>
                <w:spacing w:val="10"/>
                <w:szCs w:val="21"/>
              </w:rPr>
            </w:pPr>
            <w:r>
              <w:rPr>
                <w:rFonts w:hint="default" w:ascii="Times New Roman" w:hAnsi="Times New Roman" w:cs="Times New Roman"/>
                <w:bCs/>
                <w:color w:val="auto"/>
                <w:szCs w:val="21"/>
              </w:rPr>
              <w:t>其他</w:t>
            </w:r>
          </w:p>
        </w:tc>
        <w:tc>
          <w:tcPr>
            <w:tcW w:w="8457"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color w:val="auto"/>
                <w:spacing w:val="10"/>
                <w:szCs w:val="21"/>
              </w:rPr>
            </w:pPr>
            <w:r>
              <w:rPr>
                <w:rFonts w:hint="default" w:ascii="Times New Roman" w:hAnsi="Times New Roman" w:cs="Times New Roman"/>
                <w:bCs/>
                <w:color w:val="auto"/>
                <w:spacing w:val="10"/>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151" w:hRule="atLeast"/>
          <w:jc w:val="center"/>
        </w:trPr>
        <w:tc>
          <w:tcPr>
            <w:tcW w:w="753"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bCs/>
                <w:color w:val="auto"/>
                <w:spacing w:val="10"/>
                <w:szCs w:val="21"/>
              </w:rPr>
            </w:pPr>
            <w:r>
              <w:rPr>
                <w:rFonts w:hint="default" w:ascii="Times New Roman" w:hAnsi="Times New Roman" w:cs="Times New Roman"/>
                <w:bCs/>
                <w:color w:val="auto"/>
                <w:szCs w:val="21"/>
              </w:rPr>
              <w:t>环保投资</w:t>
            </w:r>
          </w:p>
        </w:tc>
        <w:tc>
          <w:tcPr>
            <w:tcW w:w="8457" w:type="dxa"/>
          </w:tcPr>
          <w:p>
            <w:pPr>
              <w:keepNext w:val="0"/>
              <w:keepLines w:val="0"/>
              <w:suppressLineNumbers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本次钻井项目总投资</w:t>
            </w:r>
            <w:r>
              <w:rPr>
                <w:rFonts w:hint="eastAsia" w:cs="Times New Roman"/>
                <w:color w:val="auto"/>
                <w:sz w:val="24"/>
                <w:lang w:eastAsia="zh-CN"/>
              </w:rPr>
              <w:t>7193</w:t>
            </w:r>
            <w:r>
              <w:rPr>
                <w:rFonts w:hint="default" w:ascii="Times New Roman" w:hAnsi="Times New Roman" w:cs="Times New Roman"/>
                <w:color w:val="auto"/>
                <w:sz w:val="24"/>
              </w:rPr>
              <w:t>万元，环保投资</w:t>
            </w:r>
            <w:r>
              <w:rPr>
                <w:rFonts w:hint="eastAsia" w:cs="Times New Roman"/>
                <w:color w:val="auto"/>
                <w:sz w:val="24"/>
                <w:lang w:val="en-US" w:eastAsia="zh-CN"/>
              </w:rPr>
              <w:t>577</w:t>
            </w:r>
            <w:r>
              <w:rPr>
                <w:rFonts w:hint="default" w:ascii="Times New Roman" w:hAnsi="Times New Roman" w:cs="Times New Roman"/>
                <w:color w:val="auto"/>
                <w:sz w:val="24"/>
              </w:rPr>
              <w:t>万元，占总投资的</w:t>
            </w:r>
            <w:r>
              <w:rPr>
                <w:rFonts w:hint="eastAsia" w:cs="Times New Roman"/>
                <w:color w:val="auto"/>
                <w:sz w:val="24"/>
                <w:lang w:val="en-US" w:eastAsia="zh-CN"/>
              </w:rPr>
              <w:t>8</w:t>
            </w:r>
            <w:r>
              <w:rPr>
                <w:rFonts w:hint="default" w:ascii="Times New Roman" w:hAnsi="Times New Roman" w:cs="Times New Roman"/>
                <w:color w:val="auto"/>
                <w:sz w:val="24"/>
              </w:rPr>
              <w:t>%。环保投资主要用于废水治理、固体废物处理、噪声污染防治，以及施工迹地生态恢复等，符合该项目的实际特点。环保投资一览表见下表。</w:t>
            </w:r>
          </w:p>
          <w:p>
            <w:pPr>
              <w:pStyle w:val="215"/>
              <w:keepNext w:val="0"/>
              <w:keepLines w:val="0"/>
              <w:suppressLineNumbers w:val="0"/>
              <w:spacing w:before="0" w:beforeAutospacing="0" w:after="0" w:afterAutospacing="0"/>
              <w:ind w:left="0" w:right="0" w:firstLine="0" w:firstLineChars="0"/>
              <w:jc w:val="center"/>
              <w:rPr>
                <w:rFonts w:hint="default" w:ascii="Times New Roman" w:hAnsi="Times New Roman" w:cs="Times New Roman"/>
                <w:b/>
                <w:color w:val="auto"/>
                <w:szCs w:val="24"/>
              </w:rPr>
            </w:pPr>
            <w:r>
              <w:rPr>
                <w:rFonts w:hint="default" w:ascii="Times New Roman" w:hAnsi="Times New Roman" w:cs="Times New Roman"/>
                <w:b/>
                <w:color w:val="auto"/>
                <w:szCs w:val="24"/>
              </w:rPr>
              <w:t>表5-4  项目环境保护措施与投资一览表</w:t>
            </w:r>
          </w:p>
          <w:tbl>
            <w:tblPr>
              <w:tblStyle w:val="4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18"/>
              <w:gridCol w:w="1104"/>
              <w:gridCol w:w="2108"/>
              <w:gridCol w:w="985"/>
              <w:gridCol w:w="349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69" w:hRule="atLeast"/>
                <w:tblHeader/>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序号</w:t>
                  </w:r>
                </w:p>
              </w:tc>
              <w:tc>
                <w:tcPr>
                  <w:tcW w:w="1237"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类别</w:t>
                  </w: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内容</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投资（万元）</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备注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w:t>
                  </w:r>
                </w:p>
              </w:tc>
              <w:tc>
                <w:tcPr>
                  <w:tcW w:w="1237"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废气治理</w:t>
                  </w: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洒水降尘、遮盖措施</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3</w:t>
                  </w:r>
                </w:p>
              </w:tc>
              <w:tc>
                <w:tcPr>
                  <w:tcW w:w="1237" w:type="dxa"/>
                  <w:vMerge w:val="restart"/>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废水治理</w:t>
                  </w: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钻前施工废水</w:t>
                  </w:r>
                </w:p>
              </w:tc>
              <w:tc>
                <w:tcPr>
                  <w:tcW w:w="1099" w:type="dxa"/>
                  <w:vMerge w:val="restart"/>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210</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经沉淀处理后循环使用，不外排</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4</w:t>
                  </w:r>
                </w:p>
              </w:tc>
              <w:tc>
                <w:tcPr>
                  <w:tcW w:w="1237" w:type="dxa"/>
                  <w:vMerge w:val="continue"/>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钻井废水等处理</w:t>
                  </w:r>
                </w:p>
              </w:tc>
              <w:tc>
                <w:tcPr>
                  <w:tcW w:w="1099" w:type="dxa"/>
                  <w:vMerge w:val="continue"/>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在污水池中暂存后罐车拉至</w:t>
                  </w:r>
                  <w:r>
                    <w:rPr>
                      <w:rFonts w:hint="eastAsia" w:ascii="Times New Roman" w:hAnsi="Times New Roman" w:eastAsia="宋体" w:cs="Times New Roman"/>
                      <w:color w:val="auto"/>
                      <w:sz w:val="21"/>
                      <w:szCs w:val="21"/>
                      <w:lang w:eastAsia="zh-CN"/>
                    </w:rPr>
                    <w:t>普光3井等</w:t>
                  </w:r>
                  <w:r>
                    <w:rPr>
                      <w:rFonts w:hint="default" w:ascii="Times New Roman" w:hAnsi="Times New Roman" w:eastAsia="宋体" w:cs="Times New Roman"/>
                      <w:color w:val="auto"/>
                      <w:sz w:val="21"/>
                      <w:szCs w:val="21"/>
                    </w:rPr>
                    <w:t>回注站回注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5</w:t>
                  </w:r>
                </w:p>
              </w:tc>
              <w:tc>
                <w:tcPr>
                  <w:tcW w:w="1237" w:type="dxa"/>
                  <w:vMerge w:val="continue"/>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试气工程废水处理</w:t>
                  </w:r>
                </w:p>
              </w:tc>
              <w:tc>
                <w:tcPr>
                  <w:tcW w:w="1099" w:type="dxa"/>
                  <w:vMerge w:val="continue"/>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罐车拉运至</w:t>
                  </w:r>
                  <w:r>
                    <w:rPr>
                      <w:rFonts w:hint="eastAsia" w:ascii="Times New Roman" w:hAnsi="Times New Roman" w:eastAsia="宋体" w:cs="Times New Roman"/>
                      <w:color w:val="auto"/>
                      <w:sz w:val="21"/>
                      <w:szCs w:val="21"/>
                      <w:lang w:eastAsia="zh-CN"/>
                    </w:rPr>
                    <w:t>赵家坝污水处理站</w:t>
                  </w:r>
                  <w:r>
                    <w:rPr>
                      <w:rFonts w:hint="default" w:ascii="Times New Roman" w:hAnsi="Times New Roman" w:eastAsia="宋体" w:cs="Times New Roman"/>
                      <w:color w:val="auto"/>
                      <w:sz w:val="21"/>
                      <w:szCs w:val="21"/>
                    </w:rPr>
                    <w:t>处理后经</w:t>
                  </w:r>
                  <w:r>
                    <w:rPr>
                      <w:rFonts w:hint="eastAsia" w:ascii="Times New Roman" w:hAnsi="Times New Roman" w:eastAsia="宋体" w:cs="Times New Roman"/>
                      <w:color w:val="auto"/>
                      <w:sz w:val="21"/>
                      <w:szCs w:val="21"/>
                      <w:lang w:eastAsia="zh-CN"/>
                    </w:rPr>
                    <w:t>普光3井等</w:t>
                  </w:r>
                  <w:r>
                    <w:rPr>
                      <w:rFonts w:hint="default" w:ascii="Times New Roman" w:hAnsi="Times New Roman" w:eastAsia="宋体" w:cs="Times New Roman"/>
                      <w:color w:val="auto"/>
                      <w:sz w:val="21"/>
                      <w:szCs w:val="21"/>
                    </w:rPr>
                    <w:t>回注站回注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6</w:t>
                  </w:r>
                </w:p>
              </w:tc>
              <w:tc>
                <w:tcPr>
                  <w:tcW w:w="1237" w:type="dxa"/>
                  <w:vMerge w:val="continue"/>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雨污分流水沟</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10</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在井场四周设排水边沟，井场雨水随四周排水边沟经监控池外排；场内井架基础、设备基础、循环罐基础周边设环状排污沟，污水可经排污沟排至排污池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7</w:t>
                  </w:r>
                </w:p>
              </w:tc>
              <w:tc>
                <w:tcPr>
                  <w:tcW w:w="1237" w:type="dxa"/>
                  <w:vMerge w:val="continue"/>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生活污水</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20</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新建生态环保厕所，经生态环保厕所收集处理拉运至</w:t>
                  </w:r>
                  <w:r>
                    <w:rPr>
                      <w:rFonts w:hint="eastAsia" w:ascii="Times New Roman" w:hAnsi="Times New Roman" w:eastAsia="宋体" w:cs="Times New Roman"/>
                      <w:color w:val="auto"/>
                      <w:sz w:val="21"/>
                      <w:szCs w:val="21"/>
                      <w:lang w:eastAsia="zh-CN"/>
                    </w:rPr>
                    <w:t>普光镇</w:t>
                  </w:r>
                  <w:r>
                    <w:rPr>
                      <w:rFonts w:hint="default" w:ascii="Times New Roman" w:hAnsi="Times New Roman" w:eastAsia="宋体" w:cs="Times New Roman"/>
                      <w:color w:val="auto"/>
                      <w:sz w:val="21"/>
                      <w:szCs w:val="21"/>
                    </w:rPr>
                    <w:t>污水处理厂处理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8</w:t>
                  </w:r>
                </w:p>
              </w:tc>
              <w:tc>
                <w:tcPr>
                  <w:tcW w:w="1237"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噪声治理</w:t>
                  </w: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网电、减振</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15</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选用低噪声的施工机械和工艺，加强各类施工设备的维护和保养；对振动较大的固定机械设备加装基座减振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9</w:t>
                  </w:r>
                </w:p>
              </w:tc>
              <w:tc>
                <w:tcPr>
                  <w:tcW w:w="1237" w:type="dxa"/>
                  <w:vMerge w:val="restart"/>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固废处理</w:t>
                  </w: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泥浆、岩屑处理费</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235</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本项目产生的废水基泥浆采取经泥浆不落地平台收集，按照《达州市生态环境局办公室关于进一步加强固体废物污染防治工作的通知》（达市环办发〔2021〕24号）要求，就近交给依法取得生态环境部门关于利用和处置相关工业固体废物项目环评批复、具有处理处置相应固体废物能力并配套建设有废气、废水、固废等污染物治理设施的单位进行资源化利用。危险废物定期交由有资质单位进行处理。</w:t>
                  </w:r>
                  <w:r>
                    <w:rPr>
                      <w:rFonts w:hint="eastAsia" w:ascii="Times New Roman" w:hAnsi="Times New Roman" w:eastAsia="宋体" w:cs="Times New Roman"/>
                      <w:color w:val="auto"/>
                      <w:sz w:val="21"/>
                      <w:szCs w:val="21"/>
                      <w:lang w:val="en-US" w:eastAsia="zh-CN"/>
                    </w:rPr>
                    <w:t>若三开阶段</w:t>
                  </w:r>
                  <w:r>
                    <w:rPr>
                      <w:rFonts w:hint="default" w:ascii="Times New Roman" w:hAnsi="Times New Roman" w:eastAsia="宋体" w:cs="Times New Roman"/>
                      <w:color w:val="auto"/>
                      <w:sz w:val="21"/>
                      <w:szCs w:val="21"/>
                    </w:rPr>
                    <w:t>采用油基钻井液，则废油基泥浆暂存于泥浆储备罐定期委托有资质单位进行处理；油基岩屑暂存于</w:t>
                  </w:r>
                  <w:r>
                    <w:rPr>
                      <w:rFonts w:hint="default" w:ascii="Times New Roman" w:hAnsi="Times New Roman" w:eastAsia="宋体" w:cs="Times New Roman"/>
                      <w:color w:val="auto"/>
                      <w:sz w:val="21"/>
                      <w:szCs w:val="21"/>
                      <w:lang w:val="en-US" w:eastAsia="zh-CN"/>
                    </w:rPr>
                    <w:t>钢罐</w:t>
                  </w:r>
                  <w:r>
                    <w:rPr>
                      <w:rFonts w:hint="default" w:ascii="Times New Roman" w:hAnsi="Times New Roman" w:eastAsia="宋体" w:cs="Times New Roman"/>
                      <w:color w:val="auto"/>
                      <w:sz w:val="21"/>
                      <w:szCs w:val="21"/>
                    </w:rPr>
                    <w:t>定期</w:t>
                  </w:r>
                  <w:r>
                    <w:rPr>
                      <w:rFonts w:hint="default" w:ascii="Times New Roman" w:hAnsi="Times New Roman" w:eastAsia="宋体" w:cs="Times New Roman"/>
                      <w:color w:val="auto"/>
                      <w:sz w:val="21"/>
                      <w:szCs w:val="21"/>
                      <w:lang w:val="en-US" w:eastAsia="zh-CN"/>
                    </w:rPr>
                    <w:t>交由</w:t>
                  </w:r>
                  <w:r>
                    <w:rPr>
                      <w:rFonts w:hint="default" w:ascii="Times New Roman" w:hAnsi="Times New Roman" w:eastAsia="宋体" w:cs="Times New Roman"/>
                      <w:color w:val="auto"/>
                      <w:sz w:val="21"/>
                      <w:szCs w:val="21"/>
                    </w:rPr>
                    <w:t>有资质单位进行处理。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10</w:t>
                  </w:r>
                </w:p>
              </w:tc>
              <w:tc>
                <w:tcPr>
                  <w:tcW w:w="1237" w:type="dxa"/>
                  <w:vMerge w:val="continue"/>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废油储存、转运、处理费</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eastAsia" w:ascii="Times New Roman" w:hAnsi="Times New Roman" w:eastAsia="宋体" w:cs="Times New Roman"/>
                      <w:color w:val="auto"/>
                      <w:sz w:val="21"/>
                      <w:szCs w:val="21"/>
                      <w:lang w:eastAsia="zh-CN"/>
                    </w:rPr>
                  </w:pPr>
                  <w:r>
                    <w:rPr>
                      <w:rFonts w:hint="eastAsia" w:ascii="Times New Roman" w:hAnsi="Times New Roman" w:eastAsia="宋体" w:cs="Times New Roman"/>
                      <w:color w:val="auto"/>
                      <w:sz w:val="21"/>
                      <w:szCs w:val="21"/>
                      <w:lang w:val="en-US" w:eastAsia="zh-CN"/>
                    </w:rPr>
                    <w:t>5</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委托有资质单位处理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11</w:t>
                  </w:r>
                </w:p>
              </w:tc>
              <w:tc>
                <w:tcPr>
                  <w:tcW w:w="1237" w:type="dxa"/>
                  <w:vMerge w:val="continue"/>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生活垃圾、建筑垃圾等</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10</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拉运至环卫部门指定地点，由环卫部门统一处理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12</w:t>
                  </w:r>
                </w:p>
              </w:tc>
              <w:tc>
                <w:tcPr>
                  <w:tcW w:w="1237" w:type="dxa"/>
                  <w:vMerge w:val="restart"/>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环境风险措施</w:t>
                  </w: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安装防井喷装置等，严格执行井控技术标准和规范，编制应急预案</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计入工程投资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13</w:t>
                  </w:r>
                </w:p>
              </w:tc>
              <w:tc>
                <w:tcPr>
                  <w:tcW w:w="1237" w:type="dxa"/>
                  <w:vMerge w:val="continue"/>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配备泥浆监控系统及堵漏应急物资</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计入工程投资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14</w:t>
                  </w:r>
                </w:p>
              </w:tc>
              <w:tc>
                <w:tcPr>
                  <w:tcW w:w="1237" w:type="dxa"/>
                  <w:vMerge w:val="continue"/>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对泥浆池池底和池壁进行防渗处理和承压强度设计；制定废水泄漏应急预案</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计入工程投资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15</w:t>
                  </w:r>
                </w:p>
              </w:tc>
              <w:tc>
                <w:tcPr>
                  <w:tcW w:w="1237" w:type="dxa"/>
                  <w:vMerge w:val="continue"/>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加强污染物储运过程管理，落实废物转移联单制度，制定废物转运泄漏事故应急预案等</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20</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16</w:t>
                  </w:r>
                </w:p>
              </w:tc>
              <w:tc>
                <w:tcPr>
                  <w:tcW w:w="1237"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环境管理及监测</w:t>
                  </w: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编制应急预案及培训、演练、环境监测等</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10</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lang w:val="en-US" w:eastAsia="zh-CN"/>
                    </w:rPr>
                    <w:t>项目开工前完成本平台突发环境事件应急预案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61"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17</w:t>
                  </w:r>
                </w:p>
              </w:tc>
              <w:tc>
                <w:tcPr>
                  <w:tcW w:w="1237"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生态恢复</w:t>
                  </w:r>
                </w:p>
              </w:tc>
              <w:tc>
                <w:tcPr>
                  <w:tcW w:w="2394"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生态恢复</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40</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总体复垦为耕地，种植草本植物恢复生态，满足《土地复垦质量控制标准》（TD/T1036-2013）中规定的要求。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192" w:type="dxa"/>
                  <w:gridSpan w:val="3"/>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合计</w:t>
                  </w:r>
                </w:p>
              </w:tc>
              <w:tc>
                <w:tcPr>
                  <w:tcW w:w="1099"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577</w:t>
                  </w:r>
                </w:p>
              </w:tc>
              <w:tc>
                <w:tcPr>
                  <w:tcW w:w="3995" w:type="dxa"/>
                  <w:tcBorders>
                    <w:tl2br w:val="nil"/>
                    <w:tr2bl w:val="nil"/>
                  </w:tcBorders>
                  <w:vAlign w:val="center"/>
                </w:tcPr>
                <w:p>
                  <w:pPr>
                    <w:pStyle w:val="55"/>
                    <w:keepNext w:val="0"/>
                    <w:keepLines w:val="0"/>
                    <w:suppressLineNumbers w:val="0"/>
                    <w:spacing w:before="0" w:beforeAutospacing="0" w:after="0" w:afterAutospacing="0"/>
                    <w:ind w:left="0" w:right="0"/>
                    <w:jc w:val="center"/>
                    <w:rPr>
                      <w:rFonts w:hint="default" w:ascii="Times New Roman" w:hAnsi="Times New Roman" w:eastAsia="宋体" w:cs="Times New Roman"/>
                      <w:color w:val="auto"/>
                      <w:sz w:val="21"/>
                      <w:szCs w:val="21"/>
                    </w:rPr>
                  </w:pPr>
                </w:p>
              </w:tc>
            </w:tr>
          </w:tbl>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bCs/>
                <w:color w:val="auto"/>
                <w:spacing w:val="10"/>
                <w:szCs w:val="21"/>
              </w:rPr>
            </w:pPr>
          </w:p>
        </w:tc>
      </w:tr>
    </w:tbl>
    <w:p>
      <w:pPr>
        <w:rPr>
          <w:rFonts w:hint="default" w:ascii="Times New Roman" w:hAnsi="Times New Roman" w:cs="Times New Roman"/>
          <w:color w:val="auto"/>
          <w:szCs w:val="21"/>
        </w:rPr>
        <w:sectPr>
          <w:pgSz w:w="11906" w:h="16838"/>
          <w:pgMar w:top="1417" w:right="1417" w:bottom="1417" w:left="1701" w:header="851" w:footer="1077" w:gutter="0"/>
          <w:pgBorders>
            <w:top w:val="none" w:sz="0" w:space="0"/>
            <w:left w:val="none" w:sz="0" w:space="0"/>
            <w:bottom w:val="none" w:sz="0" w:space="0"/>
            <w:right w:val="none" w:sz="0" w:space="0"/>
          </w:pgBorders>
          <w:cols w:space="720" w:num="1"/>
          <w:docGrid w:linePitch="312" w:charSpace="0"/>
        </w:sectPr>
      </w:pPr>
    </w:p>
    <w:p>
      <w:pPr>
        <w:pStyle w:val="38"/>
        <w:jc w:val="center"/>
        <w:outlineLvl w:val="0"/>
        <w:rPr>
          <w:rFonts w:hint="default" w:ascii="Times New Roman" w:hAnsi="Times New Roman" w:eastAsia="黑体" w:cs="Times New Roman"/>
          <w:snapToGrid w:val="0"/>
          <w:color w:val="auto"/>
          <w:sz w:val="28"/>
          <w:szCs w:val="28"/>
        </w:rPr>
      </w:pPr>
      <w:r>
        <w:rPr>
          <w:rFonts w:hint="default" w:ascii="Times New Roman" w:hAnsi="Times New Roman" w:eastAsia="黑体" w:cs="Times New Roman"/>
          <w:snapToGrid w:val="0"/>
          <w:color w:val="auto"/>
          <w:sz w:val="28"/>
          <w:szCs w:val="28"/>
        </w:rPr>
        <w:t>六、生态环境保护措施监督检查清单</w:t>
      </w:r>
    </w:p>
    <w:tbl>
      <w:tblPr>
        <w:tblStyle w:val="44"/>
        <w:tblW w:w="14174"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365"/>
        <w:gridCol w:w="735"/>
        <w:gridCol w:w="1339"/>
        <w:gridCol w:w="1286"/>
        <w:gridCol w:w="3750"/>
        <w:gridCol w:w="3375"/>
        <w:gridCol w:w="1158"/>
        <w:gridCol w:w="116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restart"/>
            <w:tcBorders>
              <w:tl2br w:val="single" w:color="auto" w:sz="4" w:space="0"/>
            </w:tcBorders>
          </w:tcPr>
          <w:p>
            <w:pPr>
              <w:pStyle w:val="38"/>
              <w:keepNext w:val="0"/>
              <w:keepLines w:val="0"/>
              <w:suppressLineNumbers w:val="0"/>
              <w:adjustRightInd w:val="0"/>
              <w:snapToGrid w:val="0"/>
              <w:spacing w:before="0" w:beforeAutospacing="0" w:after="0" w:afterAutospacing="0"/>
              <w:ind w:left="0" w:right="0"/>
              <w:jc w:val="right"/>
              <w:rPr>
                <w:rFonts w:hint="default" w:ascii="Times New Roman" w:hAnsi="Times New Roman" w:eastAsia="黑体" w:cs="Times New Roman"/>
                <w:color w:val="auto"/>
                <w:kern w:val="2"/>
                <w:sz w:val="21"/>
                <w:szCs w:val="21"/>
              </w:rPr>
            </w:pPr>
            <w:bookmarkStart w:id="36" w:name="_Hlk105444047"/>
            <w:r>
              <w:rPr>
                <w:rFonts w:hint="default" w:ascii="Times New Roman" w:hAnsi="Times New Roman" w:eastAsia="黑体" w:cs="Times New Roman"/>
                <w:color w:val="auto"/>
                <w:kern w:val="2"/>
                <w:sz w:val="21"/>
                <w:szCs w:val="21"/>
              </w:rPr>
              <w:t>内容</w:t>
            </w:r>
          </w:p>
          <w:p>
            <w:pPr>
              <w:pStyle w:val="38"/>
              <w:keepNext w:val="0"/>
              <w:keepLines w:val="0"/>
              <w:suppressLineNumbers w:val="0"/>
              <w:adjustRightInd w:val="0"/>
              <w:snapToGrid w:val="0"/>
              <w:spacing w:before="0" w:beforeAutospacing="0" w:after="0" w:afterAutospacing="0"/>
              <w:ind w:left="0" w:right="0"/>
              <w:rPr>
                <w:rFonts w:hint="default" w:ascii="Times New Roman" w:hAnsi="Times New Roman" w:eastAsia="黑体" w:cs="Times New Roman"/>
                <w:color w:val="auto"/>
                <w:kern w:val="2"/>
                <w:sz w:val="21"/>
                <w:szCs w:val="21"/>
              </w:rPr>
            </w:pPr>
            <w:r>
              <w:rPr>
                <w:rFonts w:hint="default" w:ascii="Times New Roman" w:hAnsi="Times New Roman" w:eastAsia="黑体" w:cs="Times New Roman"/>
                <w:color w:val="auto"/>
                <w:kern w:val="2"/>
                <w:sz w:val="21"/>
                <w:szCs w:val="21"/>
              </w:rPr>
              <w:t>要素</w:t>
            </w:r>
          </w:p>
        </w:tc>
        <w:tc>
          <w:tcPr>
            <w:tcW w:w="10485" w:type="dxa"/>
            <w:gridSpan w:val="5"/>
            <w:vAlign w:val="center"/>
          </w:tcPr>
          <w:p>
            <w:pPr>
              <w:pStyle w:val="38"/>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color w:val="auto"/>
                <w:kern w:val="2"/>
                <w:sz w:val="21"/>
                <w:szCs w:val="21"/>
              </w:rPr>
            </w:pPr>
            <w:r>
              <w:rPr>
                <w:rFonts w:hint="default" w:ascii="Times New Roman" w:hAnsi="Times New Roman" w:eastAsia="黑体" w:cs="Times New Roman"/>
                <w:color w:val="auto"/>
                <w:kern w:val="2"/>
                <w:sz w:val="21"/>
                <w:szCs w:val="21"/>
              </w:rPr>
              <w:t>施工期</w:t>
            </w:r>
          </w:p>
        </w:tc>
        <w:tc>
          <w:tcPr>
            <w:tcW w:w="2324" w:type="dxa"/>
            <w:gridSpan w:val="2"/>
            <w:vAlign w:val="center"/>
          </w:tcPr>
          <w:p>
            <w:pPr>
              <w:pStyle w:val="38"/>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color w:val="auto"/>
                <w:kern w:val="2"/>
                <w:sz w:val="21"/>
                <w:szCs w:val="21"/>
              </w:rPr>
            </w:pPr>
            <w:r>
              <w:rPr>
                <w:rFonts w:hint="default" w:ascii="Times New Roman" w:hAnsi="Times New Roman" w:eastAsia="黑体" w:cs="Times New Roman"/>
                <w:color w:val="auto"/>
                <w:kern w:val="2"/>
                <w:sz w:val="21"/>
                <w:szCs w:val="21"/>
              </w:rPr>
              <w:t>运营期</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tcPr>
          <w:p>
            <w:pPr>
              <w:pStyle w:val="38"/>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color w:val="auto"/>
                <w:kern w:val="2"/>
                <w:sz w:val="21"/>
                <w:szCs w:val="21"/>
              </w:rPr>
            </w:pPr>
          </w:p>
        </w:tc>
        <w:tc>
          <w:tcPr>
            <w:tcW w:w="7110" w:type="dxa"/>
            <w:gridSpan w:val="4"/>
            <w:vAlign w:val="center"/>
          </w:tcPr>
          <w:p>
            <w:pPr>
              <w:pStyle w:val="38"/>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color w:val="auto"/>
                <w:kern w:val="2"/>
                <w:sz w:val="21"/>
                <w:szCs w:val="21"/>
              </w:rPr>
            </w:pPr>
            <w:r>
              <w:rPr>
                <w:rFonts w:hint="default" w:ascii="Times New Roman" w:hAnsi="Times New Roman" w:eastAsia="黑体" w:cs="Times New Roman"/>
                <w:color w:val="auto"/>
                <w:kern w:val="2"/>
                <w:sz w:val="21"/>
                <w:szCs w:val="21"/>
              </w:rPr>
              <w:t>环境保护措施</w:t>
            </w:r>
          </w:p>
        </w:tc>
        <w:tc>
          <w:tcPr>
            <w:tcW w:w="3375" w:type="dxa"/>
            <w:vAlign w:val="center"/>
          </w:tcPr>
          <w:p>
            <w:pPr>
              <w:pStyle w:val="38"/>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color w:val="auto"/>
                <w:kern w:val="2"/>
                <w:sz w:val="21"/>
                <w:szCs w:val="21"/>
              </w:rPr>
            </w:pPr>
            <w:r>
              <w:rPr>
                <w:rFonts w:hint="default" w:ascii="Times New Roman" w:hAnsi="Times New Roman" w:eastAsia="黑体" w:cs="Times New Roman"/>
                <w:color w:val="auto"/>
                <w:kern w:val="2"/>
                <w:sz w:val="21"/>
                <w:szCs w:val="21"/>
              </w:rPr>
              <w:t>验收要求</w:t>
            </w:r>
          </w:p>
        </w:tc>
        <w:tc>
          <w:tcPr>
            <w:tcW w:w="1158" w:type="dxa"/>
            <w:vAlign w:val="center"/>
          </w:tcPr>
          <w:p>
            <w:pPr>
              <w:pStyle w:val="38"/>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color w:val="auto"/>
                <w:kern w:val="2"/>
                <w:sz w:val="21"/>
                <w:szCs w:val="21"/>
              </w:rPr>
            </w:pPr>
            <w:r>
              <w:rPr>
                <w:rFonts w:hint="default" w:ascii="Times New Roman" w:hAnsi="Times New Roman" w:eastAsia="黑体" w:cs="Times New Roman"/>
                <w:color w:val="auto"/>
                <w:kern w:val="2"/>
                <w:sz w:val="21"/>
                <w:szCs w:val="21"/>
              </w:rPr>
              <w:t>环境保护措施</w:t>
            </w:r>
          </w:p>
        </w:tc>
        <w:tc>
          <w:tcPr>
            <w:tcW w:w="1166" w:type="dxa"/>
            <w:vAlign w:val="center"/>
          </w:tcPr>
          <w:p>
            <w:pPr>
              <w:pStyle w:val="38"/>
              <w:keepNext w:val="0"/>
              <w:keepLines w:val="0"/>
              <w:suppressLineNumbers w:val="0"/>
              <w:adjustRightInd w:val="0"/>
              <w:snapToGrid w:val="0"/>
              <w:spacing w:before="0" w:beforeAutospacing="0" w:after="0" w:afterAutospacing="0"/>
              <w:ind w:left="0" w:right="0"/>
              <w:jc w:val="center"/>
              <w:rPr>
                <w:rFonts w:hint="default" w:ascii="Times New Roman" w:hAnsi="Times New Roman" w:eastAsia="黑体" w:cs="Times New Roman"/>
                <w:color w:val="auto"/>
                <w:kern w:val="2"/>
                <w:sz w:val="21"/>
                <w:szCs w:val="21"/>
              </w:rPr>
            </w:pPr>
            <w:r>
              <w:rPr>
                <w:rFonts w:hint="default" w:ascii="Times New Roman" w:hAnsi="Times New Roman" w:eastAsia="黑体" w:cs="Times New Roman"/>
                <w:color w:val="auto"/>
                <w:kern w:val="2"/>
                <w:sz w:val="21"/>
                <w:szCs w:val="21"/>
              </w:rPr>
              <w:t>验收要求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restar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陆生生态</w:t>
            </w:r>
          </w:p>
        </w:tc>
        <w:tc>
          <w:tcPr>
            <w:tcW w:w="2074" w:type="dxa"/>
            <w:gridSpan w:val="2"/>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减少影响范围、生态恢复</w:t>
            </w:r>
          </w:p>
        </w:tc>
        <w:tc>
          <w:tcPr>
            <w:tcW w:w="5036" w:type="dxa"/>
            <w:gridSpan w:val="2"/>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场地减少雨水冲刷；场地周围修临时排水沟。</w:t>
            </w:r>
          </w:p>
        </w:tc>
        <w:tc>
          <w:tcPr>
            <w:tcW w:w="3375"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满足水土保持验收要求</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2074" w:type="dxa"/>
            <w:gridSpan w:val="2"/>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临时占地恢复</w:t>
            </w:r>
          </w:p>
        </w:tc>
        <w:tc>
          <w:tcPr>
            <w:tcW w:w="5036" w:type="dxa"/>
            <w:gridSpan w:val="2"/>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根据《中华人民共和国土地管理法》和相关地方规定对工程永久征地、临时占地进行补偿；施工结束后对放喷池进行拆除，并进行迹地恢复。后期若不再使用，则对场地进行拆除回填覆土及生态恢复。</w:t>
            </w:r>
          </w:p>
        </w:tc>
        <w:tc>
          <w:tcPr>
            <w:tcW w:w="3375"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占地恢复原有土地利用性质</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2074" w:type="dxa"/>
            <w:gridSpan w:val="2"/>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植被恢复</w:t>
            </w:r>
          </w:p>
        </w:tc>
        <w:tc>
          <w:tcPr>
            <w:tcW w:w="5036" w:type="dxa"/>
            <w:gridSpan w:val="2"/>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施工结束后对不再使用的临时占地进行复垦和植被恢复，应满足《土地复垦质量控制标准》（TD/T1036-2013）中规定的要求，满足居民正常耕种要求。</w:t>
            </w:r>
          </w:p>
        </w:tc>
        <w:tc>
          <w:tcPr>
            <w:tcW w:w="3375" w:type="dxa"/>
            <w:vAlign w:val="center"/>
          </w:tcPr>
          <w:p>
            <w:pPr>
              <w:keepNext w:val="0"/>
              <w:keepLines w:val="0"/>
              <w:suppressLineNumbers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土地恢复生产力</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水生生态</w:t>
            </w: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337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restar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地表水环境</w:t>
            </w: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落实清污分流措施；场地雨水集水坑泵入泥浆不落地平台废水罐处理回用。</w:t>
            </w:r>
          </w:p>
        </w:tc>
        <w:tc>
          <w:tcPr>
            <w:tcW w:w="3375" w:type="dxa"/>
            <w:vMerge w:val="restar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污废水全部按要求处理，钻井、洗井、压裂废水建立转运五联单，转运及交接等联单手续齐全，现场无污废水遗留及排放；落实生活污水处理措施</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钻井废水经沉淀预处理后回用于钻井补充泥浆配置，完井阶段井废水暂存于废水罐中，</w:t>
            </w:r>
            <w:r>
              <w:rPr>
                <w:rFonts w:hint="default" w:ascii="Times New Roman" w:hAnsi="Times New Roman" w:cs="Times New Roman"/>
                <w:color w:val="auto"/>
                <w:szCs w:val="21"/>
                <w:lang w:val="en-US" w:eastAsia="zh-CN"/>
              </w:rPr>
              <w:t>由罐车拉运至</w:t>
            </w:r>
            <w:r>
              <w:rPr>
                <w:rFonts w:hint="eastAsia" w:cs="Times New Roman"/>
                <w:color w:val="auto"/>
                <w:szCs w:val="21"/>
                <w:lang w:val="en-US" w:eastAsia="zh-CN"/>
              </w:rPr>
              <w:t>赵家坝污水处理站</w:t>
            </w:r>
            <w:r>
              <w:rPr>
                <w:rFonts w:hint="default" w:ascii="Times New Roman" w:hAnsi="Times New Roman" w:cs="Times New Roman"/>
                <w:color w:val="auto"/>
                <w:szCs w:val="21"/>
                <w:lang w:val="en-US" w:eastAsia="zh-CN"/>
              </w:rPr>
              <w:t>处理达标后运至普光3井等回注站回注</w:t>
            </w:r>
            <w:r>
              <w:rPr>
                <w:rFonts w:hint="default" w:ascii="Times New Roman" w:hAnsi="Times New Roman" w:cs="Times New Roman"/>
                <w:color w:val="auto"/>
                <w:szCs w:val="21"/>
              </w:rPr>
              <w:t>现场无废水外排。</w:t>
            </w:r>
          </w:p>
        </w:tc>
        <w:tc>
          <w:tcPr>
            <w:tcW w:w="3375"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洗井废水临时储存相关罐体中，用于配制压裂液，</w:t>
            </w:r>
            <w:r>
              <w:rPr>
                <w:rFonts w:hint="default" w:ascii="Times New Roman" w:hAnsi="Times New Roman" w:cs="Times New Roman"/>
                <w:color w:val="auto"/>
                <w:szCs w:val="21"/>
                <w:lang w:val="en-US" w:eastAsia="zh-CN"/>
              </w:rPr>
              <w:t>不能回用时用密闭罐车定期拉运至</w:t>
            </w:r>
            <w:r>
              <w:rPr>
                <w:rFonts w:hint="eastAsia" w:cs="Times New Roman"/>
                <w:color w:val="auto"/>
                <w:szCs w:val="21"/>
                <w:lang w:val="en-US" w:eastAsia="zh-CN"/>
              </w:rPr>
              <w:t>赵家坝污水处理站</w:t>
            </w:r>
            <w:r>
              <w:rPr>
                <w:rFonts w:hint="default" w:ascii="Times New Roman" w:hAnsi="Times New Roman" w:cs="Times New Roman"/>
                <w:color w:val="auto"/>
                <w:szCs w:val="21"/>
                <w:lang w:val="en-US" w:eastAsia="zh-CN"/>
              </w:rPr>
              <w:t>处理达标后</w:t>
            </w:r>
            <w:r>
              <w:rPr>
                <w:rFonts w:hint="eastAsia" w:cs="Times New Roman"/>
                <w:color w:val="auto"/>
                <w:szCs w:val="21"/>
                <w:lang w:val="en-US" w:eastAsia="zh-CN"/>
              </w:rPr>
              <w:t>由罐车拉运至普光3井等</w:t>
            </w:r>
            <w:r>
              <w:rPr>
                <w:rFonts w:hint="default" w:ascii="Times New Roman" w:hAnsi="Times New Roman" w:cs="Times New Roman"/>
                <w:color w:val="auto"/>
                <w:szCs w:val="21"/>
                <w:lang w:val="en-US" w:eastAsia="zh-CN"/>
              </w:rPr>
              <w:t>回注站回注，</w:t>
            </w:r>
            <w:r>
              <w:rPr>
                <w:rFonts w:hint="default" w:ascii="Times New Roman" w:hAnsi="Times New Roman" w:cs="Times New Roman"/>
                <w:color w:val="auto"/>
                <w:szCs w:val="21"/>
              </w:rPr>
              <w:t>现场无废水外排。</w:t>
            </w:r>
          </w:p>
        </w:tc>
        <w:tc>
          <w:tcPr>
            <w:tcW w:w="3375"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试气工程废水同压裂返排液暂存于重叠液罐通过罐车拉运至</w:t>
            </w:r>
            <w:r>
              <w:rPr>
                <w:rFonts w:hint="eastAsia" w:cs="Times New Roman"/>
                <w:color w:val="auto"/>
                <w:szCs w:val="21"/>
                <w:lang w:eastAsia="zh-CN"/>
              </w:rPr>
              <w:t>赵家坝污水处理站</w:t>
            </w:r>
            <w:r>
              <w:rPr>
                <w:rFonts w:hint="default" w:ascii="Times New Roman" w:hAnsi="Times New Roman" w:cs="Times New Roman"/>
                <w:color w:val="auto"/>
                <w:szCs w:val="21"/>
              </w:rPr>
              <w:t>处理达标后</w:t>
            </w:r>
            <w:r>
              <w:rPr>
                <w:rFonts w:hint="eastAsia" w:cs="Times New Roman"/>
                <w:color w:val="auto"/>
                <w:szCs w:val="21"/>
                <w:lang w:eastAsia="zh-CN"/>
              </w:rPr>
              <w:t>由罐车拉运至普光3井等</w:t>
            </w:r>
            <w:r>
              <w:rPr>
                <w:rFonts w:hint="default" w:ascii="Times New Roman" w:hAnsi="Times New Roman" w:cs="Times New Roman"/>
                <w:color w:val="auto"/>
                <w:szCs w:val="21"/>
              </w:rPr>
              <w:t>回注站回注，现场无废水外排。</w:t>
            </w:r>
          </w:p>
        </w:tc>
        <w:tc>
          <w:tcPr>
            <w:tcW w:w="3375"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生活污水经生态一体化厕所收集后定期由清粪车拉运至</w:t>
            </w:r>
            <w:r>
              <w:rPr>
                <w:rFonts w:hint="eastAsia" w:cs="Times New Roman"/>
                <w:color w:val="auto"/>
                <w:szCs w:val="21"/>
                <w:lang w:eastAsia="zh-CN"/>
              </w:rPr>
              <w:t>普光镇</w:t>
            </w:r>
            <w:r>
              <w:rPr>
                <w:rFonts w:hint="default" w:ascii="Times New Roman" w:hAnsi="Times New Roman" w:cs="Times New Roman"/>
                <w:color w:val="auto"/>
                <w:szCs w:val="21"/>
              </w:rPr>
              <w:t>污水处理厂处理。</w:t>
            </w:r>
          </w:p>
        </w:tc>
        <w:tc>
          <w:tcPr>
            <w:tcW w:w="3375"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地下水及土壤环境</w:t>
            </w: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落实钻井方案及钻井液方案；落实井场分区防渗情况</w:t>
            </w:r>
          </w:p>
        </w:tc>
        <w:tc>
          <w:tcPr>
            <w:tcW w:w="337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各防渗区等级满足防渗要求，各污染物均按要求收集及处理处置。</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声环境</w:t>
            </w: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选用低噪声设备、合理布置噪声设备，并采取相应减噪措施，作业前先发布公告，并告知高噪声作业时间，加强沟通协调。</w:t>
            </w:r>
          </w:p>
        </w:tc>
        <w:tc>
          <w:tcPr>
            <w:tcW w:w="337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按要求设置相应的噪声控制措施</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振动</w:t>
            </w: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337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大气环境</w:t>
            </w: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使用符合环保要求的柴油机及燃料，试气作业废气满足排放标准。</w:t>
            </w:r>
          </w:p>
        </w:tc>
        <w:tc>
          <w:tcPr>
            <w:tcW w:w="337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按要求实施，区域环境功能不会发生改变</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restar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固体废物</w:t>
            </w:r>
          </w:p>
        </w:tc>
        <w:tc>
          <w:tcPr>
            <w:tcW w:w="7110" w:type="dxa"/>
            <w:gridSpan w:val="4"/>
            <w:vMerge w:val="restar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落实岩屑堆存区情况，导眼井段产生的水基岩屑由岩屑收集罐进行收集暂存岩屑堆放区，钻井废弃泥浆收集至泥浆不落地平台内的循环罐暂存，就近交由有资质单位进行资源化利用。</w:t>
            </w:r>
          </w:p>
        </w:tc>
        <w:tc>
          <w:tcPr>
            <w:tcW w:w="3375" w:type="dxa"/>
            <w:vMerge w:val="restar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固体废物按要求处置，转运及交接等联单手续齐全，现场无遗留</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7110" w:type="dxa"/>
            <w:gridSpan w:val="4"/>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3375"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7110" w:type="dxa"/>
            <w:gridSpan w:val="4"/>
            <w:vMerge w:val="restar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废油、废油桶经收集后拟及时交由有资质单位处置。</w:t>
            </w:r>
          </w:p>
        </w:tc>
        <w:tc>
          <w:tcPr>
            <w:tcW w:w="3375"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7110" w:type="dxa"/>
            <w:gridSpan w:val="4"/>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3375"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废包装材料收集后定期运至就近的废品回收站进行处理</w:t>
            </w:r>
          </w:p>
        </w:tc>
        <w:tc>
          <w:tcPr>
            <w:tcW w:w="3375"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生活垃圾由井场区和生活区垃圾箱收集，定期送当地环卫部门收集处置。废包装材料量较少，收集后全部回收利用。</w:t>
            </w:r>
          </w:p>
        </w:tc>
        <w:tc>
          <w:tcPr>
            <w:tcW w:w="3375"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电磁环境</w:t>
            </w: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337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环境风险</w:t>
            </w: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①水池完好无泄漏，试气工程废水得到及时转运，加设风险备用废水收集罐，无废水外溢事故发生。</w:t>
            </w:r>
          </w:p>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fldChar w:fldCharType="begin"/>
            </w:r>
            <w:r>
              <w:rPr>
                <w:rFonts w:hint="default" w:ascii="Times New Roman" w:hAnsi="Times New Roman" w:cs="Times New Roman"/>
                <w:color w:val="auto"/>
                <w:szCs w:val="21"/>
              </w:rPr>
              <w:instrText xml:space="preserve"> = 2 \* GB3 </w:instrText>
            </w:r>
            <w:r>
              <w:rPr>
                <w:rFonts w:hint="default" w:ascii="Times New Roman" w:hAnsi="Times New Roman" w:cs="Times New Roman"/>
                <w:color w:val="auto"/>
                <w:szCs w:val="21"/>
              </w:rPr>
              <w:fldChar w:fldCharType="separate"/>
            </w:r>
            <w:r>
              <w:rPr>
                <w:rFonts w:hint="default" w:ascii="Times New Roman" w:hAnsi="Times New Roman" w:cs="Times New Roman"/>
                <w:color w:val="auto"/>
                <w:szCs w:val="21"/>
              </w:rPr>
              <w:t>②</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做好集液池内废水转运工作，确保集液池内废水不外流；</w:t>
            </w:r>
          </w:p>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fldChar w:fldCharType="begin"/>
            </w:r>
            <w:r>
              <w:rPr>
                <w:rFonts w:hint="default" w:ascii="Times New Roman" w:hAnsi="Times New Roman" w:cs="Times New Roman"/>
                <w:color w:val="auto"/>
                <w:szCs w:val="21"/>
              </w:rPr>
              <w:instrText xml:space="preserve"> = 3 \* GB3 </w:instrText>
            </w:r>
            <w:r>
              <w:rPr>
                <w:rFonts w:hint="default" w:ascii="Times New Roman" w:hAnsi="Times New Roman" w:cs="Times New Roman"/>
                <w:color w:val="auto"/>
                <w:szCs w:val="21"/>
              </w:rPr>
              <w:fldChar w:fldCharType="separate"/>
            </w:r>
            <w:r>
              <w:rPr>
                <w:rFonts w:hint="default" w:ascii="Times New Roman" w:hAnsi="Times New Roman" w:cs="Times New Roman"/>
                <w:color w:val="auto"/>
                <w:szCs w:val="21"/>
              </w:rPr>
              <w:t>③</w:t>
            </w:r>
            <w:r>
              <w:rPr>
                <w:rFonts w:hint="default" w:ascii="Times New Roman" w:hAnsi="Times New Roman" w:cs="Times New Roman"/>
                <w:color w:val="auto"/>
                <w:szCs w:val="21"/>
              </w:rPr>
              <w:fldChar w:fldCharType="end"/>
            </w:r>
            <w:r>
              <w:rPr>
                <w:rFonts w:hint="default" w:ascii="Times New Roman" w:hAnsi="Times New Roman" w:cs="Times New Roman"/>
                <w:color w:val="auto"/>
                <w:szCs w:val="21"/>
              </w:rPr>
              <w:t>具备符合行业规范和环评要求的环境风险应急预案，应急预案演练档案齐全。</w:t>
            </w:r>
          </w:p>
        </w:tc>
        <w:tc>
          <w:tcPr>
            <w:tcW w:w="337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不发生环境风险事故</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restart"/>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环境监测</w:t>
            </w:r>
          </w:p>
        </w:tc>
        <w:tc>
          <w:tcPr>
            <w:tcW w:w="73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噪声</w:t>
            </w:r>
          </w:p>
        </w:tc>
        <w:tc>
          <w:tcPr>
            <w:tcW w:w="2625" w:type="dxa"/>
            <w:gridSpan w:val="2"/>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井站外1m处、居民点各设置1个监测点</w:t>
            </w:r>
          </w:p>
        </w:tc>
        <w:tc>
          <w:tcPr>
            <w:tcW w:w="3750"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等效连续A声级</w:t>
            </w:r>
          </w:p>
        </w:tc>
        <w:tc>
          <w:tcPr>
            <w:tcW w:w="337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验收监测1次</w:t>
            </w:r>
          </w:p>
        </w:tc>
        <w:tc>
          <w:tcPr>
            <w:tcW w:w="1158" w:type="dxa"/>
            <w:vMerge w:val="restar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Merge w:val="restart"/>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73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地下水</w:t>
            </w:r>
          </w:p>
        </w:tc>
        <w:tc>
          <w:tcPr>
            <w:tcW w:w="2625" w:type="dxa"/>
            <w:gridSpan w:val="2"/>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设置2个监测点位，位于井场上、下游各布设1个，主要为地下水影响跟踪监测及污染扩散监测点</w:t>
            </w:r>
          </w:p>
        </w:tc>
        <w:tc>
          <w:tcPr>
            <w:tcW w:w="3750"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pH、石油类、石油烃（C6~C9）、石油烃（C10~C40）、钡、汞、砷、六价铬</w:t>
            </w:r>
          </w:p>
        </w:tc>
        <w:tc>
          <w:tcPr>
            <w:tcW w:w="337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验收监测1次，每次连续监测1天，每天监测1次</w:t>
            </w:r>
          </w:p>
        </w:tc>
        <w:tc>
          <w:tcPr>
            <w:tcW w:w="1158"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Merge w:val="continue"/>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p>
        </w:tc>
        <w:tc>
          <w:tcPr>
            <w:tcW w:w="73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土壤</w:t>
            </w:r>
          </w:p>
        </w:tc>
        <w:tc>
          <w:tcPr>
            <w:tcW w:w="2625" w:type="dxa"/>
            <w:gridSpan w:val="2"/>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设置1个监测点位</w:t>
            </w:r>
          </w:p>
        </w:tc>
        <w:tc>
          <w:tcPr>
            <w:tcW w:w="3750"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pH、石油类、石油烃（C6~C9）、石油烃（C10~C40）、汞、砷、六价铬、钡</w:t>
            </w:r>
          </w:p>
        </w:tc>
        <w:tc>
          <w:tcPr>
            <w:tcW w:w="337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验收监测1次，每次连续监测1天，每天监测1次</w:t>
            </w:r>
          </w:p>
        </w:tc>
        <w:tc>
          <w:tcPr>
            <w:tcW w:w="1158"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c>
          <w:tcPr>
            <w:tcW w:w="1166" w:type="dxa"/>
            <w:vMerge w:val="continue"/>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365" w:type="dxa"/>
            <w:vAlign w:val="center"/>
          </w:tcPr>
          <w:p>
            <w:pPr>
              <w:keepNext w:val="0"/>
              <w:keepLines w:val="0"/>
              <w:suppressLineNumbers w:val="0"/>
              <w:adjustRightInd w:val="0"/>
              <w:snapToGrid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其他</w:t>
            </w:r>
          </w:p>
        </w:tc>
        <w:tc>
          <w:tcPr>
            <w:tcW w:w="7110" w:type="dxa"/>
            <w:gridSpan w:val="4"/>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3375"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项目施工过程中采取的环境保护措施应在场界及时公告，主动接受检查。</w:t>
            </w:r>
          </w:p>
        </w:tc>
        <w:tc>
          <w:tcPr>
            <w:tcW w:w="1158"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166" w:type="dxa"/>
            <w:vAlign w:val="center"/>
          </w:tcPr>
          <w:p>
            <w:pPr>
              <w:keepNext w:val="0"/>
              <w:keepLines w:val="0"/>
              <w:suppressLineNumbers w:val="0"/>
              <w:adjustRightInd w:val="0"/>
              <w:snapToGrid w:val="0"/>
              <w:spacing w:before="0" w:beforeAutospacing="0" w:after="0" w:afterAutospacing="0"/>
              <w:ind w:left="0" w:right="0"/>
              <w:rPr>
                <w:rFonts w:hint="default" w:ascii="Times New Roman" w:hAnsi="Times New Roman" w:cs="Times New Roman"/>
                <w:color w:val="auto"/>
                <w:szCs w:val="21"/>
              </w:rPr>
            </w:pPr>
            <w:r>
              <w:rPr>
                <w:rFonts w:hint="default" w:ascii="Times New Roman" w:hAnsi="Times New Roman" w:cs="Times New Roman"/>
                <w:color w:val="auto"/>
                <w:szCs w:val="21"/>
              </w:rPr>
              <w:t>/</w:t>
            </w:r>
          </w:p>
        </w:tc>
      </w:tr>
      <w:bookmarkEnd w:id="36"/>
    </w:tbl>
    <w:p>
      <w:pPr>
        <w:pStyle w:val="38"/>
        <w:spacing w:before="0" w:beforeAutospacing="0" w:line="14" w:lineRule="auto"/>
        <w:jc w:val="center"/>
        <w:rPr>
          <w:rFonts w:hint="default" w:ascii="Times New Roman" w:hAnsi="Times New Roman" w:eastAsia="黑体" w:cs="Times New Roman"/>
          <w:snapToGrid w:val="0"/>
          <w:color w:val="auto"/>
          <w:sz w:val="21"/>
          <w:szCs w:val="21"/>
        </w:rPr>
      </w:pPr>
    </w:p>
    <w:p>
      <w:pPr>
        <w:pStyle w:val="38"/>
        <w:spacing w:before="192" w:beforeLines="80" w:beforeAutospacing="0"/>
        <w:jc w:val="center"/>
        <w:outlineLvl w:val="0"/>
        <w:rPr>
          <w:rFonts w:hint="default" w:ascii="Times New Roman" w:hAnsi="Times New Roman" w:eastAsia="黑体" w:cs="Times New Roman"/>
          <w:snapToGrid w:val="0"/>
          <w:color w:val="auto"/>
          <w:sz w:val="21"/>
          <w:szCs w:val="21"/>
        </w:rPr>
        <w:sectPr>
          <w:pgSz w:w="16838" w:h="11906" w:orient="landscape"/>
          <w:pgMar w:top="1417" w:right="1417" w:bottom="1417" w:left="1417" w:header="851" w:footer="1077" w:gutter="0"/>
          <w:pgBorders>
            <w:top w:val="none" w:sz="0" w:space="0"/>
            <w:left w:val="none" w:sz="0" w:space="0"/>
            <w:bottom w:val="none" w:sz="0" w:space="0"/>
            <w:right w:val="none" w:sz="0" w:space="0"/>
          </w:pgBorders>
          <w:cols w:space="720" w:num="1"/>
          <w:docGrid w:linePitch="312" w:charSpace="0"/>
        </w:sectPr>
      </w:pPr>
    </w:p>
    <w:p>
      <w:pPr>
        <w:pStyle w:val="38"/>
        <w:spacing w:before="192" w:beforeLines="80" w:beforeAutospacing="0"/>
        <w:jc w:val="center"/>
        <w:outlineLvl w:val="0"/>
        <w:rPr>
          <w:rFonts w:hint="default" w:ascii="Times New Roman" w:hAnsi="Times New Roman" w:eastAsia="黑体" w:cs="Times New Roman"/>
          <w:snapToGrid w:val="0"/>
          <w:color w:val="auto"/>
          <w:sz w:val="28"/>
          <w:szCs w:val="28"/>
        </w:rPr>
      </w:pPr>
      <w:r>
        <w:rPr>
          <w:rFonts w:hint="default" w:ascii="Times New Roman" w:hAnsi="Times New Roman" w:eastAsia="黑体" w:cs="Times New Roman"/>
          <w:snapToGrid w:val="0"/>
          <w:color w:val="auto"/>
          <w:sz w:val="28"/>
          <w:szCs w:val="28"/>
        </w:rPr>
        <w:t>七、结论</w:t>
      </w:r>
    </w:p>
    <w:tbl>
      <w:tblPr>
        <w:tblStyle w:val="44"/>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28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349" w:hRule="atLeast"/>
          <w:jc w:val="center"/>
        </w:trPr>
        <w:tc>
          <w:tcPr>
            <w:tcW w:w="9289" w:type="dxa"/>
          </w:tcPr>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eastAsia" w:cs="Times New Roman"/>
                <w:color w:val="auto"/>
                <w:sz w:val="24"/>
                <w:lang w:eastAsia="zh-CN"/>
              </w:rPr>
              <w:t>普陆12HF井工程</w:t>
            </w:r>
            <w:r>
              <w:rPr>
                <w:rFonts w:hint="default" w:ascii="Times New Roman" w:hAnsi="Times New Roman" w:cs="Times New Roman"/>
                <w:color w:val="auto"/>
                <w:sz w:val="24"/>
              </w:rPr>
              <w:t>位</w:t>
            </w:r>
            <w:r>
              <w:rPr>
                <w:rFonts w:hint="eastAsia" w:cs="Times New Roman"/>
                <w:color w:val="auto"/>
                <w:sz w:val="24"/>
                <w:lang w:eastAsia="zh-CN"/>
              </w:rPr>
              <w:t>于四川省达州市宣汉县普光镇双河社区石垭村</w:t>
            </w:r>
            <w:r>
              <w:rPr>
                <w:rFonts w:hint="default" w:ascii="Times New Roman" w:hAnsi="Times New Roman" w:cs="Times New Roman"/>
                <w:color w:val="auto"/>
                <w:sz w:val="24"/>
              </w:rPr>
              <w:t>，属于定向井，</w:t>
            </w:r>
            <w:r>
              <w:rPr>
                <w:rFonts w:hint="eastAsia" w:cs="Times New Roman"/>
                <w:color w:val="auto"/>
                <w:sz w:val="24"/>
                <w:lang w:val="en-US" w:eastAsia="zh-CN"/>
              </w:rPr>
              <w:t>导</w:t>
            </w:r>
            <w:r>
              <w:rPr>
                <w:rFonts w:hint="eastAsia" w:cs="Times New Roman"/>
                <w:bCs/>
                <w:color w:val="auto"/>
                <w:sz w:val="21"/>
                <w:szCs w:val="21"/>
                <w:lang w:val="en-US" w:eastAsia="zh-CN"/>
              </w:rPr>
              <w:t>**************************************</w:t>
            </w:r>
            <w:r>
              <w:rPr>
                <w:rFonts w:hint="default" w:ascii="Times New Roman" w:hAnsi="Times New Roman" w:cs="Times New Roman"/>
                <w:color w:val="auto"/>
                <w:sz w:val="24"/>
              </w:rPr>
              <w:t>。</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本项目符合相关产业政策，符合相关环境保护政策及相关规划要求，项目选址不涉及</w:t>
            </w:r>
            <w:r>
              <w:rPr>
                <w:rFonts w:hint="eastAsia" w:cs="Times New Roman"/>
                <w:color w:val="auto"/>
                <w:sz w:val="24"/>
                <w:lang w:eastAsia="zh-CN"/>
              </w:rPr>
              <w:t>生态保护红线</w:t>
            </w:r>
            <w:r>
              <w:rPr>
                <w:rFonts w:hint="default" w:ascii="Times New Roman" w:hAnsi="Times New Roman" w:cs="Times New Roman"/>
                <w:color w:val="auto"/>
                <w:sz w:val="24"/>
              </w:rPr>
              <w:t>、生态敏感区等区域。项目所在区域环境空气、声环境、地下水环境、土壤质量现状满足环境功能区要求。通过落实评价提出的污染防治措施后，项目实施对地表水、地下水、声环境、环境空气、土壤环境的影响较小，不改变区域的环境功能，项目实施造成的影响可接受。通过严格按照钻井设计和行业规范作业，按照行业规划和环评要求完善相关风险防范和应急措施，</w:t>
            </w:r>
            <w:r>
              <w:rPr>
                <w:rFonts w:hint="eastAsia" w:cs="Times New Roman"/>
                <w:color w:val="auto"/>
                <w:sz w:val="24"/>
                <w:lang w:eastAsia="zh-CN"/>
              </w:rPr>
              <w:t>普陆12HF井工程</w:t>
            </w:r>
            <w:r>
              <w:rPr>
                <w:rFonts w:hint="default" w:ascii="Times New Roman" w:hAnsi="Times New Roman" w:cs="Times New Roman"/>
                <w:color w:val="auto"/>
                <w:sz w:val="24"/>
              </w:rPr>
              <w:t>环境风险是可防控的。</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color w:val="auto"/>
                <w:szCs w:val="21"/>
              </w:rPr>
            </w:pPr>
            <w:r>
              <w:rPr>
                <w:rFonts w:hint="default" w:ascii="Times New Roman" w:hAnsi="Times New Roman" w:cs="Times New Roman"/>
                <w:color w:val="auto"/>
                <w:sz w:val="24"/>
              </w:rPr>
              <w:t>综上所述，项目选址合理，从环境保护的角度分析</w:t>
            </w:r>
            <w:r>
              <w:rPr>
                <w:rFonts w:hint="eastAsia" w:cs="Times New Roman"/>
                <w:color w:val="auto"/>
                <w:sz w:val="24"/>
                <w:lang w:eastAsia="zh-CN"/>
              </w:rPr>
              <w:t>普陆12HF井工程</w:t>
            </w:r>
            <w:r>
              <w:rPr>
                <w:rFonts w:hint="default" w:ascii="Times New Roman" w:hAnsi="Times New Roman" w:cs="Times New Roman"/>
                <w:color w:val="auto"/>
                <w:sz w:val="24"/>
              </w:rPr>
              <w:t>的建设是可行的。</w:t>
            </w:r>
          </w:p>
        </w:tc>
      </w:tr>
    </w:tbl>
    <w:p>
      <w:pPr>
        <w:pStyle w:val="38"/>
        <w:adjustRightInd w:val="0"/>
        <w:snapToGrid w:val="0"/>
        <w:spacing w:before="0" w:beforeAutospacing="0" w:after="0" w:afterAutospacing="0" w:line="648" w:lineRule="auto"/>
        <w:rPr>
          <w:rFonts w:hint="default" w:ascii="Times New Roman" w:hAnsi="Times New Roman" w:cs="Times New Roman"/>
          <w:color w:val="auto"/>
          <w:sz w:val="21"/>
          <w:szCs w:val="21"/>
        </w:rPr>
      </w:pPr>
    </w:p>
    <w:sectPr>
      <w:pgSz w:w="11906" w:h="16838"/>
      <w:pgMar w:top="1417" w:right="1417" w:bottom="1417" w:left="1701" w:header="851" w:footer="1077" w:gutter="0"/>
      <w:pgBorders>
        <w:top w:val="none" w:sz="0" w:space="0"/>
        <w:left w:val="none" w:sz="0" w:space="0"/>
        <w:bottom w:val="none" w:sz="0" w:space="0"/>
        <w:right w:val="none" w:sz="0" w:space="0"/>
      </w:pgBorders>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default"/>
    <w:sig w:usb0="E0002AFF" w:usb1="C0007841" w:usb2="00000009" w:usb3="00000000" w:csb0="400001FF" w:csb1="FFFF0000"/>
  </w:font>
  <w:font w:name="宋体">
    <w:panose1 w:val="02010600030101010101"/>
    <w:charset w:val="8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Light">
    <w:altName w:val="宋体"/>
    <w:panose1 w:val="02010600030101010101"/>
    <w:charset w:val="86"/>
    <w:family w:val="auto"/>
    <w:pitch w:val="default"/>
    <w:sig w:usb0="00000000" w:usb1="00000000"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新宋体">
    <w:panose1 w:val="02010609030101010101"/>
    <w:charset w:val="86"/>
    <w:family w:val="modern"/>
    <w:pitch w:val="default"/>
    <w:sig w:usb0="00000003" w:usb1="288F0000" w:usb2="00000006" w:usb3="00000000" w:csb0="00040001" w:csb1="00000000"/>
  </w:font>
  <w:font w:name="TimesNewRoman">
    <w:altName w:val="Times New Roman"/>
    <w:panose1 w:val="00000000000000000000"/>
    <w:charset w:val="00"/>
    <w:family w:val="roman"/>
    <w:pitch w:val="default"/>
    <w:sig w:usb0="00000000" w:usb1="0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Dutch801 Rm BT">
    <w:altName w:val="Times New Roman"/>
    <w:panose1 w:val="02020603060505020304"/>
    <w:charset w:val="00"/>
    <w:family w:val="roman"/>
    <w:pitch w:val="default"/>
    <w:sig w:usb0="00000000" w:usb1="00000000" w:usb2="00000000" w:usb3="00000000" w:csb0="0000001B" w:csb1="00000000"/>
  </w:font>
  <w:font w:name="等线">
    <w:altName w:val="Arial Unicode MS"/>
    <w:panose1 w:val="02010600030101010101"/>
    <w:charset w:val="86"/>
    <w:family w:val="auto"/>
    <w:pitch w:val="default"/>
    <w:sig w:usb0="00000000" w:usb1="00000000" w:usb2="00000016" w:usb3="00000000" w:csb0="0004000F" w:csb1="00000000"/>
  </w:font>
  <w:font w:name="方正小标宋_GBK">
    <w:altName w:val="微软雅黑"/>
    <w:panose1 w:val="02000000000000000000"/>
    <w:charset w:val="86"/>
    <w:family w:val="script"/>
    <w:pitch w:val="default"/>
    <w:sig w:usb0="00000000" w:usb1="00000000" w:usb2="00082016" w:usb3="00000000" w:csb0="00040001" w:csb1="00000000"/>
  </w:font>
  <w:font w:name="华文仿宋">
    <w:panose1 w:val="02010600040101010101"/>
    <w:charset w:val="86"/>
    <w:family w:val="auto"/>
    <w:pitch w:val="default"/>
    <w:sig w:usb0="00000287" w:usb1="080F0000" w:usb2="00000000" w:usb3="00000000" w:csb0="0004009F" w:csb1="DFD7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swiss"/>
    <w:pitch w:val="default"/>
    <w:sig w:usb0="80000287" w:usb1="280F3C52" w:usb2="00000016" w:usb3="00000000" w:csb0="0004001F" w:csb1="00000000"/>
  </w:font>
  <w:font w:name="附件">
    <w:altName w:val="宋体"/>
    <w:panose1 w:val="00000000000000000000"/>
    <w:charset w:val="86"/>
    <w:family w:val="roman"/>
    <w:pitch w:val="default"/>
    <w:sig w:usb0="00000000" w:usb1="00000000" w:usb2="00000000" w:usb3="00000000" w:csb0="00040001" w:csb1="00000000"/>
  </w:font>
  <w:font w:name="Cambria Math">
    <w:panose1 w:val="02040503050406030204"/>
    <w:charset w:val="00"/>
    <w:family w:val="roman"/>
    <w:pitch w:val="default"/>
    <w:sig w:usb0="E00002FF" w:usb1="420024FF" w:usb2="00000000" w:usb3="00000000" w:csb0="2000019F" w:csb1="00000000"/>
  </w:font>
  <w:font w:name="等线">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ind w:right="360" w:firstLine="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framePr w:wrap="around" w:vAnchor="text" w:hAnchor="margin" w:xAlign="outside" w:y="1"/>
      <w:rPr>
        <w:rStyle w:val="48"/>
      </w:rPr>
    </w:pPr>
    <w:r>
      <w:fldChar w:fldCharType="begin"/>
    </w:r>
    <w:r>
      <w:rPr>
        <w:rStyle w:val="48"/>
      </w:rPr>
      <w:instrText xml:space="preserve">PAGE  </w:instrText>
    </w:r>
    <w:r>
      <w:fldChar w:fldCharType="separate"/>
    </w:r>
    <w:r>
      <w:rPr>
        <w:rStyle w:val="48"/>
      </w:rPr>
      <w:t>1</w:t>
    </w:r>
    <w:r>
      <w:fldChar w:fldCharType="end"/>
    </w:r>
  </w:p>
  <w:p>
    <w:pPr>
      <w:pStyle w:val="29"/>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framePr w:wrap="around" w:vAnchor="text" w:hAnchor="margin" w:xAlign="outside" w:y="1"/>
      <w:rPr>
        <w:rStyle w:val="48"/>
        <w:rFonts w:ascii="宋体" w:hAnsi="宋体"/>
        <w:sz w:val="28"/>
        <w:szCs w:val="28"/>
      </w:rPr>
    </w:pPr>
    <w:r>
      <w:rPr>
        <w:rStyle w:val="48"/>
        <w:rFonts w:hint="eastAsia" w:ascii="宋体" w:hAnsi="宋体"/>
        <w:sz w:val="28"/>
        <w:szCs w:val="28"/>
      </w:rPr>
      <w:t>—</w:t>
    </w:r>
    <w:r>
      <w:rPr>
        <w:rStyle w:val="48"/>
        <w:rFonts w:hint="eastAsia" w:ascii="宋体" w:hAnsi="宋体"/>
        <w:sz w:val="20"/>
        <w:szCs w:val="20"/>
      </w:rPr>
      <w:t xml:space="preserve"> </w:t>
    </w:r>
    <w:r>
      <w:rPr>
        <w:rFonts w:ascii="宋体" w:hAnsi="宋体"/>
        <w:sz w:val="26"/>
        <w:szCs w:val="26"/>
      </w:rPr>
      <w:fldChar w:fldCharType="begin"/>
    </w:r>
    <w:r>
      <w:rPr>
        <w:rStyle w:val="48"/>
        <w:rFonts w:ascii="宋体" w:hAnsi="宋体"/>
        <w:sz w:val="26"/>
        <w:szCs w:val="26"/>
      </w:rPr>
      <w:instrText xml:space="preserve">PAGE  </w:instrText>
    </w:r>
    <w:r>
      <w:rPr>
        <w:rFonts w:ascii="宋体" w:hAnsi="宋体"/>
        <w:sz w:val="26"/>
        <w:szCs w:val="26"/>
      </w:rPr>
      <w:fldChar w:fldCharType="separate"/>
    </w:r>
    <w:r>
      <w:rPr>
        <w:rStyle w:val="48"/>
        <w:rFonts w:ascii="宋体" w:hAnsi="宋体"/>
        <w:sz w:val="26"/>
        <w:szCs w:val="26"/>
      </w:rPr>
      <w:t>49</w:t>
    </w:r>
    <w:r>
      <w:rPr>
        <w:rFonts w:ascii="宋体" w:hAnsi="宋体"/>
        <w:sz w:val="26"/>
        <w:szCs w:val="26"/>
      </w:rPr>
      <w:fldChar w:fldCharType="end"/>
    </w:r>
    <w:r>
      <w:rPr>
        <w:rStyle w:val="48"/>
        <w:rFonts w:hint="eastAsia" w:ascii="宋体" w:hAnsi="宋体"/>
        <w:sz w:val="20"/>
        <w:szCs w:val="20"/>
      </w:rPr>
      <w:t xml:space="preserve"> </w:t>
    </w:r>
    <w:r>
      <w:rPr>
        <w:rStyle w:val="48"/>
        <w:rFonts w:hint="eastAsia" w:ascii="宋体" w:hAnsi="宋体"/>
        <w:sz w:val="28"/>
        <w:szCs w:val="28"/>
      </w:rPr>
      <w:t>—</w:t>
    </w:r>
  </w:p>
  <w:p>
    <w:pPr>
      <w:pStyle w:val="29"/>
      <w:ind w:right="360" w:firstLine="360"/>
      <w:jc w:val="cente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AC8A1D"/>
    <w:multiLevelType w:val="multilevel"/>
    <w:tmpl w:val="8AAC8A1D"/>
    <w:lvl w:ilvl="0" w:tentative="0">
      <w:start w:val="1"/>
      <w:numFmt w:val="decimal"/>
      <w:lvlText w:val="表3-%1"/>
      <w:lvlJc w:val="left"/>
      <w:pPr>
        <w:ind w:left="420" w:hanging="420"/>
      </w:pPr>
      <w:rPr>
        <w:rFonts w:hint="default" w:ascii="Times New Roman" w:hAnsi="Times New Roman" w:cs="Times New Roman"/>
      </w:rPr>
    </w:lvl>
    <w:lvl w:ilvl="1" w:tentative="0">
      <w:start w:val="1"/>
      <w:numFmt w:val="lowerLetter"/>
      <w:lvlText w:val="%2)"/>
      <w:lvlJc w:val="left"/>
      <w:pPr>
        <w:ind w:left="840" w:hanging="420"/>
      </w:pPr>
      <w:rPr>
        <w:rFonts w:hint="default" w:ascii="Times New Roman" w:hAnsi="Times New Roman" w:cs="Times New Roman"/>
      </w:rPr>
    </w:lvl>
    <w:lvl w:ilvl="2" w:tentative="0">
      <w:start w:val="1"/>
      <w:numFmt w:val="lowerRoman"/>
      <w:lvlText w:val="%3."/>
      <w:lvlJc w:val="right"/>
      <w:pPr>
        <w:ind w:left="1260" w:hanging="420"/>
      </w:pPr>
      <w:rPr>
        <w:rFonts w:hint="default" w:ascii="Times New Roman" w:hAnsi="Times New Roman" w:cs="Times New Roman"/>
      </w:rPr>
    </w:lvl>
    <w:lvl w:ilvl="3" w:tentative="0">
      <w:start w:val="1"/>
      <w:numFmt w:val="decimal"/>
      <w:lvlText w:val="%4."/>
      <w:lvlJc w:val="left"/>
      <w:pPr>
        <w:ind w:left="1680" w:hanging="420"/>
      </w:pPr>
      <w:rPr>
        <w:rFonts w:hint="default" w:ascii="Times New Roman" w:hAnsi="Times New Roman" w:cs="Times New Roman"/>
      </w:rPr>
    </w:lvl>
    <w:lvl w:ilvl="4" w:tentative="0">
      <w:start w:val="1"/>
      <w:numFmt w:val="lowerLetter"/>
      <w:lvlText w:val="%5)"/>
      <w:lvlJc w:val="left"/>
      <w:pPr>
        <w:ind w:left="2100" w:hanging="420"/>
      </w:pPr>
      <w:rPr>
        <w:rFonts w:hint="default" w:ascii="Times New Roman" w:hAnsi="Times New Roman" w:cs="Times New Roman"/>
      </w:rPr>
    </w:lvl>
    <w:lvl w:ilvl="5" w:tentative="0">
      <w:start w:val="1"/>
      <w:numFmt w:val="lowerRoman"/>
      <w:lvlText w:val="%6."/>
      <w:lvlJc w:val="right"/>
      <w:pPr>
        <w:ind w:left="2520" w:hanging="420"/>
      </w:pPr>
      <w:rPr>
        <w:rFonts w:hint="default" w:ascii="Times New Roman" w:hAnsi="Times New Roman" w:cs="Times New Roman"/>
      </w:rPr>
    </w:lvl>
    <w:lvl w:ilvl="6" w:tentative="0">
      <w:start w:val="1"/>
      <w:numFmt w:val="decimal"/>
      <w:lvlText w:val="%7."/>
      <w:lvlJc w:val="left"/>
      <w:pPr>
        <w:ind w:left="2940" w:hanging="420"/>
      </w:pPr>
      <w:rPr>
        <w:rFonts w:hint="default" w:ascii="Times New Roman" w:hAnsi="Times New Roman" w:cs="Times New Roman"/>
      </w:rPr>
    </w:lvl>
    <w:lvl w:ilvl="7" w:tentative="0">
      <w:start w:val="1"/>
      <w:numFmt w:val="lowerLetter"/>
      <w:lvlText w:val="%8)"/>
      <w:lvlJc w:val="left"/>
      <w:pPr>
        <w:ind w:left="3360" w:hanging="420"/>
      </w:pPr>
      <w:rPr>
        <w:rFonts w:hint="default" w:ascii="Times New Roman" w:hAnsi="Times New Roman" w:cs="Times New Roman"/>
      </w:rPr>
    </w:lvl>
    <w:lvl w:ilvl="8" w:tentative="0">
      <w:start w:val="1"/>
      <w:numFmt w:val="lowerRoman"/>
      <w:lvlText w:val="%9."/>
      <w:lvlJc w:val="right"/>
      <w:pPr>
        <w:ind w:left="3780" w:hanging="420"/>
      </w:pPr>
      <w:rPr>
        <w:rFonts w:hint="default" w:ascii="Times New Roman" w:hAnsi="Times New Roman" w:cs="Times New Roman"/>
      </w:rPr>
    </w:lvl>
  </w:abstractNum>
  <w:abstractNum w:abstractNumId="1">
    <w:nsid w:val="9720E520"/>
    <w:multiLevelType w:val="multilevel"/>
    <w:tmpl w:val="9720E520"/>
    <w:lvl w:ilvl="0" w:tentative="0">
      <w:start w:val="1"/>
      <w:numFmt w:val="decimal"/>
      <w:lvlText w:val="%1"/>
      <w:lvlJc w:val="left"/>
      <w:pPr>
        <w:ind w:left="425" w:hanging="425"/>
      </w:pPr>
      <w:rPr>
        <w:rFonts w:hint="default" w:ascii="Times New Roman" w:hAnsi="Times New Roman" w:cs="Times New Roman"/>
      </w:rPr>
    </w:lvl>
    <w:lvl w:ilvl="1" w:tentative="0">
      <w:start w:val="1"/>
      <w:numFmt w:val="decimal"/>
      <w:lvlText w:val="%1.%2"/>
      <w:lvlJc w:val="left"/>
      <w:pPr>
        <w:ind w:left="2835" w:hanging="567"/>
      </w:pPr>
      <w:rPr>
        <w:rFonts w:hint="default" w:ascii="Times New Roman" w:hAnsi="Times New Roman" w:cs="Times New Roman"/>
      </w:rPr>
    </w:lvl>
    <w:lvl w:ilvl="2" w:tentative="0">
      <w:start w:val="1"/>
      <w:numFmt w:val="decimal"/>
      <w:lvlText w:val="%1.%2.%3"/>
      <w:lvlJc w:val="left"/>
      <w:pPr>
        <w:ind w:left="1418" w:hanging="567"/>
      </w:pPr>
      <w:rPr>
        <w:rFonts w:hint="default" w:ascii="Times New Roman" w:hAnsi="Times New Roman" w:cs="Times New Roman"/>
      </w:rPr>
    </w:lvl>
    <w:lvl w:ilvl="3" w:tentative="0">
      <w:start w:val="1"/>
      <w:numFmt w:val="decimal"/>
      <w:lvlText w:val="%1.%2.%3.%4"/>
      <w:lvlJc w:val="left"/>
      <w:pPr>
        <w:ind w:left="1984" w:hanging="708"/>
      </w:pPr>
      <w:rPr>
        <w:rFonts w:hint="default" w:ascii="Times New Roman" w:hAnsi="Times New Roman" w:cs="Times New Roman"/>
      </w:rPr>
    </w:lvl>
    <w:lvl w:ilvl="4" w:tentative="0">
      <w:start w:val="1"/>
      <w:numFmt w:val="decimal"/>
      <w:lvlText w:val="%1.%2.%3.%4.%5"/>
      <w:lvlJc w:val="left"/>
      <w:pPr>
        <w:ind w:left="2551" w:hanging="850"/>
      </w:pPr>
      <w:rPr>
        <w:rFonts w:hint="default" w:ascii="Times New Roman" w:hAnsi="Times New Roman" w:cs="Times New Roman"/>
      </w:rPr>
    </w:lvl>
    <w:lvl w:ilvl="5" w:tentative="0">
      <w:start w:val="1"/>
      <w:numFmt w:val="decimal"/>
      <w:lvlText w:val="%1.%2.%3.%4.%5.%6"/>
      <w:lvlJc w:val="left"/>
      <w:pPr>
        <w:ind w:left="3260" w:hanging="1134"/>
      </w:pPr>
      <w:rPr>
        <w:rFonts w:hint="default" w:ascii="Times New Roman" w:hAnsi="Times New Roman" w:cs="Times New Roman"/>
      </w:rPr>
    </w:lvl>
    <w:lvl w:ilvl="6" w:tentative="0">
      <w:start w:val="1"/>
      <w:numFmt w:val="decimal"/>
      <w:lvlText w:val="%1.%2.%3.%4.%5.%6.%7"/>
      <w:lvlJc w:val="left"/>
      <w:pPr>
        <w:ind w:left="3827" w:hanging="1276"/>
      </w:pPr>
      <w:rPr>
        <w:rFonts w:hint="default" w:ascii="Times New Roman" w:hAnsi="Times New Roman" w:cs="Times New Roman"/>
      </w:rPr>
    </w:lvl>
    <w:lvl w:ilvl="7" w:tentative="0">
      <w:start w:val="1"/>
      <w:numFmt w:val="decimal"/>
      <w:lvlText w:val="%1.%2.%3.%4.%5.%6.%7.%8"/>
      <w:lvlJc w:val="left"/>
      <w:pPr>
        <w:ind w:left="4394" w:hanging="1418"/>
      </w:pPr>
      <w:rPr>
        <w:rFonts w:hint="default" w:ascii="Times New Roman" w:hAnsi="Times New Roman" w:cs="Times New Roman"/>
      </w:rPr>
    </w:lvl>
    <w:lvl w:ilvl="8" w:tentative="0">
      <w:start w:val="1"/>
      <w:numFmt w:val="decimal"/>
      <w:lvlText w:val="%1.%2.%3.%4.%5.%6.%7.%8.%9"/>
      <w:lvlJc w:val="left"/>
      <w:pPr>
        <w:ind w:left="5102" w:hanging="1700"/>
      </w:pPr>
      <w:rPr>
        <w:rFonts w:hint="default" w:ascii="Times New Roman" w:hAnsi="Times New Roman" w:cs="Times New Roman"/>
      </w:rPr>
    </w:lvl>
  </w:abstractNum>
  <w:abstractNum w:abstractNumId="2">
    <w:nsid w:val="FCB18CE0"/>
    <w:multiLevelType w:val="multilevel"/>
    <w:tmpl w:val="FCB18CE0"/>
    <w:lvl w:ilvl="0" w:tentative="0">
      <w:start w:val="1"/>
      <w:numFmt w:val="decimal"/>
      <w:lvlText w:val="表2-%1"/>
      <w:lvlJc w:val="left"/>
      <w:pPr>
        <w:ind w:left="840" w:hanging="420"/>
      </w:pPr>
      <w:rPr>
        <w:rFonts w:hint="eastAsia" w:ascii="宋体" w:hAnsi="宋体" w:eastAsia="宋体" w:cs="宋体"/>
        <w:b/>
      </w:rPr>
    </w:lvl>
    <w:lvl w:ilvl="1" w:tentative="0">
      <w:start w:val="1"/>
      <w:numFmt w:val="lowerLetter"/>
      <w:lvlText w:val="%2)"/>
      <w:lvlJc w:val="left"/>
      <w:pPr>
        <w:ind w:left="840" w:hanging="420"/>
      </w:pPr>
      <w:rPr>
        <w:rFonts w:hint="default" w:ascii="Times New Roman" w:hAnsi="Times New Roman" w:cs="Times New Roman"/>
      </w:rPr>
    </w:lvl>
    <w:lvl w:ilvl="2" w:tentative="0">
      <w:start w:val="1"/>
      <w:numFmt w:val="lowerRoman"/>
      <w:lvlText w:val="%3."/>
      <w:lvlJc w:val="right"/>
      <w:pPr>
        <w:ind w:left="1260" w:hanging="420"/>
      </w:pPr>
      <w:rPr>
        <w:rFonts w:hint="default" w:ascii="Times New Roman" w:hAnsi="Times New Roman" w:cs="Times New Roman"/>
      </w:rPr>
    </w:lvl>
    <w:lvl w:ilvl="3" w:tentative="0">
      <w:start w:val="1"/>
      <w:numFmt w:val="decimal"/>
      <w:lvlText w:val="%4."/>
      <w:lvlJc w:val="left"/>
      <w:pPr>
        <w:ind w:left="1680" w:hanging="420"/>
      </w:pPr>
      <w:rPr>
        <w:rFonts w:hint="default" w:ascii="Times New Roman" w:hAnsi="Times New Roman" w:cs="Times New Roman"/>
      </w:rPr>
    </w:lvl>
    <w:lvl w:ilvl="4" w:tentative="0">
      <w:start w:val="1"/>
      <w:numFmt w:val="lowerLetter"/>
      <w:lvlText w:val="%5)"/>
      <w:lvlJc w:val="left"/>
      <w:pPr>
        <w:ind w:left="2100" w:hanging="420"/>
      </w:pPr>
      <w:rPr>
        <w:rFonts w:hint="default" w:ascii="Times New Roman" w:hAnsi="Times New Roman" w:cs="Times New Roman"/>
      </w:rPr>
    </w:lvl>
    <w:lvl w:ilvl="5" w:tentative="0">
      <w:start w:val="1"/>
      <w:numFmt w:val="lowerRoman"/>
      <w:lvlText w:val="%6."/>
      <w:lvlJc w:val="right"/>
      <w:pPr>
        <w:ind w:left="2520" w:hanging="420"/>
      </w:pPr>
      <w:rPr>
        <w:rFonts w:hint="default" w:ascii="Times New Roman" w:hAnsi="Times New Roman" w:cs="Times New Roman"/>
      </w:rPr>
    </w:lvl>
    <w:lvl w:ilvl="6" w:tentative="0">
      <w:start w:val="1"/>
      <w:numFmt w:val="decimal"/>
      <w:lvlText w:val="%7."/>
      <w:lvlJc w:val="left"/>
      <w:pPr>
        <w:ind w:left="2940" w:hanging="420"/>
      </w:pPr>
      <w:rPr>
        <w:rFonts w:hint="default" w:ascii="Times New Roman" w:hAnsi="Times New Roman" w:cs="Times New Roman"/>
      </w:rPr>
    </w:lvl>
    <w:lvl w:ilvl="7" w:tentative="0">
      <w:start w:val="1"/>
      <w:numFmt w:val="lowerLetter"/>
      <w:lvlText w:val="%8)"/>
      <w:lvlJc w:val="left"/>
      <w:pPr>
        <w:ind w:left="3360" w:hanging="420"/>
      </w:pPr>
      <w:rPr>
        <w:rFonts w:hint="default" w:ascii="Times New Roman" w:hAnsi="Times New Roman" w:cs="Times New Roman"/>
      </w:rPr>
    </w:lvl>
    <w:lvl w:ilvl="8" w:tentative="0">
      <w:start w:val="1"/>
      <w:numFmt w:val="lowerRoman"/>
      <w:lvlText w:val="%9."/>
      <w:lvlJc w:val="right"/>
      <w:pPr>
        <w:ind w:left="3780" w:hanging="420"/>
      </w:pPr>
      <w:rPr>
        <w:rFonts w:hint="default" w:ascii="Times New Roman" w:hAnsi="Times New Roman" w:cs="Times New Roman"/>
      </w:rPr>
    </w:lvl>
  </w:abstractNum>
  <w:abstractNum w:abstractNumId="3">
    <w:nsid w:val="12A45C50"/>
    <w:multiLevelType w:val="multilevel"/>
    <w:tmpl w:val="12A45C50"/>
    <w:lvl w:ilvl="0" w:tentative="0">
      <w:start w:val="2"/>
      <w:numFmt w:val="decimal"/>
      <w:lvlText w:val="%1."/>
      <w:lvlJc w:val="left"/>
      <w:pPr>
        <w:tabs>
          <w:tab w:val="left" w:pos="425"/>
        </w:tabs>
        <w:ind w:left="425" w:hanging="425"/>
      </w:pPr>
      <w:rPr>
        <w:rFonts w:hint="eastAsia"/>
      </w:rPr>
    </w:lvl>
    <w:lvl w:ilvl="1" w:tentative="0">
      <w:start w:val="1"/>
      <w:numFmt w:val="decimal"/>
      <w:lvlText w:val="%1.%2"/>
      <w:lvlJc w:val="left"/>
      <w:pPr>
        <w:tabs>
          <w:tab w:val="left" w:pos="567"/>
        </w:tabs>
        <w:ind w:left="567" w:hanging="567"/>
      </w:pPr>
      <w:rPr>
        <w:rFonts w:hint="default" w:ascii="Times New Roman" w:hAnsi="Times New Roman" w:cs="Times New Roman"/>
        <w:b/>
        <w:sz w:val="21"/>
        <w:szCs w:val="21"/>
      </w:rPr>
    </w:lvl>
    <w:lvl w:ilvl="2" w:tentative="0">
      <w:start w:val="1"/>
      <w:numFmt w:val="decimal"/>
      <w:lvlText w:val="%1.%2.%3"/>
      <w:lvlJc w:val="left"/>
      <w:pPr>
        <w:tabs>
          <w:tab w:val="left" w:pos="709"/>
        </w:tabs>
        <w:ind w:left="709" w:hanging="709"/>
      </w:pPr>
      <w:rPr>
        <w:rFonts w:hint="default" w:ascii="Arial" w:hAnsi="Arial"/>
        <w:b w:val="0"/>
        <w:i w:val="0"/>
        <w:sz w:val="24"/>
      </w:rPr>
    </w:lvl>
    <w:lvl w:ilvl="3" w:tentative="0">
      <w:start w:val="1"/>
      <w:numFmt w:val="decimal"/>
      <w:lvlText w:val="%1.%2.%3.%4."/>
      <w:lvlJc w:val="left"/>
      <w:pPr>
        <w:tabs>
          <w:tab w:val="left" w:pos="851"/>
        </w:tabs>
        <w:ind w:left="851" w:hanging="851"/>
      </w:pPr>
      <w:rPr>
        <w:rFonts w:hint="default" w:ascii="Arial" w:hAnsi="Arial"/>
        <w:b w:val="0"/>
        <w:i w:val="0"/>
        <w:sz w:val="24"/>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4">
    <w:nsid w:val="2B9F2EFD"/>
    <w:multiLevelType w:val="multilevel"/>
    <w:tmpl w:val="2B9F2EFD"/>
    <w:lvl w:ilvl="0" w:tentative="0">
      <w:start w:val="1"/>
      <w:numFmt w:val="decimal"/>
      <w:pStyle w:val="222"/>
      <w:lvlText w:val="%1."/>
      <w:lvlJc w:val="left"/>
      <w:pPr>
        <w:tabs>
          <w:tab w:val="left" w:pos="857"/>
        </w:tabs>
        <w:ind w:left="857" w:hanging="420"/>
      </w:pPr>
    </w:lvl>
    <w:lvl w:ilvl="1" w:tentative="0">
      <w:start w:val="1"/>
      <w:numFmt w:val="lowerLetter"/>
      <w:lvlText w:val="%2)"/>
      <w:lvlJc w:val="left"/>
      <w:pPr>
        <w:tabs>
          <w:tab w:val="left" w:pos="1277"/>
        </w:tabs>
        <w:ind w:left="1277" w:hanging="420"/>
      </w:pPr>
    </w:lvl>
    <w:lvl w:ilvl="2" w:tentative="0">
      <w:start w:val="1"/>
      <w:numFmt w:val="lowerRoman"/>
      <w:lvlText w:val="%3."/>
      <w:lvlJc w:val="right"/>
      <w:pPr>
        <w:tabs>
          <w:tab w:val="left" w:pos="1697"/>
        </w:tabs>
        <w:ind w:left="1697" w:hanging="420"/>
      </w:pPr>
    </w:lvl>
    <w:lvl w:ilvl="3" w:tentative="0">
      <w:start w:val="1"/>
      <w:numFmt w:val="decimal"/>
      <w:lvlText w:val="%4."/>
      <w:lvlJc w:val="left"/>
      <w:pPr>
        <w:tabs>
          <w:tab w:val="left" w:pos="2117"/>
        </w:tabs>
        <w:ind w:left="2117" w:hanging="420"/>
      </w:pPr>
    </w:lvl>
    <w:lvl w:ilvl="4" w:tentative="0">
      <w:start w:val="1"/>
      <w:numFmt w:val="lowerLetter"/>
      <w:lvlText w:val="%5)"/>
      <w:lvlJc w:val="left"/>
      <w:pPr>
        <w:tabs>
          <w:tab w:val="left" w:pos="2537"/>
        </w:tabs>
        <w:ind w:left="2537" w:hanging="420"/>
      </w:pPr>
    </w:lvl>
    <w:lvl w:ilvl="5" w:tentative="0">
      <w:start w:val="1"/>
      <w:numFmt w:val="lowerRoman"/>
      <w:lvlText w:val="%6."/>
      <w:lvlJc w:val="right"/>
      <w:pPr>
        <w:tabs>
          <w:tab w:val="left" w:pos="2957"/>
        </w:tabs>
        <w:ind w:left="2957" w:hanging="420"/>
      </w:pPr>
    </w:lvl>
    <w:lvl w:ilvl="6" w:tentative="0">
      <w:start w:val="1"/>
      <w:numFmt w:val="decimal"/>
      <w:lvlText w:val="%7."/>
      <w:lvlJc w:val="left"/>
      <w:pPr>
        <w:tabs>
          <w:tab w:val="left" w:pos="3377"/>
        </w:tabs>
        <w:ind w:left="3377" w:hanging="420"/>
      </w:pPr>
    </w:lvl>
    <w:lvl w:ilvl="7" w:tentative="0">
      <w:start w:val="1"/>
      <w:numFmt w:val="lowerLetter"/>
      <w:lvlText w:val="%8)"/>
      <w:lvlJc w:val="left"/>
      <w:pPr>
        <w:tabs>
          <w:tab w:val="left" w:pos="3797"/>
        </w:tabs>
        <w:ind w:left="3797" w:hanging="420"/>
      </w:pPr>
    </w:lvl>
    <w:lvl w:ilvl="8" w:tentative="0">
      <w:start w:val="1"/>
      <w:numFmt w:val="lowerRoman"/>
      <w:lvlText w:val="%9."/>
      <w:lvlJc w:val="right"/>
      <w:pPr>
        <w:tabs>
          <w:tab w:val="left" w:pos="4217"/>
        </w:tabs>
        <w:ind w:left="4217" w:hanging="420"/>
      </w:pPr>
    </w:lvl>
  </w:abstractNum>
  <w:abstractNum w:abstractNumId="5">
    <w:nsid w:val="34FCDAC5"/>
    <w:multiLevelType w:val="singleLevel"/>
    <w:tmpl w:val="34FCDAC5"/>
    <w:lvl w:ilvl="0" w:tentative="0">
      <w:start w:val="3"/>
      <w:numFmt w:val="decimal"/>
      <w:suff w:val="nothing"/>
      <w:lvlText w:val="（%1）"/>
      <w:lvlJc w:val="left"/>
    </w:lvl>
  </w:abstractNum>
  <w:abstractNum w:abstractNumId="6">
    <w:nsid w:val="4AD63793"/>
    <w:multiLevelType w:val="multilevel"/>
    <w:tmpl w:val="4AD63793"/>
    <w:lvl w:ilvl="0" w:tentative="0">
      <w:start w:val="1"/>
      <w:numFmt w:val="decimal"/>
      <w:lvlText w:val="表2-%1"/>
      <w:lvlJc w:val="left"/>
      <w:pPr>
        <w:ind w:left="840" w:hanging="420"/>
      </w:pPr>
      <w:rPr>
        <w:rFonts w:hint="eastAsia"/>
        <w:b/>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51A208D4"/>
    <w:multiLevelType w:val="multilevel"/>
    <w:tmpl w:val="51A208D4"/>
    <w:lvl w:ilvl="0" w:tentative="0">
      <w:start w:val="1"/>
      <w:numFmt w:val="decimal"/>
      <w:lvlText w:val="表3-%1"/>
      <w:lvlJc w:val="left"/>
      <w:pPr>
        <w:ind w:left="420" w:hanging="420"/>
      </w:pPr>
      <w:rPr>
        <w:rFonts w:hint="default" w:ascii="Times New Roman" w:hAnsi="Times New Roman" w:cs="Times New Roman"/>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71B21497"/>
    <w:multiLevelType w:val="multilevel"/>
    <w:tmpl w:val="71B21497"/>
    <w:lvl w:ilvl="0" w:tentative="0">
      <w:start w:val="1"/>
      <w:numFmt w:val="decimal"/>
      <w:pStyle w:val="387"/>
      <w:isLgl/>
      <w:suff w:val="nothing"/>
      <w:lvlText w:val="（%1）"/>
      <w:lvlJc w:val="left"/>
      <w:pPr>
        <w:ind w:left="516" w:firstLine="476"/>
      </w:pPr>
      <w:rPr>
        <w:rFonts w:hint="eastAsia" w:ascii="宋体" w:eastAsia="宋体"/>
      </w:rPr>
    </w:lvl>
    <w:lvl w:ilvl="1" w:tentative="0">
      <w:start w:val="1"/>
      <w:numFmt w:val="decimal"/>
      <w:isLgl/>
      <w:suff w:val="nothing"/>
      <w:lvlText w:val="%2）"/>
      <w:lvlJc w:val="left"/>
      <w:pPr>
        <w:ind w:left="0" w:firstLine="476"/>
      </w:pPr>
      <w:rPr>
        <w:rFonts w:hint="eastAsia" w:ascii="宋体" w:eastAsia="宋体"/>
      </w:rPr>
    </w:lvl>
    <w:lvl w:ilvl="2" w:tentative="0">
      <w:start w:val="1"/>
      <w:numFmt w:val="decimalEnclosedCircle"/>
      <w:suff w:val="nothing"/>
      <w:lvlText w:val="%3"/>
      <w:lvlJc w:val="left"/>
      <w:pPr>
        <w:ind w:left="0" w:firstLine="476"/>
      </w:pPr>
      <w:rPr>
        <w:rFonts w:hint="eastAsia" w:ascii="宋体" w:eastAsia="宋体"/>
      </w:rPr>
    </w:lvl>
    <w:lvl w:ilvl="3" w:tentative="0">
      <w:start w:val="1"/>
      <w:numFmt w:val="lowerLetter"/>
      <w:suff w:val="nothing"/>
      <w:lvlText w:val="%4."/>
      <w:lvlJc w:val="left"/>
      <w:pPr>
        <w:ind w:left="0" w:firstLine="476"/>
      </w:pPr>
      <w:rPr>
        <w:rFonts w:hint="eastAsia" w:ascii="宋体" w:eastAsia="宋体"/>
        <w:b w:val="0"/>
      </w:rPr>
    </w:lvl>
    <w:lvl w:ilvl="4" w:tentative="0">
      <w:start w:val="1"/>
      <w:numFmt w:val="lowerLetter"/>
      <w:suff w:val="nothing"/>
      <w:lvlText w:val="%5）"/>
      <w:lvlJc w:val="left"/>
      <w:pPr>
        <w:ind w:left="1509" w:firstLine="476"/>
      </w:pPr>
      <w:rPr>
        <w:rFonts w:hint="eastAsia" w:ascii="宋体" w:eastAsia="宋体"/>
        <w:b w:val="0"/>
      </w:rPr>
    </w:lvl>
    <w:lvl w:ilvl="5" w:tentative="0">
      <w:start w:val="1"/>
      <w:numFmt w:val="upperRoman"/>
      <w:suff w:val="nothing"/>
      <w:lvlText w:val="%6"/>
      <w:lvlJc w:val="left"/>
      <w:pPr>
        <w:ind w:left="0" w:firstLine="476"/>
      </w:pPr>
      <w:rPr>
        <w:rFonts w:hint="eastAsia" w:ascii="宋体" w:eastAsia="宋体"/>
      </w:rPr>
    </w:lvl>
    <w:lvl w:ilvl="6" w:tentative="0">
      <w:start w:val="1"/>
      <w:numFmt w:val="lowerRoman"/>
      <w:suff w:val="nothing"/>
      <w:lvlText w:val="%7."/>
      <w:lvlJc w:val="left"/>
      <w:pPr>
        <w:ind w:left="0" w:firstLine="476"/>
      </w:pPr>
      <w:rPr>
        <w:rFonts w:hint="eastAsia"/>
      </w:rPr>
    </w:lvl>
    <w:lvl w:ilvl="7" w:tentative="0">
      <w:start w:val="1"/>
      <w:numFmt w:val="upperRoman"/>
      <w:suff w:val="nothing"/>
      <w:lvlText w:val="%8"/>
      <w:lvlJc w:val="left"/>
      <w:pPr>
        <w:ind w:left="0" w:firstLine="476"/>
      </w:pPr>
      <w:rPr>
        <w:rFonts w:hint="eastAsia"/>
      </w:rPr>
    </w:lvl>
    <w:lvl w:ilvl="8" w:tentative="0">
      <w:start w:val="1"/>
      <w:numFmt w:val="lowerRoman"/>
      <w:suff w:val="nothing"/>
      <w:lvlText w:val="%9"/>
      <w:lvlJc w:val="left"/>
      <w:pPr>
        <w:ind w:left="0" w:firstLine="476"/>
      </w:pPr>
      <w:rPr>
        <w:rFonts w:hint="eastAsia"/>
      </w:rPr>
    </w:lvl>
  </w:abstractNum>
  <w:abstractNum w:abstractNumId="9">
    <w:nsid w:val="7A317B26"/>
    <w:multiLevelType w:val="multilevel"/>
    <w:tmpl w:val="7A317B26"/>
    <w:lvl w:ilvl="0" w:tentative="0">
      <w:start w:val="1"/>
      <w:numFmt w:val="decimal"/>
      <w:lvlText w:val="表2-%1"/>
      <w:lvlJc w:val="left"/>
      <w:pPr>
        <w:ind w:left="840" w:hanging="420"/>
      </w:pPr>
      <w:rPr>
        <w:rFonts w:hint="eastAsia" w:ascii="宋体" w:hAnsi="宋体" w:eastAsia="宋体" w:cs="宋体"/>
        <w:b/>
      </w:rPr>
    </w:lvl>
    <w:lvl w:ilvl="1" w:tentative="0">
      <w:start w:val="1"/>
      <w:numFmt w:val="lowerLetter"/>
      <w:lvlText w:val="%2)"/>
      <w:lvlJc w:val="left"/>
      <w:pPr>
        <w:ind w:left="840" w:hanging="420"/>
      </w:pPr>
      <w:rPr>
        <w:rFonts w:hint="default" w:ascii="Times New Roman" w:hAnsi="Times New Roman" w:cs="Times New Roman"/>
      </w:rPr>
    </w:lvl>
    <w:lvl w:ilvl="2" w:tentative="0">
      <w:start w:val="1"/>
      <w:numFmt w:val="lowerRoman"/>
      <w:lvlText w:val="%3."/>
      <w:lvlJc w:val="right"/>
      <w:pPr>
        <w:ind w:left="1260" w:hanging="420"/>
      </w:pPr>
      <w:rPr>
        <w:rFonts w:hint="default" w:ascii="Times New Roman" w:hAnsi="Times New Roman" w:cs="Times New Roman"/>
      </w:rPr>
    </w:lvl>
    <w:lvl w:ilvl="3" w:tentative="0">
      <w:start w:val="1"/>
      <w:numFmt w:val="decimal"/>
      <w:lvlText w:val="%4."/>
      <w:lvlJc w:val="left"/>
      <w:pPr>
        <w:ind w:left="1680" w:hanging="420"/>
      </w:pPr>
      <w:rPr>
        <w:rFonts w:hint="default" w:ascii="Times New Roman" w:hAnsi="Times New Roman" w:cs="Times New Roman"/>
      </w:rPr>
    </w:lvl>
    <w:lvl w:ilvl="4" w:tentative="0">
      <w:start w:val="1"/>
      <w:numFmt w:val="lowerLetter"/>
      <w:lvlText w:val="%5)"/>
      <w:lvlJc w:val="left"/>
      <w:pPr>
        <w:ind w:left="2100" w:hanging="420"/>
      </w:pPr>
      <w:rPr>
        <w:rFonts w:hint="default" w:ascii="Times New Roman" w:hAnsi="Times New Roman" w:cs="Times New Roman"/>
      </w:rPr>
    </w:lvl>
    <w:lvl w:ilvl="5" w:tentative="0">
      <w:start w:val="1"/>
      <w:numFmt w:val="lowerRoman"/>
      <w:lvlText w:val="%6."/>
      <w:lvlJc w:val="right"/>
      <w:pPr>
        <w:ind w:left="2520" w:hanging="420"/>
      </w:pPr>
      <w:rPr>
        <w:rFonts w:hint="default" w:ascii="Times New Roman" w:hAnsi="Times New Roman" w:cs="Times New Roman"/>
      </w:rPr>
    </w:lvl>
    <w:lvl w:ilvl="6" w:tentative="0">
      <w:start w:val="1"/>
      <w:numFmt w:val="decimal"/>
      <w:lvlText w:val="%7."/>
      <w:lvlJc w:val="left"/>
      <w:pPr>
        <w:ind w:left="2940" w:hanging="420"/>
      </w:pPr>
      <w:rPr>
        <w:rFonts w:hint="default" w:ascii="Times New Roman" w:hAnsi="Times New Roman" w:cs="Times New Roman"/>
      </w:rPr>
    </w:lvl>
    <w:lvl w:ilvl="7" w:tentative="0">
      <w:start w:val="1"/>
      <w:numFmt w:val="lowerLetter"/>
      <w:lvlText w:val="%8)"/>
      <w:lvlJc w:val="left"/>
      <w:pPr>
        <w:ind w:left="3360" w:hanging="420"/>
      </w:pPr>
      <w:rPr>
        <w:rFonts w:hint="default" w:ascii="Times New Roman" w:hAnsi="Times New Roman" w:cs="Times New Roman"/>
      </w:rPr>
    </w:lvl>
    <w:lvl w:ilvl="8" w:tentative="0">
      <w:start w:val="1"/>
      <w:numFmt w:val="lowerRoman"/>
      <w:lvlText w:val="%9."/>
      <w:lvlJc w:val="right"/>
      <w:pPr>
        <w:ind w:left="3780" w:hanging="420"/>
      </w:pPr>
      <w:rPr>
        <w:rFonts w:hint="default" w:ascii="Times New Roman" w:hAnsi="Times New Roman" w:cs="Times New Roman"/>
      </w:rPr>
    </w:lvl>
  </w:abstractNum>
  <w:num w:numId="1">
    <w:abstractNumId w:val="4"/>
  </w:num>
  <w:num w:numId="2">
    <w:abstractNumId w:val="8"/>
  </w:num>
  <w:num w:numId="3">
    <w:abstractNumId w:val="1"/>
  </w:num>
  <w:num w:numId="4">
    <w:abstractNumId w:val="3"/>
  </w:num>
  <w:num w:numId="5">
    <w:abstractNumId w:val="2"/>
  </w:num>
  <w:num w:numId="6">
    <w:abstractNumId w:val="6"/>
  </w:num>
  <w:num w:numId="7">
    <w:abstractNumId w:val="9"/>
  </w:num>
  <w:num w:numId="8">
    <w:abstractNumId w:val="0"/>
  </w:num>
  <w:num w:numId="9">
    <w:abstractNumId w:val="7"/>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420"/>
  <w:doNotHyphenateCaps/>
  <w:drawingGridHorizontalSpacing w:val="105"/>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QyMjhkYTYyOTE5MzZkNTk3MjI4ZjVjYWI2MzM3NjkifQ=="/>
    <w:docVar w:name="KSO_WPS_MARK_KEY" w:val="8f70633e-1c7c-4144-8cf1-0c91fb8e2871"/>
  </w:docVars>
  <w:rsids>
    <w:rsidRoot w:val="00172A27"/>
    <w:rsid w:val="0000134F"/>
    <w:rsid w:val="00001532"/>
    <w:rsid w:val="0000153C"/>
    <w:rsid w:val="00001CED"/>
    <w:rsid w:val="00001E67"/>
    <w:rsid w:val="000020F0"/>
    <w:rsid w:val="00003CD8"/>
    <w:rsid w:val="000050F8"/>
    <w:rsid w:val="00006DB3"/>
    <w:rsid w:val="000119F5"/>
    <w:rsid w:val="00014965"/>
    <w:rsid w:val="0001523A"/>
    <w:rsid w:val="00015300"/>
    <w:rsid w:val="0001605A"/>
    <w:rsid w:val="00016ECB"/>
    <w:rsid w:val="00020C6B"/>
    <w:rsid w:val="000229E6"/>
    <w:rsid w:val="00023533"/>
    <w:rsid w:val="00023A30"/>
    <w:rsid w:val="00023B5E"/>
    <w:rsid w:val="000255EB"/>
    <w:rsid w:val="00025BCB"/>
    <w:rsid w:val="00026055"/>
    <w:rsid w:val="000266AA"/>
    <w:rsid w:val="000269F6"/>
    <w:rsid w:val="00031939"/>
    <w:rsid w:val="00032D25"/>
    <w:rsid w:val="00033C64"/>
    <w:rsid w:val="00036867"/>
    <w:rsid w:val="00037C76"/>
    <w:rsid w:val="00037F80"/>
    <w:rsid w:val="00040AE5"/>
    <w:rsid w:val="00041DC0"/>
    <w:rsid w:val="0004276C"/>
    <w:rsid w:val="00042CC7"/>
    <w:rsid w:val="00042D8A"/>
    <w:rsid w:val="000433AC"/>
    <w:rsid w:val="00043CC7"/>
    <w:rsid w:val="00044EA2"/>
    <w:rsid w:val="00050EB8"/>
    <w:rsid w:val="0005219D"/>
    <w:rsid w:val="00052CF2"/>
    <w:rsid w:val="000534D7"/>
    <w:rsid w:val="000549A0"/>
    <w:rsid w:val="00055599"/>
    <w:rsid w:val="0005568F"/>
    <w:rsid w:val="00057134"/>
    <w:rsid w:val="0006153D"/>
    <w:rsid w:val="00061B1F"/>
    <w:rsid w:val="00061D59"/>
    <w:rsid w:val="00062487"/>
    <w:rsid w:val="00062E1D"/>
    <w:rsid w:val="00062F4E"/>
    <w:rsid w:val="00065286"/>
    <w:rsid w:val="00065E27"/>
    <w:rsid w:val="000664DB"/>
    <w:rsid w:val="000665E8"/>
    <w:rsid w:val="000666EF"/>
    <w:rsid w:val="000674A8"/>
    <w:rsid w:val="000675CC"/>
    <w:rsid w:val="0007127D"/>
    <w:rsid w:val="00071569"/>
    <w:rsid w:val="000715EF"/>
    <w:rsid w:val="00071AE5"/>
    <w:rsid w:val="00072645"/>
    <w:rsid w:val="00072CA3"/>
    <w:rsid w:val="0007305E"/>
    <w:rsid w:val="00073EFC"/>
    <w:rsid w:val="00074783"/>
    <w:rsid w:val="00074883"/>
    <w:rsid w:val="00076E21"/>
    <w:rsid w:val="000801E0"/>
    <w:rsid w:val="000802FC"/>
    <w:rsid w:val="00080960"/>
    <w:rsid w:val="000816C5"/>
    <w:rsid w:val="00082A29"/>
    <w:rsid w:val="0008331D"/>
    <w:rsid w:val="0008344D"/>
    <w:rsid w:val="00083521"/>
    <w:rsid w:val="00083C18"/>
    <w:rsid w:val="00084DA1"/>
    <w:rsid w:val="000859A1"/>
    <w:rsid w:val="00085A50"/>
    <w:rsid w:val="00091552"/>
    <w:rsid w:val="0009198F"/>
    <w:rsid w:val="00092899"/>
    <w:rsid w:val="0009382D"/>
    <w:rsid w:val="00094758"/>
    <w:rsid w:val="00094AFF"/>
    <w:rsid w:val="00097157"/>
    <w:rsid w:val="000A15A7"/>
    <w:rsid w:val="000A178E"/>
    <w:rsid w:val="000A557E"/>
    <w:rsid w:val="000A5FF7"/>
    <w:rsid w:val="000A6812"/>
    <w:rsid w:val="000A7091"/>
    <w:rsid w:val="000B03C1"/>
    <w:rsid w:val="000B058F"/>
    <w:rsid w:val="000B0E05"/>
    <w:rsid w:val="000B2AA7"/>
    <w:rsid w:val="000B3330"/>
    <w:rsid w:val="000B44E8"/>
    <w:rsid w:val="000B5B74"/>
    <w:rsid w:val="000B5CBC"/>
    <w:rsid w:val="000B693F"/>
    <w:rsid w:val="000B7590"/>
    <w:rsid w:val="000C09AC"/>
    <w:rsid w:val="000C0A63"/>
    <w:rsid w:val="000C0AC6"/>
    <w:rsid w:val="000C0F62"/>
    <w:rsid w:val="000C12CA"/>
    <w:rsid w:val="000C28A1"/>
    <w:rsid w:val="000C3395"/>
    <w:rsid w:val="000C437E"/>
    <w:rsid w:val="000C71A4"/>
    <w:rsid w:val="000D15AC"/>
    <w:rsid w:val="000D1839"/>
    <w:rsid w:val="000D21CA"/>
    <w:rsid w:val="000D2208"/>
    <w:rsid w:val="000D366D"/>
    <w:rsid w:val="000D3793"/>
    <w:rsid w:val="000D62D7"/>
    <w:rsid w:val="000D673B"/>
    <w:rsid w:val="000D7EE9"/>
    <w:rsid w:val="000E025E"/>
    <w:rsid w:val="000E3E10"/>
    <w:rsid w:val="000E468B"/>
    <w:rsid w:val="000E4CB9"/>
    <w:rsid w:val="000E5F16"/>
    <w:rsid w:val="000E6107"/>
    <w:rsid w:val="000E6B03"/>
    <w:rsid w:val="000E7B90"/>
    <w:rsid w:val="000F152A"/>
    <w:rsid w:val="000F171B"/>
    <w:rsid w:val="000F3548"/>
    <w:rsid w:val="000F4452"/>
    <w:rsid w:val="000F5568"/>
    <w:rsid w:val="000F6DA1"/>
    <w:rsid w:val="000F701B"/>
    <w:rsid w:val="001007EA"/>
    <w:rsid w:val="0010114E"/>
    <w:rsid w:val="00102D42"/>
    <w:rsid w:val="00103122"/>
    <w:rsid w:val="001056A0"/>
    <w:rsid w:val="001061D1"/>
    <w:rsid w:val="0010735E"/>
    <w:rsid w:val="0011068C"/>
    <w:rsid w:val="001109BB"/>
    <w:rsid w:val="001111D5"/>
    <w:rsid w:val="001122E7"/>
    <w:rsid w:val="0011313F"/>
    <w:rsid w:val="001140AC"/>
    <w:rsid w:val="001141D9"/>
    <w:rsid w:val="00114C0B"/>
    <w:rsid w:val="00114F9A"/>
    <w:rsid w:val="00115279"/>
    <w:rsid w:val="001153BE"/>
    <w:rsid w:val="00115704"/>
    <w:rsid w:val="00115840"/>
    <w:rsid w:val="001163AC"/>
    <w:rsid w:val="00117459"/>
    <w:rsid w:val="0011749A"/>
    <w:rsid w:val="00117F90"/>
    <w:rsid w:val="00121B9A"/>
    <w:rsid w:val="00122547"/>
    <w:rsid w:val="00123D35"/>
    <w:rsid w:val="001256B5"/>
    <w:rsid w:val="00127A68"/>
    <w:rsid w:val="00127CE0"/>
    <w:rsid w:val="00130DD1"/>
    <w:rsid w:val="00132065"/>
    <w:rsid w:val="00133D51"/>
    <w:rsid w:val="0013767E"/>
    <w:rsid w:val="0014073B"/>
    <w:rsid w:val="00140B13"/>
    <w:rsid w:val="00140CE2"/>
    <w:rsid w:val="001418D0"/>
    <w:rsid w:val="00141B68"/>
    <w:rsid w:val="00141EF5"/>
    <w:rsid w:val="00142376"/>
    <w:rsid w:val="001434AE"/>
    <w:rsid w:val="00143DD4"/>
    <w:rsid w:val="00144C59"/>
    <w:rsid w:val="00145729"/>
    <w:rsid w:val="00145BA4"/>
    <w:rsid w:val="001466DA"/>
    <w:rsid w:val="00146993"/>
    <w:rsid w:val="00150CED"/>
    <w:rsid w:val="00151160"/>
    <w:rsid w:val="001517C7"/>
    <w:rsid w:val="00152777"/>
    <w:rsid w:val="0015289E"/>
    <w:rsid w:val="001536CA"/>
    <w:rsid w:val="00154854"/>
    <w:rsid w:val="00154CFB"/>
    <w:rsid w:val="00154DE1"/>
    <w:rsid w:val="00154F78"/>
    <w:rsid w:val="00155B40"/>
    <w:rsid w:val="00156692"/>
    <w:rsid w:val="00157435"/>
    <w:rsid w:val="0016127F"/>
    <w:rsid w:val="00161E8A"/>
    <w:rsid w:val="00161EB7"/>
    <w:rsid w:val="00162C49"/>
    <w:rsid w:val="00163EEA"/>
    <w:rsid w:val="00165212"/>
    <w:rsid w:val="00165605"/>
    <w:rsid w:val="00167005"/>
    <w:rsid w:val="00167A07"/>
    <w:rsid w:val="00167E35"/>
    <w:rsid w:val="0017046A"/>
    <w:rsid w:val="001704A3"/>
    <w:rsid w:val="00170DEA"/>
    <w:rsid w:val="00170F74"/>
    <w:rsid w:val="0017139C"/>
    <w:rsid w:val="00171978"/>
    <w:rsid w:val="00171D9B"/>
    <w:rsid w:val="00172A27"/>
    <w:rsid w:val="00173018"/>
    <w:rsid w:val="00173956"/>
    <w:rsid w:val="001743EA"/>
    <w:rsid w:val="0017504D"/>
    <w:rsid w:val="00175C81"/>
    <w:rsid w:val="00177422"/>
    <w:rsid w:val="00177A08"/>
    <w:rsid w:val="00180387"/>
    <w:rsid w:val="00180579"/>
    <w:rsid w:val="001807CA"/>
    <w:rsid w:val="00180CB1"/>
    <w:rsid w:val="00181A45"/>
    <w:rsid w:val="00181B57"/>
    <w:rsid w:val="00181DF8"/>
    <w:rsid w:val="00182F4D"/>
    <w:rsid w:val="00183739"/>
    <w:rsid w:val="0018380D"/>
    <w:rsid w:val="001840E3"/>
    <w:rsid w:val="0018431C"/>
    <w:rsid w:val="00184F10"/>
    <w:rsid w:val="00184FFB"/>
    <w:rsid w:val="00185546"/>
    <w:rsid w:val="0019052D"/>
    <w:rsid w:val="0019146B"/>
    <w:rsid w:val="00191C98"/>
    <w:rsid w:val="001921FE"/>
    <w:rsid w:val="001927A3"/>
    <w:rsid w:val="00193A57"/>
    <w:rsid w:val="00194299"/>
    <w:rsid w:val="00194398"/>
    <w:rsid w:val="00194CE2"/>
    <w:rsid w:val="00196468"/>
    <w:rsid w:val="001979C0"/>
    <w:rsid w:val="00197F1E"/>
    <w:rsid w:val="001A4EFC"/>
    <w:rsid w:val="001A5B0D"/>
    <w:rsid w:val="001A5CEF"/>
    <w:rsid w:val="001A6683"/>
    <w:rsid w:val="001A6CDD"/>
    <w:rsid w:val="001A74C5"/>
    <w:rsid w:val="001A7C6C"/>
    <w:rsid w:val="001A7D2A"/>
    <w:rsid w:val="001A7F99"/>
    <w:rsid w:val="001B1EC5"/>
    <w:rsid w:val="001B22B9"/>
    <w:rsid w:val="001B42BE"/>
    <w:rsid w:val="001B522F"/>
    <w:rsid w:val="001B56C5"/>
    <w:rsid w:val="001B574C"/>
    <w:rsid w:val="001C077A"/>
    <w:rsid w:val="001C0AF9"/>
    <w:rsid w:val="001C0BF6"/>
    <w:rsid w:val="001C155A"/>
    <w:rsid w:val="001C15C8"/>
    <w:rsid w:val="001C1790"/>
    <w:rsid w:val="001C1AC3"/>
    <w:rsid w:val="001C2C63"/>
    <w:rsid w:val="001C3C7C"/>
    <w:rsid w:val="001C4332"/>
    <w:rsid w:val="001C48C0"/>
    <w:rsid w:val="001C6B5A"/>
    <w:rsid w:val="001C75C9"/>
    <w:rsid w:val="001D1250"/>
    <w:rsid w:val="001D1916"/>
    <w:rsid w:val="001D278E"/>
    <w:rsid w:val="001D3619"/>
    <w:rsid w:val="001D3841"/>
    <w:rsid w:val="001D3FA5"/>
    <w:rsid w:val="001D482C"/>
    <w:rsid w:val="001D651E"/>
    <w:rsid w:val="001D661F"/>
    <w:rsid w:val="001D6726"/>
    <w:rsid w:val="001D677B"/>
    <w:rsid w:val="001D7B7A"/>
    <w:rsid w:val="001D7F21"/>
    <w:rsid w:val="001E0660"/>
    <w:rsid w:val="001E0686"/>
    <w:rsid w:val="001E186B"/>
    <w:rsid w:val="001E44F9"/>
    <w:rsid w:val="001E58CE"/>
    <w:rsid w:val="001E6712"/>
    <w:rsid w:val="001E74DA"/>
    <w:rsid w:val="001E78C8"/>
    <w:rsid w:val="001F3005"/>
    <w:rsid w:val="001F3347"/>
    <w:rsid w:val="001F3465"/>
    <w:rsid w:val="001F4440"/>
    <w:rsid w:val="001F4B17"/>
    <w:rsid w:val="001F5148"/>
    <w:rsid w:val="001F69E4"/>
    <w:rsid w:val="001F7B0E"/>
    <w:rsid w:val="00201F9F"/>
    <w:rsid w:val="00203FAF"/>
    <w:rsid w:val="00204712"/>
    <w:rsid w:val="00204AEB"/>
    <w:rsid w:val="002051F8"/>
    <w:rsid w:val="00205A91"/>
    <w:rsid w:val="00206A65"/>
    <w:rsid w:val="00210102"/>
    <w:rsid w:val="00210855"/>
    <w:rsid w:val="0021130B"/>
    <w:rsid w:val="00211D02"/>
    <w:rsid w:val="002129E1"/>
    <w:rsid w:val="00212D31"/>
    <w:rsid w:val="002130C7"/>
    <w:rsid w:val="00214536"/>
    <w:rsid w:val="002149A4"/>
    <w:rsid w:val="00214DE6"/>
    <w:rsid w:val="002158C1"/>
    <w:rsid w:val="002162BC"/>
    <w:rsid w:val="002218A8"/>
    <w:rsid w:val="0022196F"/>
    <w:rsid w:val="00222CA6"/>
    <w:rsid w:val="0022306D"/>
    <w:rsid w:val="0022608B"/>
    <w:rsid w:val="00226568"/>
    <w:rsid w:val="00226574"/>
    <w:rsid w:val="002278EC"/>
    <w:rsid w:val="002279F8"/>
    <w:rsid w:val="00230892"/>
    <w:rsid w:val="00230E4A"/>
    <w:rsid w:val="00232170"/>
    <w:rsid w:val="00232D9E"/>
    <w:rsid w:val="00234454"/>
    <w:rsid w:val="0023477C"/>
    <w:rsid w:val="00235113"/>
    <w:rsid w:val="002357C7"/>
    <w:rsid w:val="002367C4"/>
    <w:rsid w:val="00237561"/>
    <w:rsid w:val="00237DA4"/>
    <w:rsid w:val="0024005E"/>
    <w:rsid w:val="0024174F"/>
    <w:rsid w:val="0024328E"/>
    <w:rsid w:val="002438BD"/>
    <w:rsid w:val="00247447"/>
    <w:rsid w:val="00251031"/>
    <w:rsid w:val="00251F4D"/>
    <w:rsid w:val="002522DC"/>
    <w:rsid w:val="002529A0"/>
    <w:rsid w:val="0025407C"/>
    <w:rsid w:val="0025679E"/>
    <w:rsid w:val="00257462"/>
    <w:rsid w:val="0026000C"/>
    <w:rsid w:val="00260696"/>
    <w:rsid w:val="00260C68"/>
    <w:rsid w:val="00261156"/>
    <w:rsid w:val="00261309"/>
    <w:rsid w:val="00261428"/>
    <w:rsid w:val="00261B9C"/>
    <w:rsid w:val="0026235B"/>
    <w:rsid w:val="00262C52"/>
    <w:rsid w:val="00263223"/>
    <w:rsid w:val="0026338A"/>
    <w:rsid w:val="00263D3A"/>
    <w:rsid w:val="002642EF"/>
    <w:rsid w:val="002648B0"/>
    <w:rsid w:val="002649F8"/>
    <w:rsid w:val="00265B3A"/>
    <w:rsid w:val="00266627"/>
    <w:rsid w:val="0027130C"/>
    <w:rsid w:val="00271BCC"/>
    <w:rsid w:val="00274FDD"/>
    <w:rsid w:val="00275271"/>
    <w:rsid w:val="0027535E"/>
    <w:rsid w:val="00275AA6"/>
    <w:rsid w:val="00276BA4"/>
    <w:rsid w:val="0027787D"/>
    <w:rsid w:val="002802A0"/>
    <w:rsid w:val="002807D5"/>
    <w:rsid w:val="002818FE"/>
    <w:rsid w:val="00281FCA"/>
    <w:rsid w:val="0028225F"/>
    <w:rsid w:val="00282CCD"/>
    <w:rsid w:val="00282F41"/>
    <w:rsid w:val="00283C0B"/>
    <w:rsid w:val="00284244"/>
    <w:rsid w:val="0028491F"/>
    <w:rsid w:val="00285CF4"/>
    <w:rsid w:val="002863C2"/>
    <w:rsid w:val="002900FA"/>
    <w:rsid w:val="00291DDE"/>
    <w:rsid w:val="00292224"/>
    <w:rsid w:val="0029252B"/>
    <w:rsid w:val="00292D23"/>
    <w:rsid w:val="00293084"/>
    <w:rsid w:val="0029379F"/>
    <w:rsid w:val="0029431F"/>
    <w:rsid w:val="00294F56"/>
    <w:rsid w:val="0029588F"/>
    <w:rsid w:val="00296530"/>
    <w:rsid w:val="002976B7"/>
    <w:rsid w:val="0029781B"/>
    <w:rsid w:val="00297C24"/>
    <w:rsid w:val="002A03E3"/>
    <w:rsid w:val="002A168C"/>
    <w:rsid w:val="002A17E8"/>
    <w:rsid w:val="002A2C48"/>
    <w:rsid w:val="002A399A"/>
    <w:rsid w:val="002A3EED"/>
    <w:rsid w:val="002A4A39"/>
    <w:rsid w:val="002A58C8"/>
    <w:rsid w:val="002A5A17"/>
    <w:rsid w:val="002A6425"/>
    <w:rsid w:val="002A7758"/>
    <w:rsid w:val="002B3C36"/>
    <w:rsid w:val="002B447B"/>
    <w:rsid w:val="002B49E2"/>
    <w:rsid w:val="002B49F7"/>
    <w:rsid w:val="002B4F0E"/>
    <w:rsid w:val="002B68B7"/>
    <w:rsid w:val="002B6F04"/>
    <w:rsid w:val="002B7519"/>
    <w:rsid w:val="002B7A08"/>
    <w:rsid w:val="002B7B00"/>
    <w:rsid w:val="002B7C44"/>
    <w:rsid w:val="002C0503"/>
    <w:rsid w:val="002C1388"/>
    <w:rsid w:val="002C1596"/>
    <w:rsid w:val="002C1C65"/>
    <w:rsid w:val="002C27D3"/>
    <w:rsid w:val="002C2B7E"/>
    <w:rsid w:val="002C3108"/>
    <w:rsid w:val="002C3311"/>
    <w:rsid w:val="002C3C6A"/>
    <w:rsid w:val="002C5145"/>
    <w:rsid w:val="002C5B58"/>
    <w:rsid w:val="002C5C7A"/>
    <w:rsid w:val="002C6E64"/>
    <w:rsid w:val="002D0006"/>
    <w:rsid w:val="002D0B92"/>
    <w:rsid w:val="002D0ECC"/>
    <w:rsid w:val="002D3464"/>
    <w:rsid w:val="002D40A7"/>
    <w:rsid w:val="002D42DB"/>
    <w:rsid w:val="002D753A"/>
    <w:rsid w:val="002E04D5"/>
    <w:rsid w:val="002E09C8"/>
    <w:rsid w:val="002E0B4D"/>
    <w:rsid w:val="002E111C"/>
    <w:rsid w:val="002E1630"/>
    <w:rsid w:val="002E1F3A"/>
    <w:rsid w:val="002E298A"/>
    <w:rsid w:val="002E5DB6"/>
    <w:rsid w:val="002E68D5"/>
    <w:rsid w:val="002E74C9"/>
    <w:rsid w:val="002E75C6"/>
    <w:rsid w:val="002E7D89"/>
    <w:rsid w:val="002F02A4"/>
    <w:rsid w:val="002F06CF"/>
    <w:rsid w:val="002F272B"/>
    <w:rsid w:val="002F27BC"/>
    <w:rsid w:val="002F359D"/>
    <w:rsid w:val="002F3E6C"/>
    <w:rsid w:val="002F4320"/>
    <w:rsid w:val="002F453D"/>
    <w:rsid w:val="002F4AFA"/>
    <w:rsid w:val="002F534B"/>
    <w:rsid w:val="002F655F"/>
    <w:rsid w:val="002F7274"/>
    <w:rsid w:val="002F73E5"/>
    <w:rsid w:val="002F7C6D"/>
    <w:rsid w:val="0030059E"/>
    <w:rsid w:val="003005E5"/>
    <w:rsid w:val="003008E3"/>
    <w:rsid w:val="00300BFE"/>
    <w:rsid w:val="003020A5"/>
    <w:rsid w:val="003027E4"/>
    <w:rsid w:val="00302D41"/>
    <w:rsid w:val="00302EFE"/>
    <w:rsid w:val="0030332C"/>
    <w:rsid w:val="00304A03"/>
    <w:rsid w:val="00305FAA"/>
    <w:rsid w:val="00306B4E"/>
    <w:rsid w:val="003103E9"/>
    <w:rsid w:val="00311704"/>
    <w:rsid w:val="00312296"/>
    <w:rsid w:val="0031340E"/>
    <w:rsid w:val="00313DD1"/>
    <w:rsid w:val="00313FA8"/>
    <w:rsid w:val="003147AF"/>
    <w:rsid w:val="00314E6B"/>
    <w:rsid w:val="003159E1"/>
    <w:rsid w:val="00316464"/>
    <w:rsid w:val="003200ED"/>
    <w:rsid w:val="0032073A"/>
    <w:rsid w:val="003211D3"/>
    <w:rsid w:val="0032144B"/>
    <w:rsid w:val="0032160E"/>
    <w:rsid w:val="00321D8E"/>
    <w:rsid w:val="00322455"/>
    <w:rsid w:val="00322708"/>
    <w:rsid w:val="00322838"/>
    <w:rsid w:val="003271CF"/>
    <w:rsid w:val="003278F0"/>
    <w:rsid w:val="00327E0F"/>
    <w:rsid w:val="00327FCF"/>
    <w:rsid w:val="00331416"/>
    <w:rsid w:val="003317FC"/>
    <w:rsid w:val="00332445"/>
    <w:rsid w:val="003326E3"/>
    <w:rsid w:val="003343C9"/>
    <w:rsid w:val="00334996"/>
    <w:rsid w:val="00335006"/>
    <w:rsid w:val="00336008"/>
    <w:rsid w:val="003362E2"/>
    <w:rsid w:val="00336969"/>
    <w:rsid w:val="00336C52"/>
    <w:rsid w:val="00340DC3"/>
    <w:rsid w:val="00341B3E"/>
    <w:rsid w:val="00341B42"/>
    <w:rsid w:val="003431DD"/>
    <w:rsid w:val="00344085"/>
    <w:rsid w:val="00345154"/>
    <w:rsid w:val="0034560E"/>
    <w:rsid w:val="00345704"/>
    <w:rsid w:val="00345B57"/>
    <w:rsid w:val="00350523"/>
    <w:rsid w:val="00352670"/>
    <w:rsid w:val="00352975"/>
    <w:rsid w:val="0035319C"/>
    <w:rsid w:val="00355B3A"/>
    <w:rsid w:val="00355E39"/>
    <w:rsid w:val="00356868"/>
    <w:rsid w:val="00360CC2"/>
    <w:rsid w:val="00362A58"/>
    <w:rsid w:val="00362EAD"/>
    <w:rsid w:val="00363039"/>
    <w:rsid w:val="00363A83"/>
    <w:rsid w:val="0036485B"/>
    <w:rsid w:val="003664F8"/>
    <w:rsid w:val="00367956"/>
    <w:rsid w:val="00370D83"/>
    <w:rsid w:val="00371D89"/>
    <w:rsid w:val="00372AAF"/>
    <w:rsid w:val="00373B0D"/>
    <w:rsid w:val="00375BCD"/>
    <w:rsid w:val="00376988"/>
    <w:rsid w:val="00376DC1"/>
    <w:rsid w:val="003778D9"/>
    <w:rsid w:val="00381A72"/>
    <w:rsid w:val="00381F5F"/>
    <w:rsid w:val="0038362A"/>
    <w:rsid w:val="00383A76"/>
    <w:rsid w:val="00384FA0"/>
    <w:rsid w:val="00385AE9"/>
    <w:rsid w:val="00385BC4"/>
    <w:rsid w:val="00387515"/>
    <w:rsid w:val="00387685"/>
    <w:rsid w:val="00391848"/>
    <w:rsid w:val="0039421F"/>
    <w:rsid w:val="003944CC"/>
    <w:rsid w:val="003944FD"/>
    <w:rsid w:val="00394FAF"/>
    <w:rsid w:val="003963FB"/>
    <w:rsid w:val="00396BC9"/>
    <w:rsid w:val="003A081C"/>
    <w:rsid w:val="003A0F1E"/>
    <w:rsid w:val="003A131E"/>
    <w:rsid w:val="003A14EF"/>
    <w:rsid w:val="003A1598"/>
    <w:rsid w:val="003A1948"/>
    <w:rsid w:val="003A2A86"/>
    <w:rsid w:val="003A3393"/>
    <w:rsid w:val="003A33E6"/>
    <w:rsid w:val="003A4151"/>
    <w:rsid w:val="003A41EB"/>
    <w:rsid w:val="003A45EE"/>
    <w:rsid w:val="003A69BD"/>
    <w:rsid w:val="003A75F2"/>
    <w:rsid w:val="003B0722"/>
    <w:rsid w:val="003B152A"/>
    <w:rsid w:val="003B21F1"/>
    <w:rsid w:val="003B26E3"/>
    <w:rsid w:val="003B2B91"/>
    <w:rsid w:val="003B31D3"/>
    <w:rsid w:val="003B4548"/>
    <w:rsid w:val="003B479F"/>
    <w:rsid w:val="003B545B"/>
    <w:rsid w:val="003B551F"/>
    <w:rsid w:val="003B62E0"/>
    <w:rsid w:val="003C098D"/>
    <w:rsid w:val="003C43B2"/>
    <w:rsid w:val="003C6929"/>
    <w:rsid w:val="003C6969"/>
    <w:rsid w:val="003C6DC5"/>
    <w:rsid w:val="003D08BC"/>
    <w:rsid w:val="003D28DC"/>
    <w:rsid w:val="003D304F"/>
    <w:rsid w:val="003D3EE9"/>
    <w:rsid w:val="003D62C7"/>
    <w:rsid w:val="003D658D"/>
    <w:rsid w:val="003D6726"/>
    <w:rsid w:val="003D6DDD"/>
    <w:rsid w:val="003E0835"/>
    <w:rsid w:val="003E0C4C"/>
    <w:rsid w:val="003E153D"/>
    <w:rsid w:val="003E17D2"/>
    <w:rsid w:val="003E219E"/>
    <w:rsid w:val="003E2721"/>
    <w:rsid w:val="003E34ED"/>
    <w:rsid w:val="003E3EEB"/>
    <w:rsid w:val="003E4877"/>
    <w:rsid w:val="003E6556"/>
    <w:rsid w:val="003E6AD6"/>
    <w:rsid w:val="003E6B6A"/>
    <w:rsid w:val="003E7681"/>
    <w:rsid w:val="003F0493"/>
    <w:rsid w:val="003F066F"/>
    <w:rsid w:val="003F0809"/>
    <w:rsid w:val="003F134F"/>
    <w:rsid w:val="003F611C"/>
    <w:rsid w:val="003F677E"/>
    <w:rsid w:val="003F6832"/>
    <w:rsid w:val="003F755C"/>
    <w:rsid w:val="00400D9E"/>
    <w:rsid w:val="00400FE1"/>
    <w:rsid w:val="00401715"/>
    <w:rsid w:val="00402592"/>
    <w:rsid w:val="004035D5"/>
    <w:rsid w:val="00403A71"/>
    <w:rsid w:val="00404C4A"/>
    <w:rsid w:val="00406F01"/>
    <w:rsid w:val="004106BF"/>
    <w:rsid w:val="004109BE"/>
    <w:rsid w:val="004109DC"/>
    <w:rsid w:val="0041182B"/>
    <w:rsid w:val="00411B36"/>
    <w:rsid w:val="004121D7"/>
    <w:rsid w:val="00412D46"/>
    <w:rsid w:val="0041360E"/>
    <w:rsid w:val="004148BA"/>
    <w:rsid w:val="00415733"/>
    <w:rsid w:val="00416D50"/>
    <w:rsid w:val="004170B9"/>
    <w:rsid w:val="00417772"/>
    <w:rsid w:val="00420E6A"/>
    <w:rsid w:val="00422D93"/>
    <w:rsid w:val="00423288"/>
    <w:rsid w:val="004242E9"/>
    <w:rsid w:val="00424539"/>
    <w:rsid w:val="00425768"/>
    <w:rsid w:val="00425CB7"/>
    <w:rsid w:val="00425EF2"/>
    <w:rsid w:val="0042719C"/>
    <w:rsid w:val="00427D53"/>
    <w:rsid w:val="00430CF2"/>
    <w:rsid w:val="00432E27"/>
    <w:rsid w:val="00433CA9"/>
    <w:rsid w:val="004347A4"/>
    <w:rsid w:val="0043502E"/>
    <w:rsid w:val="0043521D"/>
    <w:rsid w:val="00436E29"/>
    <w:rsid w:val="00436E96"/>
    <w:rsid w:val="004374A8"/>
    <w:rsid w:val="00437EB8"/>
    <w:rsid w:val="00440258"/>
    <w:rsid w:val="004405F4"/>
    <w:rsid w:val="00440E1F"/>
    <w:rsid w:val="00441827"/>
    <w:rsid w:val="00442024"/>
    <w:rsid w:val="0044254C"/>
    <w:rsid w:val="00443F6A"/>
    <w:rsid w:val="00444B52"/>
    <w:rsid w:val="00446D48"/>
    <w:rsid w:val="00447633"/>
    <w:rsid w:val="00447F61"/>
    <w:rsid w:val="00450A17"/>
    <w:rsid w:val="00451C3C"/>
    <w:rsid w:val="0045347A"/>
    <w:rsid w:val="00454113"/>
    <w:rsid w:val="00456626"/>
    <w:rsid w:val="00457923"/>
    <w:rsid w:val="004627DA"/>
    <w:rsid w:val="00463A10"/>
    <w:rsid w:val="00463EEB"/>
    <w:rsid w:val="00465A89"/>
    <w:rsid w:val="00466321"/>
    <w:rsid w:val="00466871"/>
    <w:rsid w:val="00466C49"/>
    <w:rsid w:val="004672AF"/>
    <w:rsid w:val="0046770F"/>
    <w:rsid w:val="00470254"/>
    <w:rsid w:val="0047038B"/>
    <w:rsid w:val="004704D8"/>
    <w:rsid w:val="004706CB"/>
    <w:rsid w:val="00471070"/>
    <w:rsid w:val="00471BC5"/>
    <w:rsid w:val="004727B0"/>
    <w:rsid w:val="00472A6A"/>
    <w:rsid w:val="00473A81"/>
    <w:rsid w:val="00473F02"/>
    <w:rsid w:val="00474154"/>
    <w:rsid w:val="00476688"/>
    <w:rsid w:val="00476D5B"/>
    <w:rsid w:val="00476DCA"/>
    <w:rsid w:val="00477995"/>
    <w:rsid w:val="00480247"/>
    <w:rsid w:val="0048081D"/>
    <w:rsid w:val="0048117E"/>
    <w:rsid w:val="00481797"/>
    <w:rsid w:val="004839B6"/>
    <w:rsid w:val="00483DEA"/>
    <w:rsid w:val="004855F6"/>
    <w:rsid w:val="00486F0C"/>
    <w:rsid w:val="0048726F"/>
    <w:rsid w:val="00487516"/>
    <w:rsid w:val="0048781E"/>
    <w:rsid w:val="00491285"/>
    <w:rsid w:val="00492963"/>
    <w:rsid w:val="004940A0"/>
    <w:rsid w:val="00494670"/>
    <w:rsid w:val="004946A3"/>
    <w:rsid w:val="00494BBB"/>
    <w:rsid w:val="00494F63"/>
    <w:rsid w:val="00494FD6"/>
    <w:rsid w:val="00495C69"/>
    <w:rsid w:val="004964F8"/>
    <w:rsid w:val="004969C6"/>
    <w:rsid w:val="00496A9E"/>
    <w:rsid w:val="004A0EB4"/>
    <w:rsid w:val="004A1114"/>
    <w:rsid w:val="004A1446"/>
    <w:rsid w:val="004A2452"/>
    <w:rsid w:val="004A348D"/>
    <w:rsid w:val="004A3823"/>
    <w:rsid w:val="004A471D"/>
    <w:rsid w:val="004A59BB"/>
    <w:rsid w:val="004A7024"/>
    <w:rsid w:val="004B090F"/>
    <w:rsid w:val="004B15B7"/>
    <w:rsid w:val="004B1E1B"/>
    <w:rsid w:val="004B317D"/>
    <w:rsid w:val="004B3490"/>
    <w:rsid w:val="004B3559"/>
    <w:rsid w:val="004B3BAF"/>
    <w:rsid w:val="004B43A3"/>
    <w:rsid w:val="004B4C49"/>
    <w:rsid w:val="004B58A5"/>
    <w:rsid w:val="004B5DA4"/>
    <w:rsid w:val="004B63D9"/>
    <w:rsid w:val="004C0882"/>
    <w:rsid w:val="004C1088"/>
    <w:rsid w:val="004C30FF"/>
    <w:rsid w:val="004C402E"/>
    <w:rsid w:val="004C50FE"/>
    <w:rsid w:val="004C532F"/>
    <w:rsid w:val="004C55BE"/>
    <w:rsid w:val="004C55DB"/>
    <w:rsid w:val="004C597C"/>
    <w:rsid w:val="004C6782"/>
    <w:rsid w:val="004C6AD0"/>
    <w:rsid w:val="004C6B59"/>
    <w:rsid w:val="004C6F12"/>
    <w:rsid w:val="004D0D27"/>
    <w:rsid w:val="004D0D6D"/>
    <w:rsid w:val="004D0E4F"/>
    <w:rsid w:val="004D2414"/>
    <w:rsid w:val="004D305D"/>
    <w:rsid w:val="004D3B81"/>
    <w:rsid w:val="004D3DB9"/>
    <w:rsid w:val="004D4EC7"/>
    <w:rsid w:val="004D58DC"/>
    <w:rsid w:val="004D66B6"/>
    <w:rsid w:val="004D7CE5"/>
    <w:rsid w:val="004E199B"/>
    <w:rsid w:val="004E33C3"/>
    <w:rsid w:val="004E3F6E"/>
    <w:rsid w:val="004E5809"/>
    <w:rsid w:val="004E5B30"/>
    <w:rsid w:val="004E7A68"/>
    <w:rsid w:val="004E7E74"/>
    <w:rsid w:val="004F0779"/>
    <w:rsid w:val="004F1230"/>
    <w:rsid w:val="004F173F"/>
    <w:rsid w:val="004F177C"/>
    <w:rsid w:val="004F178F"/>
    <w:rsid w:val="004F1AA8"/>
    <w:rsid w:val="004F1EF3"/>
    <w:rsid w:val="004F2289"/>
    <w:rsid w:val="004F2DCE"/>
    <w:rsid w:val="004F383B"/>
    <w:rsid w:val="004F5D87"/>
    <w:rsid w:val="004F6F18"/>
    <w:rsid w:val="004F77B4"/>
    <w:rsid w:val="004F7DE4"/>
    <w:rsid w:val="004F7F68"/>
    <w:rsid w:val="0050013E"/>
    <w:rsid w:val="00500537"/>
    <w:rsid w:val="00501178"/>
    <w:rsid w:val="005019B0"/>
    <w:rsid w:val="00503479"/>
    <w:rsid w:val="005034C1"/>
    <w:rsid w:val="005039CB"/>
    <w:rsid w:val="00504637"/>
    <w:rsid w:val="0050558F"/>
    <w:rsid w:val="005057E0"/>
    <w:rsid w:val="00506286"/>
    <w:rsid w:val="00506D13"/>
    <w:rsid w:val="00510813"/>
    <w:rsid w:val="00510F22"/>
    <w:rsid w:val="00511272"/>
    <w:rsid w:val="00511D20"/>
    <w:rsid w:val="00511DE0"/>
    <w:rsid w:val="00512E9A"/>
    <w:rsid w:val="005131D9"/>
    <w:rsid w:val="0051387D"/>
    <w:rsid w:val="005138B3"/>
    <w:rsid w:val="00514581"/>
    <w:rsid w:val="0051538A"/>
    <w:rsid w:val="0051599A"/>
    <w:rsid w:val="00517CA8"/>
    <w:rsid w:val="00517F02"/>
    <w:rsid w:val="00522C8B"/>
    <w:rsid w:val="00523CC0"/>
    <w:rsid w:val="00524100"/>
    <w:rsid w:val="00524547"/>
    <w:rsid w:val="00524E1C"/>
    <w:rsid w:val="005258A2"/>
    <w:rsid w:val="005262A8"/>
    <w:rsid w:val="00526653"/>
    <w:rsid w:val="00527C81"/>
    <w:rsid w:val="0053056E"/>
    <w:rsid w:val="00530717"/>
    <w:rsid w:val="00530F7C"/>
    <w:rsid w:val="00531923"/>
    <w:rsid w:val="0053394F"/>
    <w:rsid w:val="00534567"/>
    <w:rsid w:val="00534F43"/>
    <w:rsid w:val="00535A84"/>
    <w:rsid w:val="00535AA4"/>
    <w:rsid w:val="00535F31"/>
    <w:rsid w:val="00536889"/>
    <w:rsid w:val="00536CFD"/>
    <w:rsid w:val="00540F64"/>
    <w:rsid w:val="00541130"/>
    <w:rsid w:val="00541AD9"/>
    <w:rsid w:val="00542E07"/>
    <w:rsid w:val="00544358"/>
    <w:rsid w:val="00544ADB"/>
    <w:rsid w:val="00545388"/>
    <w:rsid w:val="005471B2"/>
    <w:rsid w:val="00547534"/>
    <w:rsid w:val="005479B9"/>
    <w:rsid w:val="0055008C"/>
    <w:rsid w:val="00552F84"/>
    <w:rsid w:val="0055388D"/>
    <w:rsid w:val="005539EE"/>
    <w:rsid w:val="00554A39"/>
    <w:rsid w:val="00554A7B"/>
    <w:rsid w:val="0055572C"/>
    <w:rsid w:val="00556755"/>
    <w:rsid w:val="00556F22"/>
    <w:rsid w:val="00557780"/>
    <w:rsid w:val="0056064F"/>
    <w:rsid w:val="00561069"/>
    <w:rsid w:val="005619A6"/>
    <w:rsid w:val="00561B84"/>
    <w:rsid w:val="00561BA7"/>
    <w:rsid w:val="00561FD1"/>
    <w:rsid w:val="005624B5"/>
    <w:rsid w:val="005625E9"/>
    <w:rsid w:val="005629BD"/>
    <w:rsid w:val="00565834"/>
    <w:rsid w:val="0057146F"/>
    <w:rsid w:val="00571B4C"/>
    <w:rsid w:val="00571D98"/>
    <w:rsid w:val="005720AE"/>
    <w:rsid w:val="00572380"/>
    <w:rsid w:val="00573015"/>
    <w:rsid w:val="0057307D"/>
    <w:rsid w:val="005731A5"/>
    <w:rsid w:val="00574251"/>
    <w:rsid w:val="005742CF"/>
    <w:rsid w:val="00575035"/>
    <w:rsid w:val="005752FA"/>
    <w:rsid w:val="005755AA"/>
    <w:rsid w:val="0057674D"/>
    <w:rsid w:val="0058030D"/>
    <w:rsid w:val="00580BEF"/>
    <w:rsid w:val="0058131A"/>
    <w:rsid w:val="00581689"/>
    <w:rsid w:val="00581E96"/>
    <w:rsid w:val="00582045"/>
    <w:rsid w:val="00583380"/>
    <w:rsid w:val="0058527C"/>
    <w:rsid w:val="00586F5E"/>
    <w:rsid w:val="00587FCE"/>
    <w:rsid w:val="00590AE3"/>
    <w:rsid w:val="0059126C"/>
    <w:rsid w:val="005918F1"/>
    <w:rsid w:val="00591DC7"/>
    <w:rsid w:val="00593059"/>
    <w:rsid w:val="00594A8E"/>
    <w:rsid w:val="00595358"/>
    <w:rsid w:val="0059711C"/>
    <w:rsid w:val="005A06B7"/>
    <w:rsid w:val="005A0F93"/>
    <w:rsid w:val="005A1759"/>
    <w:rsid w:val="005A1997"/>
    <w:rsid w:val="005A2C46"/>
    <w:rsid w:val="005A37E5"/>
    <w:rsid w:val="005A4054"/>
    <w:rsid w:val="005A613F"/>
    <w:rsid w:val="005A633E"/>
    <w:rsid w:val="005A64D9"/>
    <w:rsid w:val="005A6A94"/>
    <w:rsid w:val="005A6F18"/>
    <w:rsid w:val="005B0BEA"/>
    <w:rsid w:val="005B1329"/>
    <w:rsid w:val="005B16B2"/>
    <w:rsid w:val="005B1D22"/>
    <w:rsid w:val="005B1DCF"/>
    <w:rsid w:val="005B2A20"/>
    <w:rsid w:val="005B2AF3"/>
    <w:rsid w:val="005B2F37"/>
    <w:rsid w:val="005B3400"/>
    <w:rsid w:val="005B3462"/>
    <w:rsid w:val="005B3ACA"/>
    <w:rsid w:val="005B3CAA"/>
    <w:rsid w:val="005B3E1C"/>
    <w:rsid w:val="005B431F"/>
    <w:rsid w:val="005B47A2"/>
    <w:rsid w:val="005B5B84"/>
    <w:rsid w:val="005B5E9F"/>
    <w:rsid w:val="005B66CE"/>
    <w:rsid w:val="005B6E04"/>
    <w:rsid w:val="005B7E9F"/>
    <w:rsid w:val="005C4C29"/>
    <w:rsid w:val="005C5B33"/>
    <w:rsid w:val="005C5F57"/>
    <w:rsid w:val="005C60D9"/>
    <w:rsid w:val="005C6B4A"/>
    <w:rsid w:val="005C7570"/>
    <w:rsid w:val="005D00C8"/>
    <w:rsid w:val="005D02B8"/>
    <w:rsid w:val="005D0369"/>
    <w:rsid w:val="005D3297"/>
    <w:rsid w:val="005D5226"/>
    <w:rsid w:val="005D53FE"/>
    <w:rsid w:val="005D65BD"/>
    <w:rsid w:val="005D771D"/>
    <w:rsid w:val="005D7A0F"/>
    <w:rsid w:val="005E0438"/>
    <w:rsid w:val="005E1791"/>
    <w:rsid w:val="005E1B89"/>
    <w:rsid w:val="005E21EB"/>
    <w:rsid w:val="005E2CE6"/>
    <w:rsid w:val="005E3109"/>
    <w:rsid w:val="005E6324"/>
    <w:rsid w:val="005F02F3"/>
    <w:rsid w:val="005F1295"/>
    <w:rsid w:val="005F1C81"/>
    <w:rsid w:val="005F228B"/>
    <w:rsid w:val="005F29CD"/>
    <w:rsid w:val="005F2D55"/>
    <w:rsid w:val="005F3622"/>
    <w:rsid w:val="005F3A2A"/>
    <w:rsid w:val="005F4DFB"/>
    <w:rsid w:val="005F5A81"/>
    <w:rsid w:val="005F5F76"/>
    <w:rsid w:val="005F6A63"/>
    <w:rsid w:val="005F6CC0"/>
    <w:rsid w:val="005F6D91"/>
    <w:rsid w:val="005F7AF2"/>
    <w:rsid w:val="0060041A"/>
    <w:rsid w:val="00602803"/>
    <w:rsid w:val="00602CDB"/>
    <w:rsid w:val="00603B52"/>
    <w:rsid w:val="00603E5B"/>
    <w:rsid w:val="006042A7"/>
    <w:rsid w:val="00604BC8"/>
    <w:rsid w:val="006057EF"/>
    <w:rsid w:val="00607084"/>
    <w:rsid w:val="00607FFE"/>
    <w:rsid w:val="0061295D"/>
    <w:rsid w:val="006131B3"/>
    <w:rsid w:val="0061590C"/>
    <w:rsid w:val="00615B4C"/>
    <w:rsid w:val="00615B5D"/>
    <w:rsid w:val="00615C98"/>
    <w:rsid w:val="00615D29"/>
    <w:rsid w:val="00616999"/>
    <w:rsid w:val="006208BC"/>
    <w:rsid w:val="0062146F"/>
    <w:rsid w:val="006219FE"/>
    <w:rsid w:val="00624174"/>
    <w:rsid w:val="00625059"/>
    <w:rsid w:val="00625494"/>
    <w:rsid w:val="00625609"/>
    <w:rsid w:val="0062589A"/>
    <w:rsid w:val="006263F8"/>
    <w:rsid w:val="0062790E"/>
    <w:rsid w:val="00632972"/>
    <w:rsid w:val="006332C8"/>
    <w:rsid w:val="00633C78"/>
    <w:rsid w:val="006343AF"/>
    <w:rsid w:val="0063634A"/>
    <w:rsid w:val="0063747C"/>
    <w:rsid w:val="0063750E"/>
    <w:rsid w:val="00637EC2"/>
    <w:rsid w:val="00640CF6"/>
    <w:rsid w:val="006411D6"/>
    <w:rsid w:val="00641935"/>
    <w:rsid w:val="0064250D"/>
    <w:rsid w:val="00643573"/>
    <w:rsid w:val="0064371F"/>
    <w:rsid w:val="006447E8"/>
    <w:rsid w:val="006456DD"/>
    <w:rsid w:val="00645B11"/>
    <w:rsid w:val="00645F6B"/>
    <w:rsid w:val="00646670"/>
    <w:rsid w:val="006466AB"/>
    <w:rsid w:val="00647963"/>
    <w:rsid w:val="00651388"/>
    <w:rsid w:val="00651391"/>
    <w:rsid w:val="006535EB"/>
    <w:rsid w:val="006555B0"/>
    <w:rsid w:val="00662799"/>
    <w:rsid w:val="00662AFA"/>
    <w:rsid w:val="00663016"/>
    <w:rsid w:val="00663053"/>
    <w:rsid w:val="006632EA"/>
    <w:rsid w:val="006635EE"/>
    <w:rsid w:val="00663946"/>
    <w:rsid w:val="0066407D"/>
    <w:rsid w:val="006659F3"/>
    <w:rsid w:val="0066605F"/>
    <w:rsid w:val="0066658A"/>
    <w:rsid w:val="00667D00"/>
    <w:rsid w:val="0067047E"/>
    <w:rsid w:val="00670954"/>
    <w:rsid w:val="00670DD9"/>
    <w:rsid w:val="00671423"/>
    <w:rsid w:val="006724D7"/>
    <w:rsid w:val="0067301F"/>
    <w:rsid w:val="006735D2"/>
    <w:rsid w:val="00674605"/>
    <w:rsid w:val="006748B8"/>
    <w:rsid w:val="00674EFA"/>
    <w:rsid w:val="00675321"/>
    <w:rsid w:val="00677339"/>
    <w:rsid w:val="006809D6"/>
    <w:rsid w:val="006814C7"/>
    <w:rsid w:val="00681BB9"/>
    <w:rsid w:val="00684B12"/>
    <w:rsid w:val="00684ED3"/>
    <w:rsid w:val="0068535B"/>
    <w:rsid w:val="00685B54"/>
    <w:rsid w:val="00685DCF"/>
    <w:rsid w:val="0068736E"/>
    <w:rsid w:val="00690629"/>
    <w:rsid w:val="0069092F"/>
    <w:rsid w:val="00691464"/>
    <w:rsid w:val="00692036"/>
    <w:rsid w:val="006922AD"/>
    <w:rsid w:val="00692544"/>
    <w:rsid w:val="0069290A"/>
    <w:rsid w:val="00693E3C"/>
    <w:rsid w:val="00694A8C"/>
    <w:rsid w:val="00696200"/>
    <w:rsid w:val="00696F6D"/>
    <w:rsid w:val="00697032"/>
    <w:rsid w:val="006975AC"/>
    <w:rsid w:val="006A15FB"/>
    <w:rsid w:val="006A2A10"/>
    <w:rsid w:val="006A2AE0"/>
    <w:rsid w:val="006A2DE9"/>
    <w:rsid w:val="006A34E2"/>
    <w:rsid w:val="006A3EC5"/>
    <w:rsid w:val="006A5A1B"/>
    <w:rsid w:val="006A5BBE"/>
    <w:rsid w:val="006A66D7"/>
    <w:rsid w:val="006A72BF"/>
    <w:rsid w:val="006A74D3"/>
    <w:rsid w:val="006A7641"/>
    <w:rsid w:val="006A7E75"/>
    <w:rsid w:val="006B0C52"/>
    <w:rsid w:val="006B153D"/>
    <w:rsid w:val="006B18EB"/>
    <w:rsid w:val="006B332A"/>
    <w:rsid w:val="006B33BD"/>
    <w:rsid w:val="006B373B"/>
    <w:rsid w:val="006B3BF6"/>
    <w:rsid w:val="006B3EA1"/>
    <w:rsid w:val="006B4503"/>
    <w:rsid w:val="006B4B54"/>
    <w:rsid w:val="006C0482"/>
    <w:rsid w:val="006C1E19"/>
    <w:rsid w:val="006C3707"/>
    <w:rsid w:val="006C392B"/>
    <w:rsid w:val="006C3F75"/>
    <w:rsid w:val="006C4A78"/>
    <w:rsid w:val="006C50E4"/>
    <w:rsid w:val="006C644E"/>
    <w:rsid w:val="006D1150"/>
    <w:rsid w:val="006D170E"/>
    <w:rsid w:val="006D1744"/>
    <w:rsid w:val="006D1EEB"/>
    <w:rsid w:val="006D2586"/>
    <w:rsid w:val="006D491A"/>
    <w:rsid w:val="006D6558"/>
    <w:rsid w:val="006E06AF"/>
    <w:rsid w:val="006E0F45"/>
    <w:rsid w:val="006E19C6"/>
    <w:rsid w:val="006E19F1"/>
    <w:rsid w:val="006E28C1"/>
    <w:rsid w:val="006E468D"/>
    <w:rsid w:val="006E60E4"/>
    <w:rsid w:val="006E6B47"/>
    <w:rsid w:val="006E6DDF"/>
    <w:rsid w:val="006E6EAF"/>
    <w:rsid w:val="006E7807"/>
    <w:rsid w:val="006F0E98"/>
    <w:rsid w:val="006F1789"/>
    <w:rsid w:val="006F1BF1"/>
    <w:rsid w:val="006F1CA7"/>
    <w:rsid w:val="006F3417"/>
    <w:rsid w:val="006F3A80"/>
    <w:rsid w:val="006F4B01"/>
    <w:rsid w:val="006F51E3"/>
    <w:rsid w:val="006F5F6D"/>
    <w:rsid w:val="0070024A"/>
    <w:rsid w:val="0070252C"/>
    <w:rsid w:val="007043B3"/>
    <w:rsid w:val="00706C5D"/>
    <w:rsid w:val="00707797"/>
    <w:rsid w:val="007118E6"/>
    <w:rsid w:val="00711DFE"/>
    <w:rsid w:val="00712257"/>
    <w:rsid w:val="00712C25"/>
    <w:rsid w:val="00713795"/>
    <w:rsid w:val="00714C0A"/>
    <w:rsid w:val="007169AF"/>
    <w:rsid w:val="00717820"/>
    <w:rsid w:val="00717D73"/>
    <w:rsid w:val="00717E1E"/>
    <w:rsid w:val="007210A4"/>
    <w:rsid w:val="007225C9"/>
    <w:rsid w:val="0072392D"/>
    <w:rsid w:val="00723969"/>
    <w:rsid w:val="00723A57"/>
    <w:rsid w:val="00724073"/>
    <w:rsid w:val="00724752"/>
    <w:rsid w:val="0072661D"/>
    <w:rsid w:val="00727A5E"/>
    <w:rsid w:val="00727A63"/>
    <w:rsid w:val="00731572"/>
    <w:rsid w:val="00731D6B"/>
    <w:rsid w:val="00733444"/>
    <w:rsid w:val="00733C7D"/>
    <w:rsid w:val="00733CC2"/>
    <w:rsid w:val="00734757"/>
    <w:rsid w:val="00734F9B"/>
    <w:rsid w:val="00735CD7"/>
    <w:rsid w:val="0073643E"/>
    <w:rsid w:val="007365E0"/>
    <w:rsid w:val="00743AB6"/>
    <w:rsid w:val="00743D46"/>
    <w:rsid w:val="00744936"/>
    <w:rsid w:val="00744C93"/>
    <w:rsid w:val="00744CBF"/>
    <w:rsid w:val="00752ACF"/>
    <w:rsid w:val="00754034"/>
    <w:rsid w:val="00754375"/>
    <w:rsid w:val="00754BF1"/>
    <w:rsid w:val="00755A30"/>
    <w:rsid w:val="00755E1C"/>
    <w:rsid w:val="00756556"/>
    <w:rsid w:val="00757785"/>
    <w:rsid w:val="00757A56"/>
    <w:rsid w:val="0076132B"/>
    <w:rsid w:val="007623AE"/>
    <w:rsid w:val="0076319D"/>
    <w:rsid w:val="007637A9"/>
    <w:rsid w:val="00764664"/>
    <w:rsid w:val="007646E6"/>
    <w:rsid w:val="007652FD"/>
    <w:rsid w:val="00765521"/>
    <w:rsid w:val="007666EC"/>
    <w:rsid w:val="007673FF"/>
    <w:rsid w:val="00770B19"/>
    <w:rsid w:val="00770C95"/>
    <w:rsid w:val="00771841"/>
    <w:rsid w:val="007724CD"/>
    <w:rsid w:val="0077402B"/>
    <w:rsid w:val="00774419"/>
    <w:rsid w:val="00774EFA"/>
    <w:rsid w:val="00774FA0"/>
    <w:rsid w:val="00776620"/>
    <w:rsid w:val="00777B6D"/>
    <w:rsid w:val="007816E7"/>
    <w:rsid w:val="00782502"/>
    <w:rsid w:val="00782666"/>
    <w:rsid w:val="00782671"/>
    <w:rsid w:val="00782FBF"/>
    <w:rsid w:val="007830B2"/>
    <w:rsid w:val="00783677"/>
    <w:rsid w:val="007847B3"/>
    <w:rsid w:val="00784855"/>
    <w:rsid w:val="00784F39"/>
    <w:rsid w:val="0078501F"/>
    <w:rsid w:val="0078545C"/>
    <w:rsid w:val="00785525"/>
    <w:rsid w:val="00785689"/>
    <w:rsid w:val="007859FC"/>
    <w:rsid w:val="007864F6"/>
    <w:rsid w:val="007906C4"/>
    <w:rsid w:val="00790B81"/>
    <w:rsid w:val="00791413"/>
    <w:rsid w:val="007919E7"/>
    <w:rsid w:val="0079406D"/>
    <w:rsid w:val="007940EA"/>
    <w:rsid w:val="0079410A"/>
    <w:rsid w:val="007967E8"/>
    <w:rsid w:val="007A0523"/>
    <w:rsid w:val="007A1D0D"/>
    <w:rsid w:val="007A1F06"/>
    <w:rsid w:val="007A2BF0"/>
    <w:rsid w:val="007A306C"/>
    <w:rsid w:val="007A5556"/>
    <w:rsid w:val="007A5DB9"/>
    <w:rsid w:val="007A63F2"/>
    <w:rsid w:val="007A67D6"/>
    <w:rsid w:val="007A782D"/>
    <w:rsid w:val="007B0CF3"/>
    <w:rsid w:val="007B18CF"/>
    <w:rsid w:val="007B4335"/>
    <w:rsid w:val="007B5251"/>
    <w:rsid w:val="007B5DD3"/>
    <w:rsid w:val="007B68DE"/>
    <w:rsid w:val="007B7F25"/>
    <w:rsid w:val="007C04BB"/>
    <w:rsid w:val="007C1857"/>
    <w:rsid w:val="007C4119"/>
    <w:rsid w:val="007C514F"/>
    <w:rsid w:val="007C52A9"/>
    <w:rsid w:val="007C5972"/>
    <w:rsid w:val="007C5B11"/>
    <w:rsid w:val="007D0F95"/>
    <w:rsid w:val="007D284F"/>
    <w:rsid w:val="007D2BEB"/>
    <w:rsid w:val="007D2D8B"/>
    <w:rsid w:val="007D2E4A"/>
    <w:rsid w:val="007D2FE8"/>
    <w:rsid w:val="007D5606"/>
    <w:rsid w:val="007D69C7"/>
    <w:rsid w:val="007D7C68"/>
    <w:rsid w:val="007D7ECB"/>
    <w:rsid w:val="007E03DF"/>
    <w:rsid w:val="007E1F6E"/>
    <w:rsid w:val="007E25A1"/>
    <w:rsid w:val="007E29CD"/>
    <w:rsid w:val="007E470E"/>
    <w:rsid w:val="007E4BD2"/>
    <w:rsid w:val="007E7145"/>
    <w:rsid w:val="007E7809"/>
    <w:rsid w:val="007F0518"/>
    <w:rsid w:val="007F086D"/>
    <w:rsid w:val="007F2B81"/>
    <w:rsid w:val="007F3195"/>
    <w:rsid w:val="007F36F4"/>
    <w:rsid w:val="007F3916"/>
    <w:rsid w:val="007F4346"/>
    <w:rsid w:val="007F5F0B"/>
    <w:rsid w:val="008002D8"/>
    <w:rsid w:val="00801179"/>
    <w:rsid w:val="008013EA"/>
    <w:rsid w:val="00801CF5"/>
    <w:rsid w:val="008023F7"/>
    <w:rsid w:val="00802479"/>
    <w:rsid w:val="0080271A"/>
    <w:rsid w:val="00804F67"/>
    <w:rsid w:val="00805372"/>
    <w:rsid w:val="00805B7B"/>
    <w:rsid w:val="008060A0"/>
    <w:rsid w:val="0080659B"/>
    <w:rsid w:val="00806A0D"/>
    <w:rsid w:val="00810B19"/>
    <w:rsid w:val="00811793"/>
    <w:rsid w:val="00811B64"/>
    <w:rsid w:val="0081293E"/>
    <w:rsid w:val="0081349C"/>
    <w:rsid w:val="00813A2C"/>
    <w:rsid w:val="00814FFB"/>
    <w:rsid w:val="00815171"/>
    <w:rsid w:val="008165D4"/>
    <w:rsid w:val="00817082"/>
    <w:rsid w:val="00820568"/>
    <w:rsid w:val="008209A3"/>
    <w:rsid w:val="0082248D"/>
    <w:rsid w:val="00823D28"/>
    <w:rsid w:val="0082416C"/>
    <w:rsid w:val="00824A05"/>
    <w:rsid w:val="00825C79"/>
    <w:rsid w:val="0082671A"/>
    <w:rsid w:val="00826BA2"/>
    <w:rsid w:val="00826F48"/>
    <w:rsid w:val="0083019A"/>
    <w:rsid w:val="00831A80"/>
    <w:rsid w:val="00832440"/>
    <w:rsid w:val="008332C8"/>
    <w:rsid w:val="00833743"/>
    <w:rsid w:val="0083397B"/>
    <w:rsid w:val="00833EEF"/>
    <w:rsid w:val="008340A4"/>
    <w:rsid w:val="00836233"/>
    <w:rsid w:val="00836799"/>
    <w:rsid w:val="00837028"/>
    <w:rsid w:val="00837131"/>
    <w:rsid w:val="00841C25"/>
    <w:rsid w:val="00843042"/>
    <w:rsid w:val="00843FD6"/>
    <w:rsid w:val="00844C89"/>
    <w:rsid w:val="0084574D"/>
    <w:rsid w:val="00845B3F"/>
    <w:rsid w:val="00845F57"/>
    <w:rsid w:val="00847DCF"/>
    <w:rsid w:val="008513C5"/>
    <w:rsid w:val="008521E0"/>
    <w:rsid w:val="008525B0"/>
    <w:rsid w:val="00853017"/>
    <w:rsid w:val="008539A9"/>
    <w:rsid w:val="00853F21"/>
    <w:rsid w:val="00854DCE"/>
    <w:rsid w:val="00855623"/>
    <w:rsid w:val="0085666A"/>
    <w:rsid w:val="00856738"/>
    <w:rsid w:val="00856E18"/>
    <w:rsid w:val="00857FE9"/>
    <w:rsid w:val="0086022B"/>
    <w:rsid w:val="008607AE"/>
    <w:rsid w:val="008622F9"/>
    <w:rsid w:val="00862672"/>
    <w:rsid w:val="0086299D"/>
    <w:rsid w:val="00862D57"/>
    <w:rsid w:val="00862EC0"/>
    <w:rsid w:val="008641DB"/>
    <w:rsid w:val="008662F9"/>
    <w:rsid w:val="00867CBC"/>
    <w:rsid w:val="00870F38"/>
    <w:rsid w:val="008716CA"/>
    <w:rsid w:val="00871ADE"/>
    <w:rsid w:val="00872F32"/>
    <w:rsid w:val="008730E4"/>
    <w:rsid w:val="00874583"/>
    <w:rsid w:val="00874A8E"/>
    <w:rsid w:val="00876C30"/>
    <w:rsid w:val="00877017"/>
    <w:rsid w:val="00877255"/>
    <w:rsid w:val="008773C0"/>
    <w:rsid w:val="00880364"/>
    <w:rsid w:val="008812A2"/>
    <w:rsid w:val="00882672"/>
    <w:rsid w:val="00884B4E"/>
    <w:rsid w:val="00885BEF"/>
    <w:rsid w:val="00886085"/>
    <w:rsid w:val="008864D8"/>
    <w:rsid w:val="0088694A"/>
    <w:rsid w:val="00886C4C"/>
    <w:rsid w:val="0088711C"/>
    <w:rsid w:val="008873A5"/>
    <w:rsid w:val="008873BB"/>
    <w:rsid w:val="00887ED9"/>
    <w:rsid w:val="00890721"/>
    <w:rsid w:val="00890761"/>
    <w:rsid w:val="00890A1C"/>
    <w:rsid w:val="00890A95"/>
    <w:rsid w:val="00892D8F"/>
    <w:rsid w:val="00892ECF"/>
    <w:rsid w:val="00892F06"/>
    <w:rsid w:val="00893081"/>
    <w:rsid w:val="00893496"/>
    <w:rsid w:val="00894285"/>
    <w:rsid w:val="008942F1"/>
    <w:rsid w:val="00894762"/>
    <w:rsid w:val="00895182"/>
    <w:rsid w:val="00896AA3"/>
    <w:rsid w:val="008A1418"/>
    <w:rsid w:val="008A2EBA"/>
    <w:rsid w:val="008A361E"/>
    <w:rsid w:val="008A40AE"/>
    <w:rsid w:val="008A4B41"/>
    <w:rsid w:val="008A4D40"/>
    <w:rsid w:val="008A4E19"/>
    <w:rsid w:val="008A5BA2"/>
    <w:rsid w:val="008A67C5"/>
    <w:rsid w:val="008A6BC2"/>
    <w:rsid w:val="008A6F29"/>
    <w:rsid w:val="008A7266"/>
    <w:rsid w:val="008A75C6"/>
    <w:rsid w:val="008A79B8"/>
    <w:rsid w:val="008B00B2"/>
    <w:rsid w:val="008B035C"/>
    <w:rsid w:val="008B2119"/>
    <w:rsid w:val="008B22E1"/>
    <w:rsid w:val="008B3C78"/>
    <w:rsid w:val="008B4AE9"/>
    <w:rsid w:val="008B4E7C"/>
    <w:rsid w:val="008B5CE2"/>
    <w:rsid w:val="008B5DD0"/>
    <w:rsid w:val="008B6D81"/>
    <w:rsid w:val="008B7597"/>
    <w:rsid w:val="008C12E4"/>
    <w:rsid w:val="008C30AD"/>
    <w:rsid w:val="008C381B"/>
    <w:rsid w:val="008C4BDC"/>
    <w:rsid w:val="008C554B"/>
    <w:rsid w:val="008C692A"/>
    <w:rsid w:val="008D068E"/>
    <w:rsid w:val="008D0F7A"/>
    <w:rsid w:val="008D15E4"/>
    <w:rsid w:val="008D25B7"/>
    <w:rsid w:val="008D2F09"/>
    <w:rsid w:val="008D484D"/>
    <w:rsid w:val="008D4A42"/>
    <w:rsid w:val="008D63BE"/>
    <w:rsid w:val="008D736E"/>
    <w:rsid w:val="008D7647"/>
    <w:rsid w:val="008D7FF3"/>
    <w:rsid w:val="008E006F"/>
    <w:rsid w:val="008E03CA"/>
    <w:rsid w:val="008E0CFF"/>
    <w:rsid w:val="008E1565"/>
    <w:rsid w:val="008E269E"/>
    <w:rsid w:val="008E279D"/>
    <w:rsid w:val="008E2FE4"/>
    <w:rsid w:val="008E3C5D"/>
    <w:rsid w:val="008E3CB5"/>
    <w:rsid w:val="008E4139"/>
    <w:rsid w:val="008E4ACC"/>
    <w:rsid w:val="008E5CA3"/>
    <w:rsid w:val="008E5D6B"/>
    <w:rsid w:val="008E5F53"/>
    <w:rsid w:val="008E689B"/>
    <w:rsid w:val="008E76F0"/>
    <w:rsid w:val="008F15FE"/>
    <w:rsid w:val="008F1D36"/>
    <w:rsid w:val="008F2133"/>
    <w:rsid w:val="008F2A94"/>
    <w:rsid w:val="008F5187"/>
    <w:rsid w:val="008F681A"/>
    <w:rsid w:val="008F709C"/>
    <w:rsid w:val="008F78B1"/>
    <w:rsid w:val="0090011C"/>
    <w:rsid w:val="00901FBC"/>
    <w:rsid w:val="0090312B"/>
    <w:rsid w:val="00903A73"/>
    <w:rsid w:val="00904961"/>
    <w:rsid w:val="009052F7"/>
    <w:rsid w:val="00905A86"/>
    <w:rsid w:val="00905D5A"/>
    <w:rsid w:val="009065DD"/>
    <w:rsid w:val="00906746"/>
    <w:rsid w:val="00907BA5"/>
    <w:rsid w:val="00910DFC"/>
    <w:rsid w:val="0091450F"/>
    <w:rsid w:val="00915AF7"/>
    <w:rsid w:val="0091616B"/>
    <w:rsid w:val="00916DE1"/>
    <w:rsid w:val="0091736D"/>
    <w:rsid w:val="0092057E"/>
    <w:rsid w:val="00920F21"/>
    <w:rsid w:val="00922422"/>
    <w:rsid w:val="00922E4A"/>
    <w:rsid w:val="00922EFE"/>
    <w:rsid w:val="0092443D"/>
    <w:rsid w:val="00925021"/>
    <w:rsid w:val="00925C24"/>
    <w:rsid w:val="009264FF"/>
    <w:rsid w:val="0092696A"/>
    <w:rsid w:val="00926C4A"/>
    <w:rsid w:val="009270E1"/>
    <w:rsid w:val="00927D95"/>
    <w:rsid w:val="00931001"/>
    <w:rsid w:val="0093114F"/>
    <w:rsid w:val="009315D0"/>
    <w:rsid w:val="00931863"/>
    <w:rsid w:val="00933524"/>
    <w:rsid w:val="009336BC"/>
    <w:rsid w:val="009352E7"/>
    <w:rsid w:val="00936568"/>
    <w:rsid w:val="00936F5E"/>
    <w:rsid w:val="0093783F"/>
    <w:rsid w:val="0094011A"/>
    <w:rsid w:val="00940534"/>
    <w:rsid w:val="0094065E"/>
    <w:rsid w:val="0094162C"/>
    <w:rsid w:val="0094202B"/>
    <w:rsid w:val="0094278D"/>
    <w:rsid w:val="009429D8"/>
    <w:rsid w:val="009448B0"/>
    <w:rsid w:val="00945258"/>
    <w:rsid w:val="00945E41"/>
    <w:rsid w:val="0094689C"/>
    <w:rsid w:val="00947651"/>
    <w:rsid w:val="0095078D"/>
    <w:rsid w:val="00950EF6"/>
    <w:rsid w:val="00952753"/>
    <w:rsid w:val="0095308A"/>
    <w:rsid w:val="009531B7"/>
    <w:rsid w:val="00953380"/>
    <w:rsid w:val="00955A79"/>
    <w:rsid w:val="00955AEE"/>
    <w:rsid w:val="00956372"/>
    <w:rsid w:val="00956F14"/>
    <w:rsid w:val="00957582"/>
    <w:rsid w:val="00957BC1"/>
    <w:rsid w:val="00961F0C"/>
    <w:rsid w:val="009620FD"/>
    <w:rsid w:val="0096247A"/>
    <w:rsid w:val="00963133"/>
    <w:rsid w:val="00963ADF"/>
    <w:rsid w:val="00964A94"/>
    <w:rsid w:val="00964C32"/>
    <w:rsid w:val="00965F4B"/>
    <w:rsid w:val="009662E2"/>
    <w:rsid w:val="00966617"/>
    <w:rsid w:val="00966E92"/>
    <w:rsid w:val="00967929"/>
    <w:rsid w:val="00970F8A"/>
    <w:rsid w:val="00971190"/>
    <w:rsid w:val="00971FB5"/>
    <w:rsid w:val="00972D2A"/>
    <w:rsid w:val="0097394A"/>
    <w:rsid w:val="009747C8"/>
    <w:rsid w:val="00975CA7"/>
    <w:rsid w:val="00975CC5"/>
    <w:rsid w:val="00976145"/>
    <w:rsid w:val="00976328"/>
    <w:rsid w:val="009768F8"/>
    <w:rsid w:val="009769D6"/>
    <w:rsid w:val="00976B4E"/>
    <w:rsid w:val="00976DDD"/>
    <w:rsid w:val="0097722D"/>
    <w:rsid w:val="00977A31"/>
    <w:rsid w:val="00977AFB"/>
    <w:rsid w:val="00977E05"/>
    <w:rsid w:val="00982D89"/>
    <w:rsid w:val="00983D46"/>
    <w:rsid w:val="00984458"/>
    <w:rsid w:val="00985283"/>
    <w:rsid w:val="009853D5"/>
    <w:rsid w:val="0098627C"/>
    <w:rsid w:val="00987322"/>
    <w:rsid w:val="0099176C"/>
    <w:rsid w:val="009926EE"/>
    <w:rsid w:val="00992AAA"/>
    <w:rsid w:val="009953E4"/>
    <w:rsid w:val="009959C4"/>
    <w:rsid w:val="009977FC"/>
    <w:rsid w:val="009A012D"/>
    <w:rsid w:val="009A0E33"/>
    <w:rsid w:val="009A0E9F"/>
    <w:rsid w:val="009A0F3B"/>
    <w:rsid w:val="009A0F8E"/>
    <w:rsid w:val="009A1EFD"/>
    <w:rsid w:val="009A42E4"/>
    <w:rsid w:val="009A5B94"/>
    <w:rsid w:val="009A62BC"/>
    <w:rsid w:val="009A7199"/>
    <w:rsid w:val="009A72C7"/>
    <w:rsid w:val="009B00F6"/>
    <w:rsid w:val="009B0897"/>
    <w:rsid w:val="009B0ABD"/>
    <w:rsid w:val="009B3199"/>
    <w:rsid w:val="009B5331"/>
    <w:rsid w:val="009B539B"/>
    <w:rsid w:val="009C02E6"/>
    <w:rsid w:val="009C0458"/>
    <w:rsid w:val="009C2A02"/>
    <w:rsid w:val="009C2D8E"/>
    <w:rsid w:val="009C3629"/>
    <w:rsid w:val="009C38E9"/>
    <w:rsid w:val="009C46B5"/>
    <w:rsid w:val="009C4925"/>
    <w:rsid w:val="009C5B5D"/>
    <w:rsid w:val="009C61D6"/>
    <w:rsid w:val="009C6515"/>
    <w:rsid w:val="009C79FA"/>
    <w:rsid w:val="009C7C09"/>
    <w:rsid w:val="009C7C8D"/>
    <w:rsid w:val="009D0852"/>
    <w:rsid w:val="009D1018"/>
    <w:rsid w:val="009D1FBF"/>
    <w:rsid w:val="009D22D8"/>
    <w:rsid w:val="009D3419"/>
    <w:rsid w:val="009D5A3B"/>
    <w:rsid w:val="009D5DC5"/>
    <w:rsid w:val="009D5ECA"/>
    <w:rsid w:val="009D6667"/>
    <w:rsid w:val="009D7E27"/>
    <w:rsid w:val="009E0D6B"/>
    <w:rsid w:val="009E149F"/>
    <w:rsid w:val="009E1A12"/>
    <w:rsid w:val="009E2040"/>
    <w:rsid w:val="009E399C"/>
    <w:rsid w:val="009E3FAA"/>
    <w:rsid w:val="009E43C1"/>
    <w:rsid w:val="009E4A62"/>
    <w:rsid w:val="009E7881"/>
    <w:rsid w:val="009E78AD"/>
    <w:rsid w:val="009E7E95"/>
    <w:rsid w:val="009F0AA6"/>
    <w:rsid w:val="009F116F"/>
    <w:rsid w:val="009F310B"/>
    <w:rsid w:val="009F329E"/>
    <w:rsid w:val="009F5249"/>
    <w:rsid w:val="009F5830"/>
    <w:rsid w:val="009F66F5"/>
    <w:rsid w:val="009F6DFA"/>
    <w:rsid w:val="009F6E7A"/>
    <w:rsid w:val="009F72FE"/>
    <w:rsid w:val="009F747F"/>
    <w:rsid w:val="009F7ED3"/>
    <w:rsid w:val="00A00D16"/>
    <w:rsid w:val="00A00E00"/>
    <w:rsid w:val="00A03607"/>
    <w:rsid w:val="00A03D7A"/>
    <w:rsid w:val="00A04194"/>
    <w:rsid w:val="00A047FF"/>
    <w:rsid w:val="00A04FEF"/>
    <w:rsid w:val="00A0596E"/>
    <w:rsid w:val="00A05DB6"/>
    <w:rsid w:val="00A05E1D"/>
    <w:rsid w:val="00A0795E"/>
    <w:rsid w:val="00A10F66"/>
    <w:rsid w:val="00A122CD"/>
    <w:rsid w:val="00A12398"/>
    <w:rsid w:val="00A12A32"/>
    <w:rsid w:val="00A14248"/>
    <w:rsid w:val="00A14947"/>
    <w:rsid w:val="00A14DD9"/>
    <w:rsid w:val="00A1507A"/>
    <w:rsid w:val="00A20B74"/>
    <w:rsid w:val="00A213E7"/>
    <w:rsid w:val="00A2143E"/>
    <w:rsid w:val="00A226BC"/>
    <w:rsid w:val="00A23A88"/>
    <w:rsid w:val="00A23DC5"/>
    <w:rsid w:val="00A26738"/>
    <w:rsid w:val="00A272F6"/>
    <w:rsid w:val="00A27E90"/>
    <w:rsid w:val="00A30E45"/>
    <w:rsid w:val="00A32794"/>
    <w:rsid w:val="00A337D0"/>
    <w:rsid w:val="00A34028"/>
    <w:rsid w:val="00A346F2"/>
    <w:rsid w:val="00A3477D"/>
    <w:rsid w:val="00A34FF4"/>
    <w:rsid w:val="00A35568"/>
    <w:rsid w:val="00A36719"/>
    <w:rsid w:val="00A36CB2"/>
    <w:rsid w:val="00A37056"/>
    <w:rsid w:val="00A4030E"/>
    <w:rsid w:val="00A406FA"/>
    <w:rsid w:val="00A413AD"/>
    <w:rsid w:val="00A41E79"/>
    <w:rsid w:val="00A4358F"/>
    <w:rsid w:val="00A44021"/>
    <w:rsid w:val="00A445A1"/>
    <w:rsid w:val="00A45ADE"/>
    <w:rsid w:val="00A46F67"/>
    <w:rsid w:val="00A4792D"/>
    <w:rsid w:val="00A50318"/>
    <w:rsid w:val="00A5150D"/>
    <w:rsid w:val="00A51F6B"/>
    <w:rsid w:val="00A53055"/>
    <w:rsid w:val="00A54AA1"/>
    <w:rsid w:val="00A54C8A"/>
    <w:rsid w:val="00A54FA5"/>
    <w:rsid w:val="00A552D0"/>
    <w:rsid w:val="00A568FF"/>
    <w:rsid w:val="00A577B6"/>
    <w:rsid w:val="00A60CBA"/>
    <w:rsid w:val="00A61078"/>
    <w:rsid w:val="00A61496"/>
    <w:rsid w:val="00A61833"/>
    <w:rsid w:val="00A62101"/>
    <w:rsid w:val="00A624C6"/>
    <w:rsid w:val="00A6310C"/>
    <w:rsid w:val="00A63CEC"/>
    <w:rsid w:val="00A647E1"/>
    <w:rsid w:val="00A649C5"/>
    <w:rsid w:val="00A7031E"/>
    <w:rsid w:val="00A7069D"/>
    <w:rsid w:val="00A70AE4"/>
    <w:rsid w:val="00A71ADD"/>
    <w:rsid w:val="00A71B69"/>
    <w:rsid w:val="00A7226E"/>
    <w:rsid w:val="00A72610"/>
    <w:rsid w:val="00A728B1"/>
    <w:rsid w:val="00A72A6C"/>
    <w:rsid w:val="00A744DC"/>
    <w:rsid w:val="00A74BFC"/>
    <w:rsid w:val="00A7577A"/>
    <w:rsid w:val="00A758D2"/>
    <w:rsid w:val="00A75C0A"/>
    <w:rsid w:val="00A76251"/>
    <w:rsid w:val="00A763DE"/>
    <w:rsid w:val="00A76D6F"/>
    <w:rsid w:val="00A803D6"/>
    <w:rsid w:val="00A81282"/>
    <w:rsid w:val="00A81CCB"/>
    <w:rsid w:val="00A82C19"/>
    <w:rsid w:val="00A84CC4"/>
    <w:rsid w:val="00A84DB1"/>
    <w:rsid w:val="00A84FD7"/>
    <w:rsid w:val="00A85F53"/>
    <w:rsid w:val="00A85F8A"/>
    <w:rsid w:val="00A86A86"/>
    <w:rsid w:val="00A8704E"/>
    <w:rsid w:val="00A8713F"/>
    <w:rsid w:val="00A8727B"/>
    <w:rsid w:val="00A8796D"/>
    <w:rsid w:val="00A87A1B"/>
    <w:rsid w:val="00A90BAB"/>
    <w:rsid w:val="00A91167"/>
    <w:rsid w:val="00A9171C"/>
    <w:rsid w:val="00A91DC7"/>
    <w:rsid w:val="00A91E07"/>
    <w:rsid w:val="00A92FFD"/>
    <w:rsid w:val="00A93006"/>
    <w:rsid w:val="00A93B81"/>
    <w:rsid w:val="00A9475E"/>
    <w:rsid w:val="00A9491C"/>
    <w:rsid w:val="00A94AE1"/>
    <w:rsid w:val="00A95975"/>
    <w:rsid w:val="00A95B11"/>
    <w:rsid w:val="00A96AC4"/>
    <w:rsid w:val="00A9708D"/>
    <w:rsid w:val="00A97BB1"/>
    <w:rsid w:val="00AA030F"/>
    <w:rsid w:val="00AA0539"/>
    <w:rsid w:val="00AA0A60"/>
    <w:rsid w:val="00AA1334"/>
    <w:rsid w:val="00AA19D4"/>
    <w:rsid w:val="00AA233A"/>
    <w:rsid w:val="00AA2C17"/>
    <w:rsid w:val="00AA3F5B"/>
    <w:rsid w:val="00AA4172"/>
    <w:rsid w:val="00AA7450"/>
    <w:rsid w:val="00AA7610"/>
    <w:rsid w:val="00AB0767"/>
    <w:rsid w:val="00AB1914"/>
    <w:rsid w:val="00AB4928"/>
    <w:rsid w:val="00AB4969"/>
    <w:rsid w:val="00AB5330"/>
    <w:rsid w:val="00AB68D6"/>
    <w:rsid w:val="00AB7747"/>
    <w:rsid w:val="00AC1C3D"/>
    <w:rsid w:val="00AC1F06"/>
    <w:rsid w:val="00AC2532"/>
    <w:rsid w:val="00AC58F8"/>
    <w:rsid w:val="00AC591D"/>
    <w:rsid w:val="00AC6707"/>
    <w:rsid w:val="00AC6880"/>
    <w:rsid w:val="00AD065B"/>
    <w:rsid w:val="00AD104D"/>
    <w:rsid w:val="00AD1507"/>
    <w:rsid w:val="00AD1CD9"/>
    <w:rsid w:val="00AD27F3"/>
    <w:rsid w:val="00AD5A70"/>
    <w:rsid w:val="00AD6585"/>
    <w:rsid w:val="00AD6A12"/>
    <w:rsid w:val="00AD6B07"/>
    <w:rsid w:val="00AD738B"/>
    <w:rsid w:val="00AD75AB"/>
    <w:rsid w:val="00AE0497"/>
    <w:rsid w:val="00AE0FFF"/>
    <w:rsid w:val="00AE132D"/>
    <w:rsid w:val="00AE1BF4"/>
    <w:rsid w:val="00AE20A6"/>
    <w:rsid w:val="00AE2587"/>
    <w:rsid w:val="00AE4DCE"/>
    <w:rsid w:val="00AE5D97"/>
    <w:rsid w:val="00AE6794"/>
    <w:rsid w:val="00AE6809"/>
    <w:rsid w:val="00AE7634"/>
    <w:rsid w:val="00AE7DD3"/>
    <w:rsid w:val="00AE7EAC"/>
    <w:rsid w:val="00AF01D1"/>
    <w:rsid w:val="00AF159B"/>
    <w:rsid w:val="00AF1748"/>
    <w:rsid w:val="00AF1805"/>
    <w:rsid w:val="00AF1DA4"/>
    <w:rsid w:val="00AF2A9F"/>
    <w:rsid w:val="00AF30FB"/>
    <w:rsid w:val="00AF35E3"/>
    <w:rsid w:val="00AF4821"/>
    <w:rsid w:val="00AF5750"/>
    <w:rsid w:val="00AF5BE9"/>
    <w:rsid w:val="00AF7A15"/>
    <w:rsid w:val="00AF7C24"/>
    <w:rsid w:val="00B01110"/>
    <w:rsid w:val="00B0211E"/>
    <w:rsid w:val="00B02262"/>
    <w:rsid w:val="00B026C4"/>
    <w:rsid w:val="00B03CEC"/>
    <w:rsid w:val="00B043BC"/>
    <w:rsid w:val="00B054A7"/>
    <w:rsid w:val="00B0559F"/>
    <w:rsid w:val="00B077B3"/>
    <w:rsid w:val="00B104DA"/>
    <w:rsid w:val="00B1143A"/>
    <w:rsid w:val="00B1209F"/>
    <w:rsid w:val="00B12AD0"/>
    <w:rsid w:val="00B13711"/>
    <w:rsid w:val="00B1433B"/>
    <w:rsid w:val="00B144AC"/>
    <w:rsid w:val="00B15619"/>
    <w:rsid w:val="00B15A5B"/>
    <w:rsid w:val="00B15EC2"/>
    <w:rsid w:val="00B1616E"/>
    <w:rsid w:val="00B164CC"/>
    <w:rsid w:val="00B16891"/>
    <w:rsid w:val="00B20344"/>
    <w:rsid w:val="00B208C7"/>
    <w:rsid w:val="00B22DCC"/>
    <w:rsid w:val="00B23733"/>
    <w:rsid w:val="00B23E2A"/>
    <w:rsid w:val="00B2403A"/>
    <w:rsid w:val="00B24F30"/>
    <w:rsid w:val="00B25172"/>
    <w:rsid w:val="00B25600"/>
    <w:rsid w:val="00B3103D"/>
    <w:rsid w:val="00B319BA"/>
    <w:rsid w:val="00B31ABF"/>
    <w:rsid w:val="00B31DFF"/>
    <w:rsid w:val="00B32586"/>
    <w:rsid w:val="00B33577"/>
    <w:rsid w:val="00B335AE"/>
    <w:rsid w:val="00B33755"/>
    <w:rsid w:val="00B36E30"/>
    <w:rsid w:val="00B37CE1"/>
    <w:rsid w:val="00B40592"/>
    <w:rsid w:val="00B40ACF"/>
    <w:rsid w:val="00B40CC0"/>
    <w:rsid w:val="00B40F22"/>
    <w:rsid w:val="00B419D3"/>
    <w:rsid w:val="00B41C1F"/>
    <w:rsid w:val="00B43695"/>
    <w:rsid w:val="00B43B83"/>
    <w:rsid w:val="00B445A6"/>
    <w:rsid w:val="00B446A3"/>
    <w:rsid w:val="00B46BAA"/>
    <w:rsid w:val="00B50B5F"/>
    <w:rsid w:val="00B51FE3"/>
    <w:rsid w:val="00B54128"/>
    <w:rsid w:val="00B5479E"/>
    <w:rsid w:val="00B55826"/>
    <w:rsid w:val="00B566C9"/>
    <w:rsid w:val="00B577A6"/>
    <w:rsid w:val="00B60426"/>
    <w:rsid w:val="00B61906"/>
    <w:rsid w:val="00B622DD"/>
    <w:rsid w:val="00B624C3"/>
    <w:rsid w:val="00B62908"/>
    <w:rsid w:val="00B63522"/>
    <w:rsid w:val="00B64F78"/>
    <w:rsid w:val="00B65424"/>
    <w:rsid w:val="00B70488"/>
    <w:rsid w:val="00B71F2D"/>
    <w:rsid w:val="00B721AD"/>
    <w:rsid w:val="00B728BD"/>
    <w:rsid w:val="00B74583"/>
    <w:rsid w:val="00B7493A"/>
    <w:rsid w:val="00B754B9"/>
    <w:rsid w:val="00B76F1D"/>
    <w:rsid w:val="00B77460"/>
    <w:rsid w:val="00B8204C"/>
    <w:rsid w:val="00B82458"/>
    <w:rsid w:val="00B85993"/>
    <w:rsid w:val="00B859EC"/>
    <w:rsid w:val="00B86755"/>
    <w:rsid w:val="00B86951"/>
    <w:rsid w:val="00B86A8D"/>
    <w:rsid w:val="00B878C6"/>
    <w:rsid w:val="00B90584"/>
    <w:rsid w:val="00B91663"/>
    <w:rsid w:val="00B916B3"/>
    <w:rsid w:val="00B9231A"/>
    <w:rsid w:val="00B92A19"/>
    <w:rsid w:val="00B92F95"/>
    <w:rsid w:val="00B93588"/>
    <w:rsid w:val="00B94F46"/>
    <w:rsid w:val="00B9544C"/>
    <w:rsid w:val="00B95DFA"/>
    <w:rsid w:val="00B96440"/>
    <w:rsid w:val="00B972C7"/>
    <w:rsid w:val="00B978A0"/>
    <w:rsid w:val="00BA1C40"/>
    <w:rsid w:val="00BA29E9"/>
    <w:rsid w:val="00BA468E"/>
    <w:rsid w:val="00BA4E90"/>
    <w:rsid w:val="00BA520C"/>
    <w:rsid w:val="00BA7508"/>
    <w:rsid w:val="00BB0CCF"/>
    <w:rsid w:val="00BB1823"/>
    <w:rsid w:val="00BB1A8A"/>
    <w:rsid w:val="00BB2126"/>
    <w:rsid w:val="00BB32C0"/>
    <w:rsid w:val="00BB3618"/>
    <w:rsid w:val="00BB3C7A"/>
    <w:rsid w:val="00BB4598"/>
    <w:rsid w:val="00BB5043"/>
    <w:rsid w:val="00BB5F4B"/>
    <w:rsid w:val="00BC0C3E"/>
    <w:rsid w:val="00BC0C9E"/>
    <w:rsid w:val="00BC11EA"/>
    <w:rsid w:val="00BC32DC"/>
    <w:rsid w:val="00BC4BC9"/>
    <w:rsid w:val="00BD0833"/>
    <w:rsid w:val="00BD1A53"/>
    <w:rsid w:val="00BD1B51"/>
    <w:rsid w:val="00BD3AB3"/>
    <w:rsid w:val="00BD47F6"/>
    <w:rsid w:val="00BD58AC"/>
    <w:rsid w:val="00BD7BF3"/>
    <w:rsid w:val="00BE01E2"/>
    <w:rsid w:val="00BE0DC7"/>
    <w:rsid w:val="00BE25C4"/>
    <w:rsid w:val="00BE25FF"/>
    <w:rsid w:val="00BE2776"/>
    <w:rsid w:val="00BE312D"/>
    <w:rsid w:val="00BE3FCA"/>
    <w:rsid w:val="00BE5BD6"/>
    <w:rsid w:val="00BF0781"/>
    <w:rsid w:val="00BF1732"/>
    <w:rsid w:val="00BF1978"/>
    <w:rsid w:val="00BF3AD7"/>
    <w:rsid w:val="00BF46D5"/>
    <w:rsid w:val="00BF46FF"/>
    <w:rsid w:val="00BF7676"/>
    <w:rsid w:val="00C0131C"/>
    <w:rsid w:val="00C027D6"/>
    <w:rsid w:val="00C02B22"/>
    <w:rsid w:val="00C04AB3"/>
    <w:rsid w:val="00C05719"/>
    <w:rsid w:val="00C05D1F"/>
    <w:rsid w:val="00C10305"/>
    <w:rsid w:val="00C103FF"/>
    <w:rsid w:val="00C10532"/>
    <w:rsid w:val="00C10578"/>
    <w:rsid w:val="00C10AB6"/>
    <w:rsid w:val="00C10E05"/>
    <w:rsid w:val="00C11393"/>
    <w:rsid w:val="00C11623"/>
    <w:rsid w:val="00C12933"/>
    <w:rsid w:val="00C1344B"/>
    <w:rsid w:val="00C14410"/>
    <w:rsid w:val="00C16F4C"/>
    <w:rsid w:val="00C17D62"/>
    <w:rsid w:val="00C17FEB"/>
    <w:rsid w:val="00C2049F"/>
    <w:rsid w:val="00C2074A"/>
    <w:rsid w:val="00C20890"/>
    <w:rsid w:val="00C20A6F"/>
    <w:rsid w:val="00C21FDC"/>
    <w:rsid w:val="00C21FF5"/>
    <w:rsid w:val="00C22414"/>
    <w:rsid w:val="00C224C4"/>
    <w:rsid w:val="00C24082"/>
    <w:rsid w:val="00C241E4"/>
    <w:rsid w:val="00C245EA"/>
    <w:rsid w:val="00C24EE7"/>
    <w:rsid w:val="00C25513"/>
    <w:rsid w:val="00C2596A"/>
    <w:rsid w:val="00C25E94"/>
    <w:rsid w:val="00C271BE"/>
    <w:rsid w:val="00C27425"/>
    <w:rsid w:val="00C2789A"/>
    <w:rsid w:val="00C27C36"/>
    <w:rsid w:val="00C30D45"/>
    <w:rsid w:val="00C328FE"/>
    <w:rsid w:val="00C32A13"/>
    <w:rsid w:val="00C33A05"/>
    <w:rsid w:val="00C34481"/>
    <w:rsid w:val="00C34C3B"/>
    <w:rsid w:val="00C34E39"/>
    <w:rsid w:val="00C35AB0"/>
    <w:rsid w:val="00C36D35"/>
    <w:rsid w:val="00C37A75"/>
    <w:rsid w:val="00C4044D"/>
    <w:rsid w:val="00C40E23"/>
    <w:rsid w:val="00C4133C"/>
    <w:rsid w:val="00C4194B"/>
    <w:rsid w:val="00C41CA8"/>
    <w:rsid w:val="00C42500"/>
    <w:rsid w:val="00C42DBF"/>
    <w:rsid w:val="00C43205"/>
    <w:rsid w:val="00C438DF"/>
    <w:rsid w:val="00C4409D"/>
    <w:rsid w:val="00C455BE"/>
    <w:rsid w:val="00C455EF"/>
    <w:rsid w:val="00C45F01"/>
    <w:rsid w:val="00C50B0E"/>
    <w:rsid w:val="00C5113E"/>
    <w:rsid w:val="00C51E5F"/>
    <w:rsid w:val="00C536B3"/>
    <w:rsid w:val="00C53C8B"/>
    <w:rsid w:val="00C55AE2"/>
    <w:rsid w:val="00C55D58"/>
    <w:rsid w:val="00C5684E"/>
    <w:rsid w:val="00C5686D"/>
    <w:rsid w:val="00C569B7"/>
    <w:rsid w:val="00C56F21"/>
    <w:rsid w:val="00C61E4B"/>
    <w:rsid w:val="00C622D5"/>
    <w:rsid w:val="00C62E3A"/>
    <w:rsid w:val="00C63EA8"/>
    <w:rsid w:val="00C64503"/>
    <w:rsid w:val="00C64A1F"/>
    <w:rsid w:val="00C64BFF"/>
    <w:rsid w:val="00C66559"/>
    <w:rsid w:val="00C677AC"/>
    <w:rsid w:val="00C73D3A"/>
    <w:rsid w:val="00C763C9"/>
    <w:rsid w:val="00C77C6B"/>
    <w:rsid w:val="00C80057"/>
    <w:rsid w:val="00C80A98"/>
    <w:rsid w:val="00C82A8B"/>
    <w:rsid w:val="00C82C79"/>
    <w:rsid w:val="00C82D92"/>
    <w:rsid w:val="00C8399C"/>
    <w:rsid w:val="00C845FA"/>
    <w:rsid w:val="00C84753"/>
    <w:rsid w:val="00C86457"/>
    <w:rsid w:val="00C864EB"/>
    <w:rsid w:val="00C91611"/>
    <w:rsid w:val="00C91D00"/>
    <w:rsid w:val="00C936A0"/>
    <w:rsid w:val="00C94115"/>
    <w:rsid w:val="00C96EDB"/>
    <w:rsid w:val="00C9773F"/>
    <w:rsid w:val="00C977A1"/>
    <w:rsid w:val="00C97C35"/>
    <w:rsid w:val="00CA0FA4"/>
    <w:rsid w:val="00CA26DD"/>
    <w:rsid w:val="00CA3585"/>
    <w:rsid w:val="00CA3D5A"/>
    <w:rsid w:val="00CA4189"/>
    <w:rsid w:val="00CA4628"/>
    <w:rsid w:val="00CA4C7C"/>
    <w:rsid w:val="00CA4DB1"/>
    <w:rsid w:val="00CA582C"/>
    <w:rsid w:val="00CA6AEB"/>
    <w:rsid w:val="00CA7E68"/>
    <w:rsid w:val="00CB0183"/>
    <w:rsid w:val="00CB0FEC"/>
    <w:rsid w:val="00CB11D1"/>
    <w:rsid w:val="00CB18D7"/>
    <w:rsid w:val="00CB1EA3"/>
    <w:rsid w:val="00CB267C"/>
    <w:rsid w:val="00CB2AE3"/>
    <w:rsid w:val="00CB552C"/>
    <w:rsid w:val="00CB6037"/>
    <w:rsid w:val="00CB6123"/>
    <w:rsid w:val="00CB6A9E"/>
    <w:rsid w:val="00CB764D"/>
    <w:rsid w:val="00CC092C"/>
    <w:rsid w:val="00CC0E85"/>
    <w:rsid w:val="00CC1B1B"/>
    <w:rsid w:val="00CC201A"/>
    <w:rsid w:val="00CC21B5"/>
    <w:rsid w:val="00CC24AE"/>
    <w:rsid w:val="00CC32ED"/>
    <w:rsid w:val="00CC3E70"/>
    <w:rsid w:val="00CC405B"/>
    <w:rsid w:val="00CC5076"/>
    <w:rsid w:val="00CC543C"/>
    <w:rsid w:val="00CC6181"/>
    <w:rsid w:val="00CC6D5E"/>
    <w:rsid w:val="00CD09E0"/>
    <w:rsid w:val="00CD2BCD"/>
    <w:rsid w:val="00CD36AA"/>
    <w:rsid w:val="00CD3791"/>
    <w:rsid w:val="00CD47EA"/>
    <w:rsid w:val="00CD550E"/>
    <w:rsid w:val="00CD5742"/>
    <w:rsid w:val="00CD65B0"/>
    <w:rsid w:val="00CE02CD"/>
    <w:rsid w:val="00CE08A1"/>
    <w:rsid w:val="00CE10E9"/>
    <w:rsid w:val="00CE2F52"/>
    <w:rsid w:val="00CE48AF"/>
    <w:rsid w:val="00CE5C94"/>
    <w:rsid w:val="00CE5E68"/>
    <w:rsid w:val="00CE65A7"/>
    <w:rsid w:val="00CE790B"/>
    <w:rsid w:val="00CF00DC"/>
    <w:rsid w:val="00CF0A3B"/>
    <w:rsid w:val="00CF1C8E"/>
    <w:rsid w:val="00CF1DF4"/>
    <w:rsid w:val="00CF2A45"/>
    <w:rsid w:val="00CF3274"/>
    <w:rsid w:val="00CF3D85"/>
    <w:rsid w:val="00CF4BD7"/>
    <w:rsid w:val="00CF4F2F"/>
    <w:rsid w:val="00CF550C"/>
    <w:rsid w:val="00CF59C8"/>
    <w:rsid w:val="00CF5D64"/>
    <w:rsid w:val="00CF706E"/>
    <w:rsid w:val="00CF7D7F"/>
    <w:rsid w:val="00D0072E"/>
    <w:rsid w:val="00D015DD"/>
    <w:rsid w:val="00D01621"/>
    <w:rsid w:val="00D01D06"/>
    <w:rsid w:val="00D02EF1"/>
    <w:rsid w:val="00D03B1E"/>
    <w:rsid w:val="00D04BF8"/>
    <w:rsid w:val="00D11ED8"/>
    <w:rsid w:val="00D12671"/>
    <w:rsid w:val="00D12B35"/>
    <w:rsid w:val="00D13FE7"/>
    <w:rsid w:val="00D1511F"/>
    <w:rsid w:val="00D152F3"/>
    <w:rsid w:val="00D15727"/>
    <w:rsid w:val="00D15B39"/>
    <w:rsid w:val="00D16332"/>
    <w:rsid w:val="00D16473"/>
    <w:rsid w:val="00D164CB"/>
    <w:rsid w:val="00D17E3C"/>
    <w:rsid w:val="00D202B0"/>
    <w:rsid w:val="00D20323"/>
    <w:rsid w:val="00D2093F"/>
    <w:rsid w:val="00D21E8D"/>
    <w:rsid w:val="00D23608"/>
    <w:rsid w:val="00D23C9B"/>
    <w:rsid w:val="00D24972"/>
    <w:rsid w:val="00D2515E"/>
    <w:rsid w:val="00D25B51"/>
    <w:rsid w:val="00D262E1"/>
    <w:rsid w:val="00D26309"/>
    <w:rsid w:val="00D30341"/>
    <w:rsid w:val="00D304A3"/>
    <w:rsid w:val="00D308ED"/>
    <w:rsid w:val="00D330E2"/>
    <w:rsid w:val="00D35F4B"/>
    <w:rsid w:val="00D36ABC"/>
    <w:rsid w:val="00D408BE"/>
    <w:rsid w:val="00D40D7A"/>
    <w:rsid w:val="00D41771"/>
    <w:rsid w:val="00D42124"/>
    <w:rsid w:val="00D42271"/>
    <w:rsid w:val="00D44C57"/>
    <w:rsid w:val="00D46F6B"/>
    <w:rsid w:val="00D47045"/>
    <w:rsid w:val="00D512C8"/>
    <w:rsid w:val="00D5265B"/>
    <w:rsid w:val="00D5579A"/>
    <w:rsid w:val="00D56178"/>
    <w:rsid w:val="00D563A0"/>
    <w:rsid w:val="00D56CF0"/>
    <w:rsid w:val="00D56F5C"/>
    <w:rsid w:val="00D611AA"/>
    <w:rsid w:val="00D61921"/>
    <w:rsid w:val="00D64327"/>
    <w:rsid w:val="00D6585B"/>
    <w:rsid w:val="00D65874"/>
    <w:rsid w:val="00D669AC"/>
    <w:rsid w:val="00D66B9D"/>
    <w:rsid w:val="00D670FC"/>
    <w:rsid w:val="00D704B1"/>
    <w:rsid w:val="00D70B63"/>
    <w:rsid w:val="00D70B8D"/>
    <w:rsid w:val="00D7123D"/>
    <w:rsid w:val="00D720FC"/>
    <w:rsid w:val="00D728A9"/>
    <w:rsid w:val="00D72B92"/>
    <w:rsid w:val="00D72C0A"/>
    <w:rsid w:val="00D72ED4"/>
    <w:rsid w:val="00D73F61"/>
    <w:rsid w:val="00D74279"/>
    <w:rsid w:val="00D75048"/>
    <w:rsid w:val="00D754C0"/>
    <w:rsid w:val="00D76BC5"/>
    <w:rsid w:val="00D772B8"/>
    <w:rsid w:val="00D776A2"/>
    <w:rsid w:val="00D801C4"/>
    <w:rsid w:val="00D816A5"/>
    <w:rsid w:val="00D81A01"/>
    <w:rsid w:val="00D83158"/>
    <w:rsid w:val="00D84AAE"/>
    <w:rsid w:val="00D85357"/>
    <w:rsid w:val="00D855F9"/>
    <w:rsid w:val="00D85E8C"/>
    <w:rsid w:val="00D86105"/>
    <w:rsid w:val="00D90836"/>
    <w:rsid w:val="00D90EB2"/>
    <w:rsid w:val="00D91284"/>
    <w:rsid w:val="00D920F6"/>
    <w:rsid w:val="00D943F5"/>
    <w:rsid w:val="00D94D0F"/>
    <w:rsid w:val="00D94F0A"/>
    <w:rsid w:val="00D955D6"/>
    <w:rsid w:val="00D95896"/>
    <w:rsid w:val="00D95A75"/>
    <w:rsid w:val="00D95BF8"/>
    <w:rsid w:val="00D95CC6"/>
    <w:rsid w:val="00D96CD9"/>
    <w:rsid w:val="00D9756E"/>
    <w:rsid w:val="00DA0F5C"/>
    <w:rsid w:val="00DA1101"/>
    <w:rsid w:val="00DA16AB"/>
    <w:rsid w:val="00DA1A78"/>
    <w:rsid w:val="00DA2188"/>
    <w:rsid w:val="00DA2DA3"/>
    <w:rsid w:val="00DA3E06"/>
    <w:rsid w:val="00DA3F05"/>
    <w:rsid w:val="00DA4C7C"/>
    <w:rsid w:val="00DA6414"/>
    <w:rsid w:val="00DA6615"/>
    <w:rsid w:val="00DA7436"/>
    <w:rsid w:val="00DA76AE"/>
    <w:rsid w:val="00DB0354"/>
    <w:rsid w:val="00DB0EC7"/>
    <w:rsid w:val="00DB1147"/>
    <w:rsid w:val="00DB15C9"/>
    <w:rsid w:val="00DB181E"/>
    <w:rsid w:val="00DB1C7A"/>
    <w:rsid w:val="00DB2983"/>
    <w:rsid w:val="00DB343D"/>
    <w:rsid w:val="00DB34CA"/>
    <w:rsid w:val="00DB3D0A"/>
    <w:rsid w:val="00DB4AF2"/>
    <w:rsid w:val="00DB5371"/>
    <w:rsid w:val="00DB5579"/>
    <w:rsid w:val="00DB5CFE"/>
    <w:rsid w:val="00DB6D8A"/>
    <w:rsid w:val="00DB7C52"/>
    <w:rsid w:val="00DC0057"/>
    <w:rsid w:val="00DC0403"/>
    <w:rsid w:val="00DC0E60"/>
    <w:rsid w:val="00DC1DEF"/>
    <w:rsid w:val="00DC26D2"/>
    <w:rsid w:val="00DC26DA"/>
    <w:rsid w:val="00DC31C1"/>
    <w:rsid w:val="00DC3FC0"/>
    <w:rsid w:val="00DC5ACD"/>
    <w:rsid w:val="00DC6C8E"/>
    <w:rsid w:val="00DC72A6"/>
    <w:rsid w:val="00DD0B1B"/>
    <w:rsid w:val="00DD2113"/>
    <w:rsid w:val="00DD2363"/>
    <w:rsid w:val="00DD265E"/>
    <w:rsid w:val="00DD268C"/>
    <w:rsid w:val="00DD3666"/>
    <w:rsid w:val="00DD37DF"/>
    <w:rsid w:val="00DD3AE8"/>
    <w:rsid w:val="00DD5ADC"/>
    <w:rsid w:val="00DD6E6C"/>
    <w:rsid w:val="00DD7278"/>
    <w:rsid w:val="00DE1FAA"/>
    <w:rsid w:val="00DE2006"/>
    <w:rsid w:val="00DE2807"/>
    <w:rsid w:val="00DE484C"/>
    <w:rsid w:val="00DE6DEB"/>
    <w:rsid w:val="00DF1930"/>
    <w:rsid w:val="00DF289B"/>
    <w:rsid w:val="00DF28FA"/>
    <w:rsid w:val="00DF514A"/>
    <w:rsid w:val="00DF6B77"/>
    <w:rsid w:val="00E015EE"/>
    <w:rsid w:val="00E0170E"/>
    <w:rsid w:val="00E030BA"/>
    <w:rsid w:val="00E0358D"/>
    <w:rsid w:val="00E051DF"/>
    <w:rsid w:val="00E05524"/>
    <w:rsid w:val="00E05D9D"/>
    <w:rsid w:val="00E06327"/>
    <w:rsid w:val="00E06736"/>
    <w:rsid w:val="00E07878"/>
    <w:rsid w:val="00E113A7"/>
    <w:rsid w:val="00E11C92"/>
    <w:rsid w:val="00E129E9"/>
    <w:rsid w:val="00E135BD"/>
    <w:rsid w:val="00E15BDD"/>
    <w:rsid w:val="00E1654B"/>
    <w:rsid w:val="00E16AE6"/>
    <w:rsid w:val="00E16BEA"/>
    <w:rsid w:val="00E16C42"/>
    <w:rsid w:val="00E16DDB"/>
    <w:rsid w:val="00E20089"/>
    <w:rsid w:val="00E2064B"/>
    <w:rsid w:val="00E21BCE"/>
    <w:rsid w:val="00E22834"/>
    <w:rsid w:val="00E22C74"/>
    <w:rsid w:val="00E24538"/>
    <w:rsid w:val="00E2473E"/>
    <w:rsid w:val="00E25239"/>
    <w:rsid w:val="00E265B1"/>
    <w:rsid w:val="00E265D8"/>
    <w:rsid w:val="00E26E4F"/>
    <w:rsid w:val="00E27531"/>
    <w:rsid w:val="00E275B0"/>
    <w:rsid w:val="00E27640"/>
    <w:rsid w:val="00E27789"/>
    <w:rsid w:val="00E3157E"/>
    <w:rsid w:val="00E31DEF"/>
    <w:rsid w:val="00E322F0"/>
    <w:rsid w:val="00E335BD"/>
    <w:rsid w:val="00E34BC9"/>
    <w:rsid w:val="00E36295"/>
    <w:rsid w:val="00E363B3"/>
    <w:rsid w:val="00E368D0"/>
    <w:rsid w:val="00E37882"/>
    <w:rsid w:val="00E409CB"/>
    <w:rsid w:val="00E40A69"/>
    <w:rsid w:val="00E412D0"/>
    <w:rsid w:val="00E41D41"/>
    <w:rsid w:val="00E420C2"/>
    <w:rsid w:val="00E438EA"/>
    <w:rsid w:val="00E43950"/>
    <w:rsid w:val="00E46E76"/>
    <w:rsid w:val="00E47CDB"/>
    <w:rsid w:val="00E501D6"/>
    <w:rsid w:val="00E534B3"/>
    <w:rsid w:val="00E5467D"/>
    <w:rsid w:val="00E546F5"/>
    <w:rsid w:val="00E54A0E"/>
    <w:rsid w:val="00E54D15"/>
    <w:rsid w:val="00E551F4"/>
    <w:rsid w:val="00E56056"/>
    <w:rsid w:val="00E566BC"/>
    <w:rsid w:val="00E60745"/>
    <w:rsid w:val="00E60982"/>
    <w:rsid w:val="00E60C8D"/>
    <w:rsid w:val="00E60E81"/>
    <w:rsid w:val="00E6162F"/>
    <w:rsid w:val="00E61CE3"/>
    <w:rsid w:val="00E6311B"/>
    <w:rsid w:val="00E64121"/>
    <w:rsid w:val="00E64699"/>
    <w:rsid w:val="00E64A1A"/>
    <w:rsid w:val="00E6589F"/>
    <w:rsid w:val="00E65D97"/>
    <w:rsid w:val="00E67828"/>
    <w:rsid w:val="00E67EFD"/>
    <w:rsid w:val="00E70181"/>
    <w:rsid w:val="00E702DC"/>
    <w:rsid w:val="00E70E3A"/>
    <w:rsid w:val="00E71421"/>
    <w:rsid w:val="00E71FFB"/>
    <w:rsid w:val="00E72374"/>
    <w:rsid w:val="00E72479"/>
    <w:rsid w:val="00E7265C"/>
    <w:rsid w:val="00E72CCE"/>
    <w:rsid w:val="00E73B09"/>
    <w:rsid w:val="00E73DCE"/>
    <w:rsid w:val="00E755EA"/>
    <w:rsid w:val="00E76B6A"/>
    <w:rsid w:val="00E76D1D"/>
    <w:rsid w:val="00E8016E"/>
    <w:rsid w:val="00E806F8"/>
    <w:rsid w:val="00E80788"/>
    <w:rsid w:val="00E80EBE"/>
    <w:rsid w:val="00E81A5F"/>
    <w:rsid w:val="00E828D5"/>
    <w:rsid w:val="00E8290E"/>
    <w:rsid w:val="00E838AE"/>
    <w:rsid w:val="00E83B9E"/>
    <w:rsid w:val="00E843B8"/>
    <w:rsid w:val="00E8467D"/>
    <w:rsid w:val="00E863AA"/>
    <w:rsid w:val="00E86403"/>
    <w:rsid w:val="00E87752"/>
    <w:rsid w:val="00E8793B"/>
    <w:rsid w:val="00E87B2F"/>
    <w:rsid w:val="00E905A9"/>
    <w:rsid w:val="00E906F0"/>
    <w:rsid w:val="00E90CC3"/>
    <w:rsid w:val="00E90F81"/>
    <w:rsid w:val="00E91A6D"/>
    <w:rsid w:val="00E9242D"/>
    <w:rsid w:val="00E92BC7"/>
    <w:rsid w:val="00E940E6"/>
    <w:rsid w:val="00E94724"/>
    <w:rsid w:val="00E96F72"/>
    <w:rsid w:val="00E97C87"/>
    <w:rsid w:val="00E97CDE"/>
    <w:rsid w:val="00EA0322"/>
    <w:rsid w:val="00EA1B12"/>
    <w:rsid w:val="00EA1C3C"/>
    <w:rsid w:val="00EA1C3E"/>
    <w:rsid w:val="00EA2D3B"/>
    <w:rsid w:val="00EA37F0"/>
    <w:rsid w:val="00EA47BE"/>
    <w:rsid w:val="00EA49B2"/>
    <w:rsid w:val="00EA538B"/>
    <w:rsid w:val="00EB041C"/>
    <w:rsid w:val="00EB0C9E"/>
    <w:rsid w:val="00EB1361"/>
    <w:rsid w:val="00EB1439"/>
    <w:rsid w:val="00EB281D"/>
    <w:rsid w:val="00EB34AD"/>
    <w:rsid w:val="00EB417F"/>
    <w:rsid w:val="00EB4AE2"/>
    <w:rsid w:val="00EB4D91"/>
    <w:rsid w:val="00EB4E26"/>
    <w:rsid w:val="00EB735B"/>
    <w:rsid w:val="00EC07F1"/>
    <w:rsid w:val="00EC106F"/>
    <w:rsid w:val="00EC16E1"/>
    <w:rsid w:val="00EC2224"/>
    <w:rsid w:val="00EC4023"/>
    <w:rsid w:val="00EC49E3"/>
    <w:rsid w:val="00EC5874"/>
    <w:rsid w:val="00EC6504"/>
    <w:rsid w:val="00EC6D56"/>
    <w:rsid w:val="00EC75CF"/>
    <w:rsid w:val="00EC75EA"/>
    <w:rsid w:val="00ED0DC7"/>
    <w:rsid w:val="00ED108C"/>
    <w:rsid w:val="00ED1498"/>
    <w:rsid w:val="00ED192D"/>
    <w:rsid w:val="00ED21BF"/>
    <w:rsid w:val="00ED227B"/>
    <w:rsid w:val="00ED2AE0"/>
    <w:rsid w:val="00ED30B4"/>
    <w:rsid w:val="00ED31F5"/>
    <w:rsid w:val="00ED3F6C"/>
    <w:rsid w:val="00ED4B5E"/>
    <w:rsid w:val="00ED4BE6"/>
    <w:rsid w:val="00ED4BF5"/>
    <w:rsid w:val="00ED657D"/>
    <w:rsid w:val="00ED76FE"/>
    <w:rsid w:val="00EE1A0A"/>
    <w:rsid w:val="00EE2953"/>
    <w:rsid w:val="00EE33E2"/>
    <w:rsid w:val="00EE3BD9"/>
    <w:rsid w:val="00EE3BE8"/>
    <w:rsid w:val="00EE3C23"/>
    <w:rsid w:val="00EE3EC6"/>
    <w:rsid w:val="00EE4A13"/>
    <w:rsid w:val="00EE5637"/>
    <w:rsid w:val="00EE5638"/>
    <w:rsid w:val="00EE6D22"/>
    <w:rsid w:val="00EE6E01"/>
    <w:rsid w:val="00EE764A"/>
    <w:rsid w:val="00EF04F5"/>
    <w:rsid w:val="00EF172C"/>
    <w:rsid w:val="00EF2759"/>
    <w:rsid w:val="00EF37FE"/>
    <w:rsid w:val="00EF4128"/>
    <w:rsid w:val="00EF45EB"/>
    <w:rsid w:val="00EF5099"/>
    <w:rsid w:val="00EF58E2"/>
    <w:rsid w:val="00EF5E33"/>
    <w:rsid w:val="00EF65F2"/>
    <w:rsid w:val="00EF7E90"/>
    <w:rsid w:val="00F00075"/>
    <w:rsid w:val="00F015E2"/>
    <w:rsid w:val="00F019E8"/>
    <w:rsid w:val="00F0451F"/>
    <w:rsid w:val="00F07822"/>
    <w:rsid w:val="00F1062B"/>
    <w:rsid w:val="00F10FBE"/>
    <w:rsid w:val="00F1219B"/>
    <w:rsid w:val="00F14A1B"/>
    <w:rsid w:val="00F15C95"/>
    <w:rsid w:val="00F1600A"/>
    <w:rsid w:val="00F16237"/>
    <w:rsid w:val="00F16AD5"/>
    <w:rsid w:val="00F213DE"/>
    <w:rsid w:val="00F22985"/>
    <w:rsid w:val="00F23730"/>
    <w:rsid w:val="00F241AB"/>
    <w:rsid w:val="00F24530"/>
    <w:rsid w:val="00F25D62"/>
    <w:rsid w:val="00F2613B"/>
    <w:rsid w:val="00F31382"/>
    <w:rsid w:val="00F3138E"/>
    <w:rsid w:val="00F31E7D"/>
    <w:rsid w:val="00F3512F"/>
    <w:rsid w:val="00F35829"/>
    <w:rsid w:val="00F36769"/>
    <w:rsid w:val="00F40814"/>
    <w:rsid w:val="00F42868"/>
    <w:rsid w:val="00F42CBA"/>
    <w:rsid w:val="00F44DA8"/>
    <w:rsid w:val="00F458F9"/>
    <w:rsid w:val="00F465A7"/>
    <w:rsid w:val="00F50B7C"/>
    <w:rsid w:val="00F51FB5"/>
    <w:rsid w:val="00F5202D"/>
    <w:rsid w:val="00F52035"/>
    <w:rsid w:val="00F52CF6"/>
    <w:rsid w:val="00F53DA3"/>
    <w:rsid w:val="00F53EEF"/>
    <w:rsid w:val="00F54035"/>
    <w:rsid w:val="00F54496"/>
    <w:rsid w:val="00F54914"/>
    <w:rsid w:val="00F55CFC"/>
    <w:rsid w:val="00F55ECD"/>
    <w:rsid w:val="00F56367"/>
    <w:rsid w:val="00F56C6E"/>
    <w:rsid w:val="00F61097"/>
    <w:rsid w:val="00F611CA"/>
    <w:rsid w:val="00F62B02"/>
    <w:rsid w:val="00F63309"/>
    <w:rsid w:val="00F63660"/>
    <w:rsid w:val="00F64758"/>
    <w:rsid w:val="00F70984"/>
    <w:rsid w:val="00F70D9C"/>
    <w:rsid w:val="00F70DFD"/>
    <w:rsid w:val="00F718D4"/>
    <w:rsid w:val="00F73BAE"/>
    <w:rsid w:val="00F73FCD"/>
    <w:rsid w:val="00F74345"/>
    <w:rsid w:val="00F74441"/>
    <w:rsid w:val="00F749A9"/>
    <w:rsid w:val="00F74BA3"/>
    <w:rsid w:val="00F74D9C"/>
    <w:rsid w:val="00F769AE"/>
    <w:rsid w:val="00F77241"/>
    <w:rsid w:val="00F77F30"/>
    <w:rsid w:val="00F801B6"/>
    <w:rsid w:val="00F80BB6"/>
    <w:rsid w:val="00F80D6E"/>
    <w:rsid w:val="00F8243D"/>
    <w:rsid w:val="00F82589"/>
    <w:rsid w:val="00F82B19"/>
    <w:rsid w:val="00F82C79"/>
    <w:rsid w:val="00F82C8D"/>
    <w:rsid w:val="00F82F2B"/>
    <w:rsid w:val="00F836B7"/>
    <w:rsid w:val="00F83B7D"/>
    <w:rsid w:val="00F840E0"/>
    <w:rsid w:val="00F84BC9"/>
    <w:rsid w:val="00F8523A"/>
    <w:rsid w:val="00F861B7"/>
    <w:rsid w:val="00F90AA7"/>
    <w:rsid w:val="00F90E41"/>
    <w:rsid w:val="00F9212D"/>
    <w:rsid w:val="00F92A40"/>
    <w:rsid w:val="00F94830"/>
    <w:rsid w:val="00F96A2C"/>
    <w:rsid w:val="00FA0658"/>
    <w:rsid w:val="00FA1787"/>
    <w:rsid w:val="00FA2F95"/>
    <w:rsid w:val="00FA301A"/>
    <w:rsid w:val="00FA386C"/>
    <w:rsid w:val="00FA39D2"/>
    <w:rsid w:val="00FA406A"/>
    <w:rsid w:val="00FA4702"/>
    <w:rsid w:val="00FA47EA"/>
    <w:rsid w:val="00FA4D86"/>
    <w:rsid w:val="00FA5659"/>
    <w:rsid w:val="00FA5A9F"/>
    <w:rsid w:val="00FA5CB6"/>
    <w:rsid w:val="00FB0269"/>
    <w:rsid w:val="00FB2651"/>
    <w:rsid w:val="00FB4223"/>
    <w:rsid w:val="00FB5DC9"/>
    <w:rsid w:val="00FB6378"/>
    <w:rsid w:val="00FB6772"/>
    <w:rsid w:val="00FB6DE0"/>
    <w:rsid w:val="00FB6E07"/>
    <w:rsid w:val="00FB7B84"/>
    <w:rsid w:val="00FC0501"/>
    <w:rsid w:val="00FC1656"/>
    <w:rsid w:val="00FC3554"/>
    <w:rsid w:val="00FC47EE"/>
    <w:rsid w:val="00FC4C30"/>
    <w:rsid w:val="00FC5B00"/>
    <w:rsid w:val="00FC5E92"/>
    <w:rsid w:val="00FC659E"/>
    <w:rsid w:val="00FC66AC"/>
    <w:rsid w:val="00FD1590"/>
    <w:rsid w:val="00FD18F4"/>
    <w:rsid w:val="00FD233C"/>
    <w:rsid w:val="00FD3507"/>
    <w:rsid w:val="00FD5582"/>
    <w:rsid w:val="00FD5F60"/>
    <w:rsid w:val="00FD6239"/>
    <w:rsid w:val="00FD74B4"/>
    <w:rsid w:val="00FD76A8"/>
    <w:rsid w:val="00FE0993"/>
    <w:rsid w:val="00FE1376"/>
    <w:rsid w:val="00FE1C80"/>
    <w:rsid w:val="00FE433E"/>
    <w:rsid w:val="00FE49C3"/>
    <w:rsid w:val="00FE7708"/>
    <w:rsid w:val="00FE79CA"/>
    <w:rsid w:val="00FF049E"/>
    <w:rsid w:val="00FF32AA"/>
    <w:rsid w:val="00FF51B1"/>
    <w:rsid w:val="00FF5C46"/>
    <w:rsid w:val="00FF6FCE"/>
    <w:rsid w:val="00FF7518"/>
    <w:rsid w:val="00FF7FD8"/>
    <w:rsid w:val="01C171EB"/>
    <w:rsid w:val="01DF5C17"/>
    <w:rsid w:val="03162BB0"/>
    <w:rsid w:val="038F0A59"/>
    <w:rsid w:val="04EA4FB8"/>
    <w:rsid w:val="04F64EEC"/>
    <w:rsid w:val="055A11A8"/>
    <w:rsid w:val="05742AC8"/>
    <w:rsid w:val="059454B6"/>
    <w:rsid w:val="05E9526D"/>
    <w:rsid w:val="06352F05"/>
    <w:rsid w:val="063E7D85"/>
    <w:rsid w:val="066A33BC"/>
    <w:rsid w:val="070875E0"/>
    <w:rsid w:val="07293586"/>
    <w:rsid w:val="07295285"/>
    <w:rsid w:val="077257AF"/>
    <w:rsid w:val="07770C56"/>
    <w:rsid w:val="07BC57BE"/>
    <w:rsid w:val="07D10A07"/>
    <w:rsid w:val="091D49BD"/>
    <w:rsid w:val="092217DD"/>
    <w:rsid w:val="093A7294"/>
    <w:rsid w:val="09895630"/>
    <w:rsid w:val="09AE6375"/>
    <w:rsid w:val="09C070DB"/>
    <w:rsid w:val="0AA043A4"/>
    <w:rsid w:val="0AF25C9E"/>
    <w:rsid w:val="0B735FF3"/>
    <w:rsid w:val="0BAE3E9B"/>
    <w:rsid w:val="0BD27BF6"/>
    <w:rsid w:val="0C2F1549"/>
    <w:rsid w:val="0CA7258C"/>
    <w:rsid w:val="0CB679B8"/>
    <w:rsid w:val="0CB961F5"/>
    <w:rsid w:val="0D38008C"/>
    <w:rsid w:val="0DCB34F3"/>
    <w:rsid w:val="0E110D06"/>
    <w:rsid w:val="0E30225E"/>
    <w:rsid w:val="0E8F7B30"/>
    <w:rsid w:val="0F0C466A"/>
    <w:rsid w:val="0F13775A"/>
    <w:rsid w:val="0F3E00DB"/>
    <w:rsid w:val="0F5372FC"/>
    <w:rsid w:val="0F9A112B"/>
    <w:rsid w:val="106D2F64"/>
    <w:rsid w:val="10B63710"/>
    <w:rsid w:val="10C36704"/>
    <w:rsid w:val="111C2F7A"/>
    <w:rsid w:val="113013DE"/>
    <w:rsid w:val="122B06C2"/>
    <w:rsid w:val="12796471"/>
    <w:rsid w:val="12EF37E0"/>
    <w:rsid w:val="1321502B"/>
    <w:rsid w:val="13951726"/>
    <w:rsid w:val="14396509"/>
    <w:rsid w:val="1447165C"/>
    <w:rsid w:val="14483DAD"/>
    <w:rsid w:val="14957C2A"/>
    <w:rsid w:val="14B15984"/>
    <w:rsid w:val="15821B2D"/>
    <w:rsid w:val="16506B32"/>
    <w:rsid w:val="16754487"/>
    <w:rsid w:val="16784180"/>
    <w:rsid w:val="16CC350B"/>
    <w:rsid w:val="16CE665A"/>
    <w:rsid w:val="16F10FA9"/>
    <w:rsid w:val="17735226"/>
    <w:rsid w:val="17AA23CB"/>
    <w:rsid w:val="17EC6540"/>
    <w:rsid w:val="182932F0"/>
    <w:rsid w:val="184D3B19"/>
    <w:rsid w:val="18FB1AE9"/>
    <w:rsid w:val="19516FA3"/>
    <w:rsid w:val="19560718"/>
    <w:rsid w:val="19C36D63"/>
    <w:rsid w:val="19C74C41"/>
    <w:rsid w:val="19E96131"/>
    <w:rsid w:val="1A1C66C0"/>
    <w:rsid w:val="1A42393B"/>
    <w:rsid w:val="1AC60B16"/>
    <w:rsid w:val="1ACB6E64"/>
    <w:rsid w:val="1B046F80"/>
    <w:rsid w:val="1B3267B5"/>
    <w:rsid w:val="1B3C6FE2"/>
    <w:rsid w:val="1B6008AF"/>
    <w:rsid w:val="1BC25DC8"/>
    <w:rsid w:val="1BD143CB"/>
    <w:rsid w:val="1C5E7925"/>
    <w:rsid w:val="1C887FC8"/>
    <w:rsid w:val="1C902D42"/>
    <w:rsid w:val="1C985047"/>
    <w:rsid w:val="1D5F6196"/>
    <w:rsid w:val="1D6132A5"/>
    <w:rsid w:val="1D8E56D5"/>
    <w:rsid w:val="1D9A411D"/>
    <w:rsid w:val="1DA631EF"/>
    <w:rsid w:val="1DC336A9"/>
    <w:rsid w:val="1DF81D9E"/>
    <w:rsid w:val="1E185AFC"/>
    <w:rsid w:val="1E7A43DA"/>
    <w:rsid w:val="1EB277FE"/>
    <w:rsid w:val="1F705A78"/>
    <w:rsid w:val="1FC77071"/>
    <w:rsid w:val="1FE7539E"/>
    <w:rsid w:val="20215F2A"/>
    <w:rsid w:val="20963CB8"/>
    <w:rsid w:val="20B07FB6"/>
    <w:rsid w:val="21001874"/>
    <w:rsid w:val="213B74B1"/>
    <w:rsid w:val="215313E0"/>
    <w:rsid w:val="215A2310"/>
    <w:rsid w:val="217355AD"/>
    <w:rsid w:val="21DE318A"/>
    <w:rsid w:val="21E2133E"/>
    <w:rsid w:val="21EF5B80"/>
    <w:rsid w:val="22576990"/>
    <w:rsid w:val="225D5873"/>
    <w:rsid w:val="22652133"/>
    <w:rsid w:val="229C4EAB"/>
    <w:rsid w:val="229E3DE3"/>
    <w:rsid w:val="22AC036E"/>
    <w:rsid w:val="22FE3670"/>
    <w:rsid w:val="23552F44"/>
    <w:rsid w:val="240033A6"/>
    <w:rsid w:val="24093492"/>
    <w:rsid w:val="240F5A90"/>
    <w:rsid w:val="24197E88"/>
    <w:rsid w:val="246D18CE"/>
    <w:rsid w:val="24A3267C"/>
    <w:rsid w:val="24B321AE"/>
    <w:rsid w:val="24D51FDD"/>
    <w:rsid w:val="24F739EE"/>
    <w:rsid w:val="252D53FE"/>
    <w:rsid w:val="2560465F"/>
    <w:rsid w:val="25DF7A08"/>
    <w:rsid w:val="25EC2D81"/>
    <w:rsid w:val="262B0B7B"/>
    <w:rsid w:val="264528BD"/>
    <w:rsid w:val="26895E7B"/>
    <w:rsid w:val="2786250D"/>
    <w:rsid w:val="27D15DD1"/>
    <w:rsid w:val="27E3173A"/>
    <w:rsid w:val="27EB0FE8"/>
    <w:rsid w:val="28102647"/>
    <w:rsid w:val="28357A8F"/>
    <w:rsid w:val="284525E3"/>
    <w:rsid w:val="28A67ADA"/>
    <w:rsid w:val="28A76295"/>
    <w:rsid w:val="291E2401"/>
    <w:rsid w:val="29206EB8"/>
    <w:rsid w:val="29E325E0"/>
    <w:rsid w:val="29FB5186"/>
    <w:rsid w:val="2A123CFA"/>
    <w:rsid w:val="2A452503"/>
    <w:rsid w:val="2A4D29B5"/>
    <w:rsid w:val="2ABD6366"/>
    <w:rsid w:val="2B312790"/>
    <w:rsid w:val="2B7E73D8"/>
    <w:rsid w:val="2B8B283E"/>
    <w:rsid w:val="2BA936A8"/>
    <w:rsid w:val="2C315A5A"/>
    <w:rsid w:val="2C626979"/>
    <w:rsid w:val="2C6C0F94"/>
    <w:rsid w:val="2C982FDC"/>
    <w:rsid w:val="2CEE0863"/>
    <w:rsid w:val="2D7C60EC"/>
    <w:rsid w:val="2D9E56F5"/>
    <w:rsid w:val="2E4700B3"/>
    <w:rsid w:val="2E667F96"/>
    <w:rsid w:val="2E7F2588"/>
    <w:rsid w:val="2E8226AB"/>
    <w:rsid w:val="2E8E0531"/>
    <w:rsid w:val="2EF10115"/>
    <w:rsid w:val="2F4A7E19"/>
    <w:rsid w:val="2F832C79"/>
    <w:rsid w:val="2F833124"/>
    <w:rsid w:val="2FC40297"/>
    <w:rsid w:val="2FEF2D58"/>
    <w:rsid w:val="30580BC9"/>
    <w:rsid w:val="308B6756"/>
    <w:rsid w:val="30DB445C"/>
    <w:rsid w:val="31097D0B"/>
    <w:rsid w:val="311E2ED7"/>
    <w:rsid w:val="315C449C"/>
    <w:rsid w:val="31B82709"/>
    <w:rsid w:val="31CD3170"/>
    <w:rsid w:val="321E4AA5"/>
    <w:rsid w:val="32400B34"/>
    <w:rsid w:val="32651F06"/>
    <w:rsid w:val="328B7D6E"/>
    <w:rsid w:val="329E6876"/>
    <w:rsid w:val="32F52E26"/>
    <w:rsid w:val="33367FB7"/>
    <w:rsid w:val="338E680F"/>
    <w:rsid w:val="33D934D4"/>
    <w:rsid w:val="33FE2F6A"/>
    <w:rsid w:val="34E34DD8"/>
    <w:rsid w:val="350C5BF1"/>
    <w:rsid w:val="353C16C8"/>
    <w:rsid w:val="35696FCA"/>
    <w:rsid w:val="35E56723"/>
    <w:rsid w:val="36074A7F"/>
    <w:rsid w:val="36442540"/>
    <w:rsid w:val="366B3363"/>
    <w:rsid w:val="36923549"/>
    <w:rsid w:val="36AF3047"/>
    <w:rsid w:val="36B75FBF"/>
    <w:rsid w:val="36FB4891"/>
    <w:rsid w:val="372666C3"/>
    <w:rsid w:val="374B40CC"/>
    <w:rsid w:val="37BD44F0"/>
    <w:rsid w:val="37D5758C"/>
    <w:rsid w:val="38F12CD3"/>
    <w:rsid w:val="38F94775"/>
    <w:rsid w:val="392971ED"/>
    <w:rsid w:val="39C87B53"/>
    <w:rsid w:val="3A1A58D0"/>
    <w:rsid w:val="3A270C24"/>
    <w:rsid w:val="3A40479E"/>
    <w:rsid w:val="3A49583D"/>
    <w:rsid w:val="3A683E14"/>
    <w:rsid w:val="3ADC0C61"/>
    <w:rsid w:val="3B225E5C"/>
    <w:rsid w:val="3B290C77"/>
    <w:rsid w:val="3B3763D1"/>
    <w:rsid w:val="3B762DE1"/>
    <w:rsid w:val="3BF35840"/>
    <w:rsid w:val="3C2477F8"/>
    <w:rsid w:val="3C3B0531"/>
    <w:rsid w:val="3CC365FB"/>
    <w:rsid w:val="3CDA245A"/>
    <w:rsid w:val="3CEE0A37"/>
    <w:rsid w:val="3D9C44E6"/>
    <w:rsid w:val="3E3208A1"/>
    <w:rsid w:val="3E9C7C9C"/>
    <w:rsid w:val="3E9F1D36"/>
    <w:rsid w:val="3F660E74"/>
    <w:rsid w:val="3F6F42E2"/>
    <w:rsid w:val="3FD71776"/>
    <w:rsid w:val="4050524F"/>
    <w:rsid w:val="407A6407"/>
    <w:rsid w:val="41322966"/>
    <w:rsid w:val="423A3BCC"/>
    <w:rsid w:val="42542091"/>
    <w:rsid w:val="426B5CC1"/>
    <w:rsid w:val="42E27706"/>
    <w:rsid w:val="433A6FE6"/>
    <w:rsid w:val="4350713C"/>
    <w:rsid w:val="435469A1"/>
    <w:rsid w:val="436653E0"/>
    <w:rsid w:val="43DB0D6D"/>
    <w:rsid w:val="448434D9"/>
    <w:rsid w:val="44CD14E0"/>
    <w:rsid w:val="45471A8E"/>
    <w:rsid w:val="457A74AC"/>
    <w:rsid w:val="45821292"/>
    <w:rsid w:val="458946E9"/>
    <w:rsid w:val="45A60F0C"/>
    <w:rsid w:val="45F915B1"/>
    <w:rsid w:val="460B1E86"/>
    <w:rsid w:val="46300235"/>
    <w:rsid w:val="46426FAB"/>
    <w:rsid w:val="46D955A7"/>
    <w:rsid w:val="47133957"/>
    <w:rsid w:val="47412210"/>
    <w:rsid w:val="4779329E"/>
    <w:rsid w:val="47A07E0C"/>
    <w:rsid w:val="4870272E"/>
    <w:rsid w:val="487C6DD3"/>
    <w:rsid w:val="49DC7715"/>
    <w:rsid w:val="4A023139"/>
    <w:rsid w:val="4A3414FD"/>
    <w:rsid w:val="4A7B576F"/>
    <w:rsid w:val="4AD14DDA"/>
    <w:rsid w:val="4B241572"/>
    <w:rsid w:val="4B8C7DC7"/>
    <w:rsid w:val="4BE60F1D"/>
    <w:rsid w:val="4C3727C8"/>
    <w:rsid w:val="4C3F72B6"/>
    <w:rsid w:val="4C4A0649"/>
    <w:rsid w:val="4C6B0DBF"/>
    <w:rsid w:val="4CB45D6C"/>
    <w:rsid w:val="4CE470D3"/>
    <w:rsid w:val="4D4D6EA4"/>
    <w:rsid w:val="4DC25072"/>
    <w:rsid w:val="4DEC4FB0"/>
    <w:rsid w:val="4E075D8A"/>
    <w:rsid w:val="4ECA68D4"/>
    <w:rsid w:val="4FC62A8C"/>
    <w:rsid w:val="4FE20F0D"/>
    <w:rsid w:val="50497344"/>
    <w:rsid w:val="50504C4B"/>
    <w:rsid w:val="509C6E7C"/>
    <w:rsid w:val="50CF3D2E"/>
    <w:rsid w:val="5162104E"/>
    <w:rsid w:val="51711289"/>
    <w:rsid w:val="51964211"/>
    <w:rsid w:val="519B7CE6"/>
    <w:rsid w:val="520619D1"/>
    <w:rsid w:val="52292CD0"/>
    <w:rsid w:val="523303DA"/>
    <w:rsid w:val="52434A0D"/>
    <w:rsid w:val="52C171A6"/>
    <w:rsid w:val="53752BB9"/>
    <w:rsid w:val="53A039CC"/>
    <w:rsid w:val="53A1505A"/>
    <w:rsid w:val="53AC4AD4"/>
    <w:rsid w:val="54063E08"/>
    <w:rsid w:val="540A05D4"/>
    <w:rsid w:val="543315F7"/>
    <w:rsid w:val="543437E8"/>
    <w:rsid w:val="54616E3A"/>
    <w:rsid w:val="54786446"/>
    <w:rsid w:val="547D4110"/>
    <w:rsid w:val="54AF07F4"/>
    <w:rsid w:val="55382B5F"/>
    <w:rsid w:val="556D42E1"/>
    <w:rsid w:val="559B174B"/>
    <w:rsid w:val="55CE0CF4"/>
    <w:rsid w:val="55D92852"/>
    <w:rsid w:val="5619357A"/>
    <w:rsid w:val="569461A5"/>
    <w:rsid w:val="56B22A9C"/>
    <w:rsid w:val="56BA2E5C"/>
    <w:rsid w:val="571E03FB"/>
    <w:rsid w:val="575707E8"/>
    <w:rsid w:val="57B72A76"/>
    <w:rsid w:val="585C72CE"/>
    <w:rsid w:val="591F373D"/>
    <w:rsid w:val="5921119F"/>
    <w:rsid w:val="59874AA8"/>
    <w:rsid w:val="5A125321"/>
    <w:rsid w:val="5A3C747D"/>
    <w:rsid w:val="5ABD6CE0"/>
    <w:rsid w:val="5ABE2233"/>
    <w:rsid w:val="5AD36B10"/>
    <w:rsid w:val="5B276D18"/>
    <w:rsid w:val="5BDF5D95"/>
    <w:rsid w:val="5C851146"/>
    <w:rsid w:val="5C8D1FB6"/>
    <w:rsid w:val="5CB54D32"/>
    <w:rsid w:val="5CD219F0"/>
    <w:rsid w:val="5CE902D2"/>
    <w:rsid w:val="5D647CEF"/>
    <w:rsid w:val="5DE178D9"/>
    <w:rsid w:val="5DF87A0F"/>
    <w:rsid w:val="5EFA64EC"/>
    <w:rsid w:val="5F1A2B43"/>
    <w:rsid w:val="5F3F720C"/>
    <w:rsid w:val="5F553F98"/>
    <w:rsid w:val="5F7544C8"/>
    <w:rsid w:val="5F8D3F05"/>
    <w:rsid w:val="5FB311A0"/>
    <w:rsid w:val="5FB837BB"/>
    <w:rsid w:val="5FD17AC2"/>
    <w:rsid w:val="5FD458D6"/>
    <w:rsid w:val="602030F0"/>
    <w:rsid w:val="608D7DF6"/>
    <w:rsid w:val="60C2565D"/>
    <w:rsid w:val="60EB6C8D"/>
    <w:rsid w:val="61122341"/>
    <w:rsid w:val="61571C6D"/>
    <w:rsid w:val="61AC52C9"/>
    <w:rsid w:val="62364782"/>
    <w:rsid w:val="62540537"/>
    <w:rsid w:val="62803317"/>
    <w:rsid w:val="633E7A65"/>
    <w:rsid w:val="63950DF7"/>
    <w:rsid w:val="639776FD"/>
    <w:rsid w:val="63B04B4A"/>
    <w:rsid w:val="63D40BE9"/>
    <w:rsid w:val="63E0211F"/>
    <w:rsid w:val="63E17E2B"/>
    <w:rsid w:val="64BC44ED"/>
    <w:rsid w:val="64C41932"/>
    <w:rsid w:val="653071BC"/>
    <w:rsid w:val="65322C65"/>
    <w:rsid w:val="65373578"/>
    <w:rsid w:val="66805DEC"/>
    <w:rsid w:val="668D168B"/>
    <w:rsid w:val="66E16091"/>
    <w:rsid w:val="67234EA3"/>
    <w:rsid w:val="673F2C7A"/>
    <w:rsid w:val="67701EEF"/>
    <w:rsid w:val="681F6961"/>
    <w:rsid w:val="68420338"/>
    <w:rsid w:val="68610A2F"/>
    <w:rsid w:val="68622EBE"/>
    <w:rsid w:val="686934E3"/>
    <w:rsid w:val="686E72AD"/>
    <w:rsid w:val="68787875"/>
    <w:rsid w:val="68805514"/>
    <w:rsid w:val="68EB03C3"/>
    <w:rsid w:val="68FE11FC"/>
    <w:rsid w:val="691F5B44"/>
    <w:rsid w:val="694E2071"/>
    <w:rsid w:val="697A3B33"/>
    <w:rsid w:val="699E2456"/>
    <w:rsid w:val="69B96FB4"/>
    <w:rsid w:val="6A2E5B11"/>
    <w:rsid w:val="6B322639"/>
    <w:rsid w:val="6B3D0E89"/>
    <w:rsid w:val="6C636C38"/>
    <w:rsid w:val="6C93086C"/>
    <w:rsid w:val="6D0112BB"/>
    <w:rsid w:val="6D28709B"/>
    <w:rsid w:val="6D773ED6"/>
    <w:rsid w:val="6DB34098"/>
    <w:rsid w:val="6DB545B6"/>
    <w:rsid w:val="6DC921F8"/>
    <w:rsid w:val="6DD24282"/>
    <w:rsid w:val="6E176A43"/>
    <w:rsid w:val="6E4375A0"/>
    <w:rsid w:val="6E4B2EB1"/>
    <w:rsid w:val="6E4C7581"/>
    <w:rsid w:val="6E514CED"/>
    <w:rsid w:val="6E674750"/>
    <w:rsid w:val="6E79491A"/>
    <w:rsid w:val="6EB563D5"/>
    <w:rsid w:val="6EC45E08"/>
    <w:rsid w:val="6EEF1673"/>
    <w:rsid w:val="6F225983"/>
    <w:rsid w:val="6F2B5282"/>
    <w:rsid w:val="6FE365AF"/>
    <w:rsid w:val="6FFC5590"/>
    <w:rsid w:val="70072E06"/>
    <w:rsid w:val="70301DA3"/>
    <w:rsid w:val="706D1DD0"/>
    <w:rsid w:val="70856B87"/>
    <w:rsid w:val="708D5CA5"/>
    <w:rsid w:val="70D527EE"/>
    <w:rsid w:val="71141580"/>
    <w:rsid w:val="714049C9"/>
    <w:rsid w:val="715B5300"/>
    <w:rsid w:val="715F4BD7"/>
    <w:rsid w:val="71D27F8A"/>
    <w:rsid w:val="71F744C6"/>
    <w:rsid w:val="71F960CF"/>
    <w:rsid w:val="720F7FD6"/>
    <w:rsid w:val="7257661F"/>
    <w:rsid w:val="726128F3"/>
    <w:rsid w:val="72D73E64"/>
    <w:rsid w:val="72E970FE"/>
    <w:rsid w:val="73185F1F"/>
    <w:rsid w:val="731F5D5E"/>
    <w:rsid w:val="738E4E64"/>
    <w:rsid w:val="7414659C"/>
    <w:rsid w:val="741E793C"/>
    <w:rsid w:val="747800B5"/>
    <w:rsid w:val="747B56C4"/>
    <w:rsid w:val="757271FA"/>
    <w:rsid w:val="758D75E2"/>
    <w:rsid w:val="76064652"/>
    <w:rsid w:val="762B4822"/>
    <w:rsid w:val="766964A3"/>
    <w:rsid w:val="76941967"/>
    <w:rsid w:val="77727A12"/>
    <w:rsid w:val="77762421"/>
    <w:rsid w:val="77845E66"/>
    <w:rsid w:val="77CA3F60"/>
    <w:rsid w:val="780F09F4"/>
    <w:rsid w:val="7868522C"/>
    <w:rsid w:val="789C4F47"/>
    <w:rsid w:val="78A90480"/>
    <w:rsid w:val="78CC6C21"/>
    <w:rsid w:val="78EB1552"/>
    <w:rsid w:val="79385B55"/>
    <w:rsid w:val="795030BE"/>
    <w:rsid w:val="79811327"/>
    <w:rsid w:val="7A364017"/>
    <w:rsid w:val="7A8265E1"/>
    <w:rsid w:val="7B100F5A"/>
    <w:rsid w:val="7B2F7856"/>
    <w:rsid w:val="7B3A7406"/>
    <w:rsid w:val="7B686D42"/>
    <w:rsid w:val="7B841746"/>
    <w:rsid w:val="7BA20677"/>
    <w:rsid w:val="7BBB4D2B"/>
    <w:rsid w:val="7C8570A6"/>
    <w:rsid w:val="7C99506C"/>
    <w:rsid w:val="7CD13AFD"/>
    <w:rsid w:val="7D0239FF"/>
    <w:rsid w:val="7D1F4613"/>
    <w:rsid w:val="7D5E40CD"/>
    <w:rsid w:val="7D693BED"/>
    <w:rsid w:val="7D910A9C"/>
    <w:rsid w:val="7DA46223"/>
    <w:rsid w:val="7EDB5E10"/>
    <w:rsid w:val="7F096E99"/>
    <w:rsid w:val="7F2A6646"/>
    <w:rsid w:val="7F325365"/>
    <w:rsid w:val="7FE47E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qFormat="1"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qFormat="1" w:unhideWhenUsed="0" w:uiPriority="0" w:semiHidden="0" w:name="HTML Preformatted"/>
    <w:lsdException w:unhideWhenUsed="0" w:uiPriority="0" w:semiHidden="0" w:name="HTML Sample"/>
    <w:lsdException w:unhideWhenUsed="0" w:uiPriority="0" w:semiHidden="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qFormat="1" w:uiPriority="99" w:semiHidden="0" w:name="Placeholder Text"/>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8"/>
    <w:qFormat/>
    <w:uiPriority w:val="0"/>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4">
    <w:name w:val="heading 2"/>
    <w:basedOn w:val="1"/>
    <w:next w:val="1"/>
    <w:link w:val="59"/>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60"/>
    <w:qFormat/>
    <w:uiPriority w:val="0"/>
    <w:pPr>
      <w:keepNext/>
      <w:keepLines/>
      <w:spacing w:before="260" w:after="260" w:line="416" w:lineRule="auto"/>
      <w:outlineLvl w:val="2"/>
    </w:pPr>
    <w:rPr>
      <w:rFonts w:ascii="Calibri" w:hAnsi="Calibri"/>
      <w:b/>
      <w:bCs/>
      <w:sz w:val="32"/>
      <w:szCs w:val="32"/>
    </w:rPr>
  </w:style>
  <w:style w:type="paragraph" w:styleId="6">
    <w:name w:val="heading 4"/>
    <w:basedOn w:val="1"/>
    <w:next w:val="1"/>
    <w:link w:val="61"/>
    <w:qFormat/>
    <w:uiPriority w:val="0"/>
    <w:pPr>
      <w:keepNext/>
      <w:keepLines/>
      <w:spacing w:before="280" w:after="290" w:line="376" w:lineRule="auto"/>
      <w:outlineLvl w:val="3"/>
    </w:pPr>
    <w:rPr>
      <w:rFonts w:ascii="等线 Light" w:hAnsi="等线 Light" w:eastAsia="等线 Light"/>
      <w:b/>
      <w:bCs/>
      <w:sz w:val="28"/>
      <w:szCs w:val="28"/>
    </w:rPr>
  </w:style>
  <w:style w:type="paragraph" w:styleId="7">
    <w:name w:val="heading 5"/>
    <w:basedOn w:val="1"/>
    <w:next w:val="1"/>
    <w:link w:val="62"/>
    <w:qFormat/>
    <w:uiPriority w:val="0"/>
    <w:pPr>
      <w:keepNext/>
      <w:keepLines/>
      <w:spacing w:before="280" w:after="290" w:line="376" w:lineRule="auto"/>
      <w:outlineLvl w:val="4"/>
    </w:pPr>
    <w:rPr>
      <w:rFonts w:ascii="Calibri" w:hAnsi="Calibri"/>
      <w:b/>
      <w:bCs/>
      <w:sz w:val="28"/>
      <w:szCs w:val="28"/>
    </w:rPr>
  </w:style>
  <w:style w:type="paragraph" w:styleId="8">
    <w:name w:val="heading 6"/>
    <w:basedOn w:val="1"/>
    <w:next w:val="1"/>
    <w:link w:val="63"/>
    <w:qFormat/>
    <w:uiPriority w:val="0"/>
    <w:pPr>
      <w:keepNext/>
      <w:keepLines/>
      <w:spacing w:before="240" w:after="64" w:line="320" w:lineRule="auto"/>
      <w:outlineLvl w:val="5"/>
    </w:pPr>
    <w:rPr>
      <w:rFonts w:ascii="Arial" w:hAnsi="Arial" w:eastAsia="黑体"/>
      <w:b/>
      <w:bCs/>
      <w:sz w:val="24"/>
    </w:rPr>
  </w:style>
  <w:style w:type="paragraph" w:styleId="9">
    <w:name w:val="heading 7"/>
    <w:basedOn w:val="1"/>
    <w:next w:val="1"/>
    <w:link w:val="64"/>
    <w:qFormat/>
    <w:uiPriority w:val="0"/>
    <w:pPr>
      <w:keepNext/>
      <w:keepLines/>
      <w:spacing w:before="240" w:after="64" w:line="320" w:lineRule="auto"/>
      <w:outlineLvl w:val="6"/>
    </w:pPr>
    <w:rPr>
      <w:rFonts w:ascii="Calibri" w:hAnsi="Calibri"/>
      <w:b/>
      <w:bCs/>
      <w:sz w:val="24"/>
    </w:rPr>
  </w:style>
  <w:style w:type="paragraph" w:styleId="10">
    <w:name w:val="heading 8"/>
    <w:basedOn w:val="1"/>
    <w:next w:val="1"/>
    <w:link w:val="65"/>
    <w:qFormat/>
    <w:uiPriority w:val="0"/>
    <w:pPr>
      <w:keepNext/>
      <w:keepLines/>
      <w:spacing w:before="240" w:after="64" w:line="320" w:lineRule="auto"/>
      <w:outlineLvl w:val="7"/>
    </w:pPr>
    <w:rPr>
      <w:rFonts w:ascii="Arial" w:hAnsi="Arial" w:eastAsia="黑体"/>
      <w:sz w:val="24"/>
    </w:rPr>
  </w:style>
  <w:style w:type="paragraph" w:styleId="11">
    <w:name w:val="heading 9"/>
    <w:basedOn w:val="1"/>
    <w:next w:val="1"/>
    <w:link w:val="66"/>
    <w:qFormat/>
    <w:uiPriority w:val="0"/>
    <w:pPr>
      <w:keepNext/>
      <w:keepLines/>
      <w:spacing w:before="240" w:after="64" w:line="320" w:lineRule="auto"/>
      <w:outlineLvl w:val="8"/>
    </w:pPr>
    <w:rPr>
      <w:rFonts w:ascii="Arial" w:hAnsi="Arial" w:eastAsia="黑体"/>
      <w:szCs w:val="21"/>
    </w:rPr>
  </w:style>
  <w:style w:type="character" w:default="1" w:styleId="46">
    <w:name w:val="Default Paragraph Font"/>
    <w:semiHidden/>
    <w:unhideWhenUsed/>
    <w:qFormat/>
    <w:uiPriority w:val="1"/>
  </w:style>
  <w:style w:type="table" w:default="1" w:styleId="44">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macro"/>
    <w:link w:val="57"/>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Note Heading"/>
    <w:basedOn w:val="1"/>
    <w:next w:val="1"/>
    <w:link w:val="67"/>
    <w:qFormat/>
    <w:uiPriority w:val="0"/>
    <w:pPr>
      <w:jc w:val="center"/>
    </w:pPr>
    <w:rPr>
      <w:rFonts w:ascii="Calibri" w:hAnsi="Calibri"/>
    </w:rPr>
  </w:style>
  <w:style w:type="paragraph" w:styleId="13">
    <w:name w:val="Normal Indent"/>
    <w:basedOn w:val="1"/>
    <w:next w:val="6"/>
    <w:link w:val="68"/>
    <w:qFormat/>
    <w:uiPriority w:val="0"/>
    <w:pPr>
      <w:spacing w:line="240" w:lineRule="atLeast"/>
      <w:ind w:firstLine="420"/>
    </w:pPr>
    <w:rPr>
      <w:rFonts w:ascii="Calibri" w:hAnsi="Calibri"/>
      <w:kern w:val="0"/>
      <w:sz w:val="28"/>
      <w:szCs w:val="20"/>
    </w:rPr>
  </w:style>
  <w:style w:type="paragraph" w:styleId="14">
    <w:name w:val="caption"/>
    <w:basedOn w:val="1"/>
    <w:next w:val="1"/>
    <w:qFormat/>
    <w:uiPriority w:val="0"/>
    <w:rPr>
      <w:rFonts w:ascii="Arial" w:hAnsi="Arial" w:eastAsia="黑体" w:cs="Arial"/>
      <w:sz w:val="20"/>
      <w:szCs w:val="20"/>
    </w:rPr>
  </w:style>
  <w:style w:type="paragraph" w:styleId="15">
    <w:name w:val="Document Map"/>
    <w:basedOn w:val="1"/>
    <w:link w:val="69"/>
    <w:qFormat/>
    <w:uiPriority w:val="0"/>
    <w:pPr>
      <w:shd w:val="clear" w:color="auto" w:fill="000080"/>
    </w:pPr>
    <w:rPr>
      <w:rFonts w:ascii="Calibri" w:hAnsi="Calibri"/>
    </w:rPr>
  </w:style>
  <w:style w:type="paragraph" w:styleId="16">
    <w:name w:val="annotation text"/>
    <w:basedOn w:val="1"/>
    <w:link w:val="70"/>
    <w:qFormat/>
    <w:uiPriority w:val="0"/>
    <w:pPr>
      <w:jc w:val="left"/>
    </w:pPr>
    <w:rPr>
      <w:kern w:val="0"/>
      <w:sz w:val="20"/>
    </w:rPr>
  </w:style>
  <w:style w:type="paragraph" w:styleId="17">
    <w:name w:val="Salutation"/>
    <w:basedOn w:val="1"/>
    <w:next w:val="1"/>
    <w:link w:val="71"/>
    <w:qFormat/>
    <w:uiPriority w:val="0"/>
    <w:rPr>
      <w:rFonts w:ascii="Calibri" w:hAnsi="Calibri"/>
    </w:rPr>
  </w:style>
  <w:style w:type="paragraph" w:styleId="18">
    <w:name w:val="Body Text 3"/>
    <w:basedOn w:val="1"/>
    <w:link w:val="72"/>
    <w:qFormat/>
    <w:uiPriority w:val="0"/>
    <w:pPr>
      <w:spacing w:line="440" w:lineRule="exact"/>
    </w:pPr>
    <w:rPr>
      <w:rFonts w:ascii="宋体" w:hAnsi="宋体"/>
      <w:sz w:val="28"/>
    </w:rPr>
  </w:style>
  <w:style w:type="paragraph" w:styleId="19">
    <w:name w:val="Body Text"/>
    <w:basedOn w:val="1"/>
    <w:link w:val="73"/>
    <w:qFormat/>
    <w:uiPriority w:val="0"/>
    <w:pPr>
      <w:widowControl/>
      <w:snapToGrid w:val="0"/>
      <w:spacing w:before="60" w:after="160" w:line="259" w:lineRule="auto"/>
      <w:ind w:right="113"/>
    </w:pPr>
    <w:rPr>
      <w:kern w:val="0"/>
      <w:sz w:val="18"/>
      <w:szCs w:val="18"/>
    </w:rPr>
  </w:style>
  <w:style w:type="paragraph" w:styleId="20">
    <w:name w:val="Body Text Indent"/>
    <w:basedOn w:val="1"/>
    <w:next w:val="21"/>
    <w:link w:val="74"/>
    <w:qFormat/>
    <w:uiPriority w:val="0"/>
    <w:pPr>
      <w:spacing w:after="120"/>
      <w:ind w:left="420" w:leftChars="200"/>
    </w:pPr>
  </w:style>
  <w:style w:type="paragraph" w:customStyle="1" w:styleId="21">
    <w:name w:val="样式 正文文本缩进正文文字缩进 + 首行缩进:  2 字符"/>
    <w:basedOn w:val="1"/>
    <w:next w:val="1"/>
    <w:qFormat/>
    <w:uiPriority w:val="0"/>
    <w:pPr>
      <w:widowControl/>
      <w:snapToGrid w:val="0"/>
      <w:spacing w:line="336" w:lineRule="auto"/>
      <w:ind w:firstLine="560"/>
      <w:jc w:val="left"/>
    </w:pPr>
    <w:rPr>
      <w:sz w:val="28"/>
      <w:szCs w:val="28"/>
    </w:rPr>
  </w:style>
  <w:style w:type="paragraph" w:styleId="22">
    <w:name w:val="List 2"/>
    <w:basedOn w:val="1"/>
    <w:qFormat/>
    <w:uiPriority w:val="0"/>
    <w:pPr>
      <w:ind w:left="840" w:hanging="420"/>
    </w:pPr>
    <w:rPr>
      <w:rFonts w:ascii="Calibri" w:hAnsi="Calibri"/>
      <w:sz w:val="26"/>
    </w:rPr>
  </w:style>
  <w:style w:type="paragraph" w:styleId="23">
    <w:name w:val="toc 3"/>
    <w:basedOn w:val="1"/>
    <w:next w:val="1"/>
    <w:qFormat/>
    <w:uiPriority w:val="0"/>
    <w:pPr>
      <w:widowControl/>
      <w:tabs>
        <w:tab w:val="left" w:pos="1200"/>
        <w:tab w:val="right" w:leader="dot" w:pos="8493"/>
      </w:tabs>
      <w:overflowPunct w:val="0"/>
      <w:autoSpaceDE w:val="0"/>
      <w:autoSpaceDN w:val="0"/>
      <w:adjustRightInd w:val="0"/>
      <w:spacing w:line="360" w:lineRule="auto"/>
      <w:ind w:left="403"/>
      <w:jc w:val="left"/>
      <w:textAlignment w:val="baseline"/>
    </w:pPr>
    <w:rPr>
      <w:rFonts w:ascii="Calibri" w:hAnsi="Calibri"/>
      <w:kern w:val="0"/>
      <w:sz w:val="24"/>
    </w:rPr>
  </w:style>
  <w:style w:type="paragraph" w:styleId="24">
    <w:name w:val="Plain Text"/>
    <w:basedOn w:val="1"/>
    <w:link w:val="75"/>
    <w:qFormat/>
    <w:uiPriority w:val="0"/>
    <w:pPr>
      <w:widowControl/>
      <w:spacing w:before="100" w:beforeAutospacing="1" w:after="100" w:afterAutospacing="1"/>
      <w:jc w:val="left"/>
    </w:pPr>
    <w:rPr>
      <w:rFonts w:ascii="宋体" w:hAnsi="宋体"/>
      <w:kern w:val="0"/>
      <w:sz w:val="24"/>
    </w:rPr>
  </w:style>
  <w:style w:type="paragraph" w:styleId="25">
    <w:name w:val="Date"/>
    <w:basedOn w:val="1"/>
    <w:next w:val="1"/>
    <w:link w:val="76"/>
    <w:qFormat/>
    <w:uiPriority w:val="0"/>
    <w:pPr>
      <w:ind w:left="100" w:leftChars="2500"/>
    </w:pPr>
    <w:rPr>
      <w:kern w:val="0"/>
      <w:sz w:val="20"/>
    </w:rPr>
  </w:style>
  <w:style w:type="paragraph" w:styleId="26">
    <w:name w:val="Body Text Indent 2"/>
    <w:basedOn w:val="1"/>
    <w:next w:val="27"/>
    <w:link w:val="77"/>
    <w:qFormat/>
    <w:uiPriority w:val="0"/>
    <w:pPr>
      <w:spacing w:line="360" w:lineRule="auto"/>
    </w:pPr>
    <w:rPr>
      <w:sz w:val="24"/>
    </w:rPr>
  </w:style>
  <w:style w:type="paragraph" w:customStyle="1" w:styleId="27">
    <w:name w:val="样式 正文文本缩进 2 + 自动设置 行距: 1.5 倍行距"/>
    <w:basedOn w:val="26"/>
    <w:next w:val="1"/>
    <w:unhideWhenUsed/>
    <w:qFormat/>
    <w:uiPriority w:val="0"/>
    <w:rPr>
      <w:rFonts w:hint="eastAsia" w:cs="宋体"/>
      <w:szCs w:val="20"/>
    </w:rPr>
  </w:style>
  <w:style w:type="paragraph" w:styleId="28">
    <w:name w:val="Balloon Text"/>
    <w:basedOn w:val="1"/>
    <w:link w:val="78"/>
    <w:semiHidden/>
    <w:qFormat/>
    <w:uiPriority w:val="0"/>
    <w:rPr>
      <w:sz w:val="18"/>
      <w:szCs w:val="18"/>
    </w:rPr>
  </w:style>
  <w:style w:type="paragraph" w:styleId="29">
    <w:name w:val="footer"/>
    <w:basedOn w:val="1"/>
    <w:link w:val="79"/>
    <w:qFormat/>
    <w:uiPriority w:val="0"/>
    <w:pPr>
      <w:tabs>
        <w:tab w:val="center" w:pos="4153"/>
        <w:tab w:val="right" w:pos="8306"/>
      </w:tabs>
      <w:snapToGrid w:val="0"/>
      <w:jc w:val="left"/>
    </w:pPr>
    <w:rPr>
      <w:sz w:val="18"/>
      <w:szCs w:val="18"/>
    </w:rPr>
  </w:style>
  <w:style w:type="paragraph" w:styleId="30">
    <w:name w:val="header"/>
    <w:basedOn w:val="1"/>
    <w:link w:val="80"/>
    <w:qFormat/>
    <w:uiPriority w:val="99"/>
    <w:pPr>
      <w:pBdr>
        <w:bottom w:val="single" w:color="auto" w:sz="6" w:space="1"/>
      </w:pBdr>
      <w:tabs>
        <w:tab w:val="center" w:pos="4153"/>
        <w:tab w:val="right" w:pos="8306"/>
      </w:tabs>
      <w:snapToGrid w:val="0"/>
      <w:jc w:val="center"/>
    </w:pPr>
    <w:rPr>
      <w:sz w:val="18"/>
      <w:szCs w:val="18"/>
    </w:rPr>
  </w:style>
  <w:style w:type="paragraph" w:styleId="31">
    <w:name w:val="toc 1"/>
    <w:basedOn w:val="1"/>
    <w:next w:val="1"/>
    <w:qFormat/>
    <w:uiPriority w:val="0"/>
    <w:pPr>
      <w:adjustRightInd w:val="0"/>
      <w:snapToGrid w:val="0"/>
      <w:spacing w:line="240" w:lineRule="atLeast"/>
      <w:textAlignment w:val="baseline"/>
    </w:pPr>
    <w:rPr>
      <w:rFonts w:ascii="宋体" w:hAnsi="宋体"/>
      <w:kern w:val="0"/>
      <w:szCs w:val="20"/>
    </w:rPr>
  </w:style>
  <w:style w:type="paragraph" w:styleId="32">
    <w:name w:val="Subtitle"/>
    <w:basedOn w:val="1"/>
    <w:next w:val="1"/>
    <w:link w:val="81"/>
    <w:qFormat/>
    <w:uiPriority w:val="0"/>
    <w:pPr>
      <w:jc w:val="center"/>
    </w:pPr>
    <w:rPr>
      <w:rFonts w:ascii="Calibri" w:hAnsi="Calibri"/>
      <w:bCs/>
      <w:kern w:val="28"/>
      <w:sz w:val="20"/>
      <w:szCs w:val="32"/>
    </w:rPr>
  </w:style>
  <w:style w:type="paragraph" w:styleId="33">
    <w:name w:val="List"/>
    <w:basedOn w:val="1"/>
    <w:qFormat/>
    <w:uiPriority w:val="0"/>
    <w:pPr>
      <w:ind w:left="420" w:hanging="420"/>
    </w:pPr>
    <w:rPr>
      <w:sz w:val="28"/>
      <w:szCs w:val="20"/>
    </w:rPr>
  </w:style>
  <w:style w:type="paragraph" w:styleId="34">
    <w:name w:val="Body Text Indent 3"/>
    <w:basedOn w:val="1"/>
    <w:link w:val="82"/>
    <w:qFormat/>
    <w:uiPriority w:val="0"/>
    <w:pPr>
      <w:ind w:firstLine="646"/>
    </w:pPr>
    <w:rPr>
      <w:rFonts w:ascii="仿宋_GB2312" w:hAnsi="Calibri" w:eastAsia="仿宋_GB2312"/>
      <w:sz w:val="28"/>
    </w:rPr>
  </w:style>
  <w:style w:type="paragraph" w:styleId="35">
    <w:name w:val="toc 2"/>
    <w:basedOn w:val="1"/>
    <w:next w:val="1"/>
    <w:qFormat/>
    <w:uiPriority w:val="0"/>
    <w:pPr>
      <w:ind w:left="420" w:leftChars="200"/>
    </w:pPr>
    <w:rPr>
      <w:rFonts w:ascii="Calibri" w:hAnsi="Calibri"/>
    </w:rPr>
  </w:style>
  <w:style w:type="paragraph" w:styleId="36">
    <w:name w:val="Body Text 2"/>
    <w:basedOn w:val="1"/>
    <w:link w:val="83"/>
    <w:qFormat/>
    <w:uiPriority w:val="0"/>
    <w:pPr>
      <w:spacing w:after="120" w:line="480" w:lineRule="auto"/>
    </w:pPr>
    <w:rPr>
      <w:rFonts w:ascii="Calibri" w:hAnsi="Calibri"/>
    </w:rPr>
  </w:style>
  <w:style w:type="paragraph" w:styleId="37">
    <w:name w:val="HTML Preformatted"/>
    <w:basedOn w:val="1"/>
    <w:link w:val="8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38">
    <w:name w:val="Normal (Web)"/>
    <w:basedOn w:val="1"/>
    <w:link w:val="85"/>
    <w:qFormat/>
    <w:uiPriority w:val="0"/>
    <w:pPr>
      <w:widowControl/>
      <w:spacing w:before="100" w:beforeAutospacing="1" w:after="100" w:afterAutospacing="1"/>
      <w:jc w:val="left"/>
    </w:pPr>
    <w:rPr>
      <w:rFonts w:ascii="宋体" w:hAnsi="宋体"/>
      <w:kern w:val="0"/>
      <w:sz w:val="24"/>
    </w:rPr>
  </w:style>
  <w:style w:type="paragraph" w:styleId="39">
    <w:name w:val="index 1"/>
    <w:basedOn w:val="1"/>
    <w:next w:val="1"/>
    <w:qFormat/>
    <w:uiPriority w:val="0"/>
    <w:pPr>
      <w:adjustRightInd w:val="0"/>
      <w:spacing w:line="240" w:lineRule="atLeast"/>
      <w:jc w:val="center"/>
      <w:textAlignment w:val="baseline"/>
    </w:pPr>
    <w:rPr>
      <w:rFonts w:ascii="宋体" w:hAnsi="宋体"/>
      <w:kern w:val="0"/>
      <w:szCs w:val="20"/>
    </w:rPr>
  </w:style>
  <w:style w:type="paragraph" w:styleId="40">
    <w:name w:val="Title"/>
    <w:basedOn w:val="1"/>
    <w:next w:val="1"/>
    <w:link w:val="86"/>
    <w:qFormat/>
    <w:uiPriority w:val="0"/>
    <w:pPr>
      <w:spacing w:line="360" w:lineRule="auto"/>
      <w:jc w:val="center"/>
    </w:pPr>
    <w:rPr>
      <w:rFonts w:ascii="Calibri" w:hAnsi="Calibri"/>
      <w:b/>
      <w:bCs/>
      <w:kern w:val="0"/>
      <w:sz w:val="20"/>
      <w:szCs w:val="32"/>
    </w:rPr>
  </w:style>
  <w:style w:type="paragraph" w:styleId="41">
    <w:name w:val="annotation subject"/>
    <w:basedOn w:val="16"/>
    <w:next w:val="16"/>
    <w:link w:val="87"/>
    <w:qFormat/>
    <w:uiPriority w:val="0"/>
    <w:rPr>
      <w:b/>
      <w:bCs/>
    </w:rPr>
  </w:style>
  <w:style w:type="paragraph" w:styleId="42">
    <w:name w:val="Body Text First Indent"/>
    <w:basedOn w:val="19"/>
    <w:link w:val="88"/>
    <w:qFormat/>
    <w:uiPriority w:val="0"/>
    <w:pPr>
      <w:widowControl w:val="0"/>
      <w:snapToGrid/>
      <w:spacing w:before="0" w:after="120" w:line="240" w:lineRule="auto"/>
      <w:ind w:right="0" w:firstLine="420" w:firstLineChars="100"/>
    </w:pPr>
    <w:rPr>
      <w:rFonts w:hAnsi="Calibri"/>
      <w:kern w:val="2"/>
      <w:sz w:val="21"/>
      <w:szCs w:val="24"/>
    </w:rPr>
  </w:style>
  <w:style w:type="paragraph" w:styleId="43">
    <w:name w:val="Body Text First Indent 2"/>
    <w:basedOn w:val="20"/>
    <w:next w:val="1"/>
    <w:link w:val="89"/>
    <w:qFormat/>
    <w:uiPriority w:val="0"/>
    <w:pPr>
      <w:ind w:firstLine="420" w:firstLineChars="200"/>
    </w:pPr>
    <w:rPr>
      <w:rFonts w:ascii="Calibri" w:hAnsi="Calibri"/>
    </w:rPr>
  </w:style>
  <w:style w:type="table" w:styleId="45">
    <w:name w:val="Table Grid"/>
    <w:basedOn w:val="4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7">
    <w:name w:val="Strong"/>
    <w:qFormat/>
    <w:uiPriority w:val="0"/>
    <w:rPr>
      <w:b/>
      <w:bCs/>
    </w:rPr>
  </w:style>
  <w:style w:type="character" w:styleId="48">
    <w:name w:val="page number"/>
    <w:qFormat/>
    <w:uiPriority w:val="0"/>
  </w:style>
  <w:style w:type="character" w:styleId="49">
    <w:name w:val="FollowedHyperlink"/>
    <w:qFormat/>
    <w:uiPriority w:val="0"/>
    <w:rPr>
      <w:color w:val="800080"/>
      <w:u w:val="single"/>
    </w:rPr>
  </w:style>
  <w:style w:type="character" w:styleId="50">
    <w:name w:val="Emphasis"/>
    <w:qFormat/>
    <w:uiPriority w:val="0"/>
    <w:rPr>
      <w:color w:val="C60A00"/>
    </w:rPr>
  </w:style>
  <w:style w:type="character" w:styleId="51">
    <w:name w:val="Hyperlink"/>
    <w:qFormat/>
    <w:uiPriority w:val="0"/>
    <w:rPr>
      <w:color w:val="3333FF"/>
      <w:u w:val="single"/>
    </w:rPr>
  </w:style>
  <w:style w:type="character" w:styleId="52">
    <w:name w:val="annotation reference"/>
    <w:basedOn w:val="46"/>
    <w:qFormat/>
    <w:uiPriority w:val="0"/>
    <w:rPr>
      <w:sz w:val="21"/>
    </w:rPr>
  </w:style>
  <w:style w:type="paragraph" w:customStyle="1" w:styleId="53">
    <w:name w:val="Default1"/>
    <w:unhideWhenUsed/>
    <w:qFormat/>
    <w:uiPriority w:val="0"/>
    <w:pPr>
      <w:widowControl w:val="0"/>
      <w:autoSpaceDE w:val="0"/>
      <w:autoSpaceDN w:val="0"/>
      <w:adjustRightInd w:val="0"/>
    </w:pPr>
    <w:rPr>
      <w:rFonts w:hint="eastAsia" w:ascii="宋体" w:hAnsi="Times New Roman" w:eastAsia="宋体" w:cs="宋体"/>
      <w:color w:val="000000"/>
      <w:sz w:val="24"/>
      <w:szCs w:val="24"/>
      <w:lang w:val="en-US" w:eastAsia="zh-CN" w:bidi="ar-SA"/>
    </w:rPr>
  </w:style>
  <w:style w:type="paragraph" w:customStyle="1" w:styleId="54">
    <w:name w:val="正文 首行缩进:  2 字符"/>
    <w:basedOn w:val="1"/>
    <w:qFormat/>
    <w:uiPriority w:val="0"/>
    <w:pPr>
      <w:ind w:firstLine="579" w:firstLineChars="200"/>
    </w:pPr>
    <w:rPr>
      <w:sz w:val="28"/>
      <w:szCs w:val="20"/>
    </w:rPr>
  </w:style>
  <w:style w:type="paragraph" w:customStyle="1" w:styleId="55">
    <w:name w:val="Default"/>
    <w:qFormat/>
    <w:uiPriority w:val="0"/>
    <w:pPr>
      <w:widowControl w:val="0"/>
      <w:autoSpaceDE w:val="0"/>
      <w:autoSpaceDN w:val="0"/>
      <w:adjustRightInd w:val="0"/>
    </w:pPr>
    <w:rPr>
      <w:rFonts w:ascii="仿宋_GB2312" w:hAnsi="Calibri" w:eastAsia="仿宋_GB2312" w:cs="仿宋_GB2312"/>
      <w:color w:val="000000"/>
      <w:sz w:val="24"/>
      <w:szCs w:val="24"/>
      <w:lang w:val="en-US" w:eastAsia="zh-CN" w:bidi="ar-SA"/>
    </w:rPr>
  </w:style>
  <w:style w:type="paragraph" w:customStyle="1" w:styleId="56">
    <w:name w:val="样式1"/>
    <w:basedOn w:val="1"/>
    <w:next w:val="1"/>
    <w:qFormat/>
    <w:uiPriority w:val="0"/>
    <w:pPr>
      <w:adjustRightInd w:val="0"/>
      <w:spacing w:line="288" w:lineRule="auto"/>
      <w:jc w:val="left"/>
    </w:pPr>
    <w:rPr>
      <w:rFonts w:hint="eastAsia" w:ascii="黑体" w:hAnsi="Calibri" w:eastAsia="黑体"/>
      <w:b/>
      <w:kern w:val="0"/>
      <w:sz w:val="32"/>
      <w:szCs w:val="20"/>
    </w:rPr>
  </w:style>
  <w:style w:type="character" w:customStyle="1" w:styleId="57">
    <w:name w:val="宏文本 字符"/>
    <w:link w:val="2"/>
    <w:qFormat/>
    <w:uiPriority w:val="0"/>
    <w:rPr>
      <w:rFonts w:ascii="Courier New" w:hAnsi="Courier New" w:cs="Courier New"/>
      <w:kern w:val="2"/>
      <w:sz w:val="24"/>
      <w:szCs w:val="24"/>
    </w:rPr>
  </w:style>
  <w:style w:type="character" w:customStyle="1" w:styleId="58">
    <w:name w:val="标题 1 字符"/>
    <w:link w:val="3"/>
    <w:qFormat/>
    <w:uiPriority w:val="0"/>
    <w:rPr>
      <w:rFonts w:eastAsia="黑体"/>
      <w:b/>
      <w:bCs/>
      <w:color w:val="000000"/>
      <w:kern w:val="44"/>
      <w:sz w:val="30"/>
      <w:szCs w:val="30"/>
    </w:rPr>
  </w:style>
  <w:style w:type="character" w:customStyle="1" w:styleId="59">
    <w:name w:val="标题 2 字符"/>
    <w:link w:val="4"/>
    <w:qFormat/>
    <w:uiPriority w:val="0"/>
    <w:rPr>
      <w:rFonts w:ascii="Arial" w:hAnsi="Arial" w:eastAsia="黑体"/>
      <w:b/>
      <w:bCs/>
      <w:kern w:val="2"/>
      <w:sz w:val="32"/>
      <w:szCs w:val="32"/>
    </w:rPr>
  </w:style>
  <w:style w:type="character" w:customStyle="1" w:styleId="60">
    <w:name w:val="标题 3 字符"/>
    <w:link w:val="5"/>
    <w:qFormat/>
    <w:uiPriority w:val="0"/>
    <w:rPr>
      <w:rFonts w:ascii="Calibri" w:hAnsi="Calibri"/>
      <w:b/>
      <w:bCs/>
      <w:kern w:val="2"/>
      <w:sz w:val="32"/>
      <w:szCs w:val="32"/>
    </w:rPr>
  </w:style>
  <w:style w:type="character" w:customStyle="1" w:styleId="61">
    <w:name w:val="标题 4 字符"/>
    <w:link w:val="6"/>
    <w:qFormat/>
    <w:uiPriority w:val="0"/>
    <w:rPr>
      <w:rFonts w:ascii="等线 Light" w:hAnsi="等线 Light" w:eastAsia="等线 Light" w:cs="Times New Roman"/>
      <w:b/>
      <w:bCs/>
      <w:kern w:val="2"/>
      <w:sz w:val="28"/>
      <w:szCs w:val="28"/>
    </w:rPr>
  </w:style>
  <w:style w:type="character" w:customStyle="1" w:styleId="62">
    <w:name w:val="标题 5 字符"/>
    <w:link w:val="7"/>
    <w:qFormat/>
    <w:uiPriority w:val="0"/>
    <w:rPr>
      <w:rFonts w:ascii="Calibri" w:hAnsi="Calibri"/>
      <w:b/>
      <w:bCs/>
      <w:kern w:val="2"/>
      <w:sz w:val="28"/>
      <w:szCs w:val="28"/>
    </w:rPr>
  </w:style>
  <w:style w:type="character" w:customStyle="1" w:styleId="63">
    <w:name w:val="标题 6 字符"/>
    <w:link w:val="8"/>
    <w:qFormat/>
    <w:uiPriority w:val="0"/>
    <w:rPr>
      <w:rFonts w:ascii="Arial" w:hAnsi="Arial" w:eastAsia="黑体"/>
      <w:b/>
      <w:bCs/>
      <w:kern w:val="2"/>
      <w:sz w:val="24"/>
      <w:szCs w:val="24"/>
    </w:rPr>
  </w:style>
  <w:style w:type="character" w:customStyle="1" w:styleId="64">
    <w:name w:val="标题 7 字符"/>
    <w:link w:val="9"/>
    <w:qFormat/>
    <w:uiPriority w:val="0"/>
    <w:rPr>
      <w:rFonts w:ascii="Calibri" w:hAnsi="Calibri"/>
      <w:b/>
      <w:bCs/>
      <w:kern w:val="2"/>
      <w:sz w:val="24"/>
      <w:szCs w:val="24"/>
    </w:rPr>
  </w:style>
  <w:style w:type="character" w:customStyle="1" w:styleId="65">
    <w:name w:val="标题 8 字符"/>
    <w:link w:val="10"/>
    <w:qFormat/>
    <w:uiPriority w:val="0"/>
    <w:rPr>
      <w:rFonts w:ascii="Arial" w:hAnsi="Arial" w:eastAsia="黑体"/>
      <w:kern w:val="2"/>
      <w:sz w:val="24"/>
      <w:szCs w:val="24"/>
    </w:rPr>
  </w:style>
  <w:style w:type="character" w:customStyle="1" w:styleId="66">
    <w:name w:val="标题 9 字符"/>
    <w:link w:val="11"/>
    <w:qFormat/>
    <w:uiPriority w:val="0"/>
    <w:rPr>
      <w:rFonts w:ascii="Arial" w:hAnsi="Arial" w:eastAsia="黑体"/>
      <w:kern w:val="2"/>
      <w:sz w:val="21"/>
      <w:szCs w:val="21"/>
    </w:rPr>
  </w:style>
  <w:style w:type="character" w:customStyle="1" w:styleId="67">
    <w:name w:val="注释标题 字符"/>
    <w:link w:val="12"/>
    <w:qFormat/>
    <w:uiPriority w:val="0"/>
    <w:rPr>
      <w:rFonts w:ascii="Calibri" w:hAnsi="Calibri"/>
      <w:kern w:val="2"/>
      <w:sz w:val="21"/>
      <w:szCs w:val="24"/>
    </w:rPr>
  </w:style>
  <w:style w:type="character" w:customStyle="1" w:styleId="68">
    <w:name w:val="正文缩进 字符"/>
    <w:link w:val="13"/>
    <w:qFormat/>
    <w:uiPriority w:val="0"/>
    <w:rPr>
      <w:rFonts w:ascii="Calibri" w:hAnsi="Calibri"/>
      <w:sz w:val="28"/>
    </w:rPr>
  </w:style>
  <w:style w:type="character" w:customStyle="1" w:styleId="69">
    <w:name w:val="文档结构图 字符"/>
    <w:link w:val="15"/>
    <w:qFormat/>
    <w:uiPriority w:val="0"/>
    <w:rPr>
      <w:rFonts w:ascii="Calibri" w:hAnsi="Calibri"/>
      <w:kern w:val="2"/>
      <w:sz w:val="21"/>
      <w:szCs w:val="24"/>
      <w:shd w:val="clear" w:color="auto" w:fill="000080"/>
    </w:rPr>
  </w:style>
  <w:style w:type="character" w:customStyle="1" w:styleId="70">
    <w:name w:val="批注文字 字符"/>
    <w:link w:val="16"/>
    <w:qFormat/>
    <w:uiPriority w:val="0"/>
    <w:rPr>
      <w:rFonts w:ascii="Times New Roman" w:hAnsi="Times New Roman" w:eastAsia="宋体"/>
      <w:sz w:val="24"/>
    </w:rPr>
  </w:style>
  <w:style w:type="character" w:customStyle="1" w:styleId="71">
    <w:name w:val="称呼 字符"/>
    <w:link w:val="17"/>
    <w:qFormat/>
    <w:uiPriority w:val="0"/>
    <w:rPr>
      <w:rFonts w:ascii="Calibri" w:hAnsi="Calibri"/>
      <w:kern w:val="2"/>
      <w:sz w:val="21"/>
      <w:szCs w:val="24"/>
    </w:rPr>
  </w:style>
  <w:style w:type="character" w:customStyle="1" w:styleId="72">
    <w:name w:val="正文文本 3 字符"/>
    <w:link w:val="18"/>
    <w:qFormat/>
    <w:uiPriority w:val="0"/>
    <w:rPr>
      <w:rFonts w:ascii="宋体" w:hAnsi="宋体"/>
      <w:kern w:val="2"/>
      <w:sz w:val="28"/>
      <w:szCs w:val="24"/>
    </w:rPr>
  </w:style>
  <w:style w:type="character" w:customStyle="1" w:styleId="73">
    <w:name w:val="正文文本 字符"/>
    <w:link w:val="19"/>
    <w:qFormat/>
    <w:uiPriority w:val="0"/>
    <w:rPr>
      <w:sz w:val="18"/>
    </w:rPr>
  </w:style>
  <w:style w:type="character" w:customStyle="1" w:styleId="74">
    <w:name w:val="正文文本缩进 字符"/>
    <w:link w:val="20"/>
    <w:qFormat/>
    <w:uiPriority w:val="0"/>
    <w:rPr>
      <w:rFonts w:ascii="Times New Roman" w:hAnsi="Times New Roman" w:eastAsia="宋体" w:cs="Times New Roman"/>
      <w:sz w:val="24"/>
      <w:szCs w:val="24"/>
    </w:rPr>
  </w:style>
  <w:style w:type="character" w:customStyle="1" w:styleId="75">
    <w:name w:val="纯文本 字符"/>
    <w:link w:val="24"/>
    <w:qFormat/>
    <w:uiPriority w:val="0"/>
    <w:rPr>
      <w:rFonts w:ascii="宋体" w:hAnsi="宋体"/>
      <w:sz w:val="24"/>
      <w:szCs w:val="24"/>
    </w:rPr>
  </w:style>
  <w:style w:type="character" w:customStyle="1" w:styleId="76">
    <w:name w:val="日期 字符1"/>
    <w:link w:val="25"/>
    <w:qFormat/>
    <w:uiPriority w:val="0"/>
    <w:rPr>
      <w:rFonts w:ascii="Times New Roman" w:hAnsi="Times New Roman" w:eastAsia="宋体"/>
      <w:sz w:val="24"/>
    </w:rPr>
  </w:style>
  <w:style w:type="character" w:customStyle="1" w:styleId="77">
    <w:name w:val="正文文本缩进 2 字符"/>
    <w:link w:val="26"/>
    <w:qFormat/>
    <w:uiPriority w:val="0"/>
    <w:rPr>
      <w:rFonts w:eastAsia="宋体"/>
      <w:kern w:val="2"/>
      <w:sz w:val="24"/>
      <w:szCs w:val="24"/>
    </w:rPr>
  </w:style>
  <w:style w:type="character" w:customStyle="1" w:styleId="78">
    <w:name w:val="批注框文本 字符"/>
    <w:link w:val="28"/>
    <w:qFormat/>
    <w:uiPriority w:val="0"/>
    <w:rPr>
      <w:rFonts w:ascii="Times New Roman" w:hAnsi="Times New Roman" w:eastAsia="宋体" w:cs="Times New Roman"/>
      <w:sz w:val="18"/>
      <w:szCs w:val="18"/>
    </w:rPr>
  </w:style>
  <w:style w:type="character" w:customStyle="1" w:styleId="79">
    <w:name w:val="页脚 字符"/>
    <w:link w:val="29"/>
    <w:qFormat/>
    <w:uiPriority w:val="0"/>
    <w:rPr>
      <w:rFonts w:cs="Times New Roman"/>
      <w:sz w:val="18"/>
      <w:szCs w:val="18"/>
    </w:rPr>
  </w:style>
  <w:style w:type="character" w:customStyle="1" w:styleId="80">
    <w:name w:val="页眉 字符"/>
    <w:link w:val="30"/>
    <w:qFormat/>
    <w:uiPriority w:val="99"/>
    <w:rPr>
      <w:rFonts w:cs="Times New Roman"/>
      <w:sz w:val="18"/>
      <w:szCs w:val="18"/>
    </w:rPr>
  </w:style>
  <w:style w:type="character" w:customStyle="1" w:styleId="81">
    <w:name w:val="副标题 字符"/>
    <w:link w:val="32"/>
    <w:qFormat/>
    <w:uiPriority w:val="0"/>
    <w:rPr>
      <w:rFonts w:ascii="Calibri" w:hAnsi="Calibri"/>
      <w:bCs/>
      <w:kern w:val="28"/>
      <w:szCs w:val="32"/>
    </w:rPr>
  </w:style>
  <w:style w:type="character" w:customStyle="1" w:styleId="82">
    <w:name w:val="正文文本缩进 3 字符"/>
    <w:link w:val="34"/>
    <w:qFormat/>
    <w:uiPriority w:val="0"/>
    <w:rPr>
      <w:rFonts w:ascii="仿宋_GB2312" w:hAnsi="Calibri" w:eastAsia="仿宋_GB2312"/>
      <w:kern w:val="2"/>
      <w:sz w:val="28"/>
      <w:szCs w:val="24"/>
    </w:rPr>
  </w:style>
  <w:style w:type="character" w:customStyle="1" w:styleId="83">
    <w:name w:val="正文文本 2 字符"/>
    <w:link w:val="36"/>
    <w:qFormat/>
    <w:uiPriority w:val="0"/>
    <w:rPr>
      <w:rFonts w:ascii="Calibri" w:hAnsi="Calibri"/>
      <w:kern w:val="2"/>
      <w:sz w:val="21"/>
      <w:szCs w:val="24"/>
    </w:rPr>
  </w:style>
  <w:style w:type="character" w:customStyle="1" w:styleId="84">
    <w:name w:val="HTML 预设格式 字符"/>
    <w:link w:val="37"/>
    <w:qFormat/>
    <w:uiPriority w:val="0"/>
    <w:rPr>
      <w:rFonts w:ascii="宋体" w:hAnsi="宋体" w:cs="宋体"/>
      <w:sz w:val="24"/>
      <w:szCs w:val="24"/>
    </w:rPr>
  </w:style>
  <w:style w:type="character" w:customStyle="1" w:styleId="85">
    <w:name w:val="普通(网站) 字符"/>
    <w:link w:val="38"/>
    <w:qFormat/>
    <w:uiPriority w:val="0"/>
    <w:rPr>
      <w:rFonts w:ascii="宋体" w:hAnsi="宋体" w:eastAsia="宋体"/>
      <w:sz w:val="24"/>
    </w:rPr>
  </w:style>
  <w:style w:type="character" w:customStyle="1" w:styleId="86">
    <w:name w:val="标题 字符"/>
    <w:link w:val="40"/>
    <w:qFormat/>
    <w:uiPriority w:val="0"/>
    <w:rPr>
      <w:rFonts w:ascii="Calibri" w:hAnsi="Calibri"/>
      <w:b/>
      <w:bCs/>
      <w:szCs w:val="32"/>
    </w:rPr>
  </w:style>
  <w:style w:type="character" w:customStyle="1" w:styleId="87">
    <w:name w:val="批注主题 字符"/>
    <w:link w:val="41"/>
    <w:qFormat/>
    <w:uiPriority w:val="0"/>
    <w:rPr>
      <w:rFonts w:ascii="Times New Roman" w:hAnsi="Times New Roman" w:eastAsia="宋体" w:cs="Times New Roman"/>
      <w:b/>
      <w:bCs/>
      <w:kern w:val="2"/>
      <w:sz w:val="24"/>
      <w:szCs w:val="24"/>
    </w:rPr>
  </w:style>
  <w:style w:type="character" w:customStyle="1" w:styleId="88">
    <w:name w:val="正文文本首行缩进 字符"/>
    <w:link w:val="42"/>
    <w:qFormat/>
    <w:uiPriority w:val="0"/>
    <w:rPr>
      <w:rFonts w:hAnsi="Calibri"/>
      <w:kern w:val="2"/>
      <w:sz w:val="21"/>
      <w:szCs w:val="24"/>
    </w:rPr>
  </w:style>
  <w:style w:type="character" w:customStyle="1" w:styleId="89">
    <w:name w:val="正文文本首行缩进 2 字符"/>
    <w:link w:val="43"/>
    <w:qFormat/>
    <w:uiPriority w:val="0"/>
    <w:rPr>
      <w:rFonts w:ascii="Calibri" w:hAnsi="Calibri" w:eastAsia="宋体" w:cs="Times New Roman"/>
      <w:kern w:val="2"/>
      <w:sz w:val="21"/>
      <w:szCs w:val="24"/>
    </w:rPr>
  </w:style>
  <w:style w:type="character" w:customStyle="1" w:styleId="90">
    <w:name w:val="表格1 Char"/>
    <w:link w:val="91"/>
    <w:qFormat/>
    <w:uiPriority w:val="0"/>
    <w:rPr>
      <w:rFonts w:ascii="宋体" w:hAnsi="Calibri"/>
      <w:sz w:val="24"/>
    </w:rPr>
  </w:style>
  <w:style w:type="paragraph" w:customStyle="1" w:styleId="91">
    <w:name w:val="表格1"/>
    <w:basedOn w:val="1"/>
    <w:link w:val="90"/>
    <w:qFormat/>
    <w:uiPriority w:val="0"/>
    <w:pPr>
      <w:adjustRightInd w:val="0"/>
      <w:jc w:val="center"/>
      <w:textAlignment w:val="baseline"/>
    </w:pPr>
    <w:rPr>
      <w:rFonts w:ascii="宋体" w:hAnsi="Calibri"/>
      <w:kern w:val="0"/>
      <w:sz w:val="24"/>
      <w:szCs w:val="20"/>
    </w:rPr>
  </w:style>
  <w:style w:type="character" w:customStyle="1" w:styleId="92">
    <w:name w:val="表头样式1 Char Char"/>
    <w:qFormat/>
    <w:uiPriority w:val="0"/>
    <w:rPr>
      <w:rFonts w:hint="default" w:ascii="Times New Roman" w:hAnsi="Times New Roman" w:eastAsia="黑体" w:cs="Times New Roman"/>
      <w:b/>
      <w:sz w:val="20"/>
    </w:rPr>
  </w:style>
  <w:style w:type="character" w:customStyle="1" w:styleId="93">
    <w:name w:val="样式 标题ljm + 首行缩进:  2 字符 Char Char"/>
    <w:qFormat/>
    <w:uiPriority w:val="0"/>
    <w:rPr>
      <w:rFonts w:hint="default" w:ascii="Times New Roman" w:hAnsi="Times New Roman" w:cs="Times New Roman"/>
      <w:b/>
    </w:rPr>
  </w:style>
  <w:style w:type="character" w:customStyle="1" w:styleId="94">
    <w:name w:val="样式 表（或图）标题 样式 宋体 五号 居中 SL CON + 非加粗 Char Char"/>
    <w:qFormat/>
    <w:uiPriority w:val="0"/>
    <w:rPr>
      <w:b/>
      <w:sz w:val="21"/>
    </w:rPr>
  </w:style>
  <w:style w:type="character" w:customStyle="1" w:styleId="95">
    <w:name w:val="表格样式 Char"/>
    <w:link w:val="96"/>
    <w:qFormat/>
    <w:uiPriority w:val="0"/>
    <w:rPr>
      <w:kern w:val="2"/>
      <w:sz w:val="21"/>
      <w:szCs w:val="24"/>
    </w:rPr>
  </w:style>
  <w:style w:type="paragraph" w:customStyle="1" w:styleId="96">
    <w:name w:val="表格样式"/>
    <w:basedOn w:val="1"/>
    <w:link w:val="95"/>
    <w:qFormat/>
    <w:uiPriority w:val="0"/>
    <w:pPr>
      <w:spacing w:line="320" w:lineRule="exact"/>
      <w:contextualSpacing/>
      <w:jc w:val="center"/>
    </w:pPr>
  </w:style>
  <w:style w:type="character" w:customStyle="1" w:styleId="97">
    <w:name w:val="title8"/>
    <w:qFormat/>
    <w:uiPriority w:val="0"/>
  </w:style>
  <w:style w:type="character" w:customStyle="1" w:styleId="98">
    <w:name w:val="03表格文字 Char"/>
    <w:link w:val="99"/>
    <w:qFormat/>
    <w:uiPriority w:val="0"/>
    <w:rPr>
      <w:kern w:val="2"/>
      <w:sz w:val="22"/>
      <w:szCs w:val="22"/>
    </w:rPr>
  </w:style>
  <w:style w:type="paragraph" w:customStyle="1" w:styleId="99">
    <w:name w:val="03表格文字"/>
    <w:basedOn w:val="1"/>
    <w:link w:val="98"/>
    <w:qFormat/>
    <w:uiPriority w:val="0"/>
    <w:pPr>
      <w:adjustRightInd w:val="0"/>
      <w:snapToGrid w:val="0"/>
      <w:spacing w:line="360" w:lineRule="exact"/>
      <w:jc w:val="center"/>
    </w:pPr>
    <w:rPr>
      <w:sz w:val="22"/>
      <w:szCs w:val="22"/>
    </w:rPr>
  </w:style>
  <w:style w:type="character" w:customStyle="1" w:styleId="100">
    <w:name w:val="题注 Char"/>
    <w:qFormat/>
    <w:uiPriority w:val="0"/>
    <w:rPr>
      <w:rFonts w:hint="default" w:ascii="Arial" w:hAnsi="Arial" w:eastAsia="黑体" w:cs="Arial"/>
    </w:rPr>
  </w:style>
  <w:style w:type="character" w:customStyle="1" w:styleId="101">
    <w:name w:val="07报告文本 Char"/>
    <w:link w:val="102"/>
    <w:qFormat/>
    <w:uiPriority w:val="0"/>
    <w:rPr>
      <w:kern w:val="2"/>
      <w:sz w:val="24"/>
      <w:szCs w:val="28"/>
    </w:rPr>
  </w:style>
  <w:style w:type="paragraph" w:customStyle="1" w:styleId="102">
    <w:name w:val="07报告文本"/>
    <w:basedOn w:val="1"/>
    <w:link w:val="101"/>
    <w:qFormat/>
    <w:uiPriority w:val="0"/>
    <w:pPr>
      <w:spacing w:line="460" w:lineRule="exact"/>
      <w:ind w:firstLine="200" w:firstLineChars="200"/>
    </w:pPr>
    <w:rPr>
      <w:sz w:val="24"/>
      <w:szCs w:val="28"/>
    </w:rPr>
  </w:style>
  <w:style w:type="character" w:customStyle="1" w:styleId="103">
    <w:name w:val="01表格 Char"/>
    <w:qFormat/>
    <w:uiPriority w:val="0"/>
    <w:rPr>
      <w:rFonts w:hint="default" w:ascii="Arial" w:hAnsi="Arial" w:eastAsia="黑体" w:cs="Arial"/>
      <w:b/>
      <w:sz w:val="21"/>
    </w:rPr>
  </w:style>
  <w:style w:type="character" w:customStyle="1" w:styleId="104">
    <w:name w:val="表内字 Char Char"/>
    <w:link w:val="105"/>
    <w:qFormat/>
    <w:uiPriority w:val="0"/>
    <w:rPr>
      <w:kern w:val="2"/>
      <w:sz w:val="22"/>
      <w:szCs w:val="21"/>
    </w:rPr>
  </w:style>
  <w:style w:type="paragraph" w:customStyle="1" w:styleId="105">
    <w:name w:val="表内字"/>
    <w:basedOn w:val="106"/>
    <w:link w:val="104"/>
    <w:qFormat/>
    <w:uiPriority w:val="0"/>
    <w:pPr>
      <w:adjustRightInd/>
      <w:snapToGrid/>
      <w:spacing w:beforeLines="0" w:afterLines="0" w:line="240" w:lineRule="auto"/>
    </w:pPr>
    <w:rPr>
      <w:rFonts w:ascii="Times New Roman"/>
      <w:kern w:val="2"/>
      <w:sz w:val="22"/>
    </w:rPr>
  </w:style>
  <w:style w:type="paragraph" w:customStyle="1" w:styleId="106">
    <w:name w:val="表格"/>
    <w:basedOn w:val="1"/>
    <w:next w:val="1"/>
    <w:link w:val="107"/>
    <w:qFormat/>
    <w:uiPriority w:val="0"/>
    <w:pPr>
      <w:adjustRightInd w:val="0"/>
      <w:snapToGrid w:val="0"/>
      <w:spacing w:beforeLines="10" w:afterLines="10" w:line="259" w:lineRule="auto"/>
      <w:jc w:val="center"/>
    </w:pPr>
    <w:rPr>
      <w:rFonts w:ascii="宋体"/>
      <w:kern w:val="0"/>
      <w:sz w:val="20"/>
      <w:szCs w:val="21"/>
    </w:rPr>
  </w:style>
  <w:style w:type="character" w:customStyle="1" w:styleId="107">
    <w:name w:val="表格 Char"/>
    <w:link w:val="106"/>
    <w:qFormat/>
    <w:uiPriority w:val="0"/>
    <w:rPr>
      <w:rFonts w:ascii="宋体"/>
      <w:sz w:val="21"/>
    </w:rPr>
  </w:style>
  <w:style w:type="character" w:customStyle="1" w:styleId="108">
    <w:name w:val="表内文字 样式 五号 居中 行距: 单倍行距 SL CON Char"/>
    <w:qFormat/>
    <w:uiPriority w:val="0"/>
    <w:rPr>
      <w:sz w:val="21"/>
    </w:rPr>
  </w:style>
  <w:style w:type="character" w:customStyle="1" w:styleId="109">
    <w:name w:val="正文缩进 Char2"/>
    <w:qFormat/>
    <w:uiPriority w:val="0"/>
    <w:rPr>
      <w:rFonts w:hint="default" w:ascii="Times New Roman" w:hAnsi="Times New Roman" w:cs="Times New Roman"/>
    </w:rPr>
  </w:style>
  <w:style w:type="character" w:customStyle="1" w:styleId="110">
    <w:name w:val="批注文字 字符1"/>
    <w:semiHidden/>
    <w:qFormat/>
    <w:uiPriority w:val="0"/>
    <w:rPr>
      <w:rFonts w:ascii="Times New Roman" w:hAnsi="Times New Roman" w:eastAsia="宋体" w:cs="Times New Roman"/>
      <w:sz w:val="24"/>
      <w:szCs w:val="24"/>
    </w:rPr>
  </w:style>
  <w:style w:type="character" w:customStyle="1" w:styleId="111">
    <w:name w:val="表头样式1 Char"/>
    <w:qFormat/>
    <w:uiPriority w:val="0"/>
    <w:rPr>
      <w:rFonts w:hint="default" w:ascii="Times New Roman" w:hAnsi="Times New Roman" w:eastAsia="黑体" w:cs="Times New Roman"/>
      <w:b/>
    </w:rPr>
  </w:style>
  <w:style w:type="character" w:customStyle="1" w:styleId="112">
    <w:name w:val="font21"/>
    <w:basedOn w:val="46"/>
    <w:qFormat/>
    <w:uiPriority w:val="0"/>
    <w:rPr>
      <w:rFonts w:hint="default" w:ascii="Times New Roman" w:hAnsi="Times New Roman" w:cs="Times New Roman"/>
      <w:b/>
      <w:color w:val="000000"/>
      <w:sz w:val="24"/>
      <w:szCs w:val="24"/>
      <w:u w:val="none"/>
      <w:vertAlign w:val="superscript"/>
    </w:rPr>
  </w:style>
  <w:style w:type="character" w:customStyle="1" w:styleId="113">
    <w:name w:val="我的正文 Char"/>
    <w:qFormat/>
    <w:uiPriority w:val="0"/>
    <w:rPr>
      <w:rFonts w:hint="eastAsia" w:ascii="宋体" w:hAnsi="宋体" w:eastAsia="宋体" w:cs="宋体"/>
      <w:color w:val="000000"/>
      <w:kern w:val="2"/>
      <w:sz w:val="24"/>
    </w:rPr>
  </w:style>
  <w:style w:type="character" w:customStyle="1" w:styleId="114">
    <w:name w:val="正文文本缩进 2 Char1"/>
    <w:qFormat/>
    <w:uiPriority w:val="0"/>
    <w:rPr>
      <w:sz w:val="24"/>
    </w:rPr>
  </w:style>
  <w:style w:type="character" w:customStyle="1" w:styleId="115">
    <w:name w:val="图题 表题 Char"/>
    <w:qFormat/>
    <w:uiPriority w:val="0"/>
    <w:rPr>
      <w:rFonts w:hint="default" w:ascii="Times New Roman" w:hAnsi="Times New Roman" w:cs="Times New Roman"/>
      <w:b/>
      <w:kern w:val="2"/>
      <w:sz w:val="21"/>
    </w:rPr>
  </w:style>
  <w:style w:type="character" w:customStyle="1" w:styleId="116">
    <w:name w:val="表格表格 Char"/>
    <w:link w:val="117"/>
    <w:qFormat/>
    <w:uiPriority w:val="0"/>
    <w:rPr>
      <w:rFonts w:cs="宋体"/>
      <w:color w:val="000000"/>
      <w:sz w:val="21"/>
      <w:szCs w:val="21"/>
    </w:rPr>
  </w:style>
  <w:style w:type="paragraph" w:customStyle="1" w:styleId="117">
    <w:name w:val="表格表格"/>
    <w:basedOn w:val="1"/>
    <w:link w:val="116"/>
    <w:qFormat/>
    <w:uiPriority w:val="0"/>
    <w:pPr>
      <w:jc w:val="left"/>
    </w:pPr>
    <w:rPr>
      <w:rFonts w:cs="宋体"/>
      <w:color w:val="000000"/>
      <w:kern w:val="0"/>
      <w:szCs w:val="21"/>
    </w:rPr>
  </w:style>
  <w:style w:type="character" w:customStyle="1" w:styleId="118">
    <w:name w:val="日期 Char"/>
    <w:qFormat/>
    <w:uiPriority w:val="0"/>
    <w:rPr>
      <w:rFonts w:hint="eastAsia" w:ascii="宋体" w:hAnsi="Courier New" w:eastAsia="宋体" w:cs="宋体"/>
      <w:sz w:val="28"/>
    </w:rPr>
  </w:style>
  <w:style w:type="character" w:customStyle="1" w:styleId="119">
    <w:name w:val="样式9 Char"/>
    <w:qFormat/>
    <w:uiPriority w:val="0"/>
    <w:rPr>
      <w:rFonts w:hint="default" w:ascii="Times New Roman" w:hAnsi="Times New Roman" w:cs="Times New Roman"/>
      <w:sz w:val="26"/>
    </w:rPr>
  </w:style>
  <w:style w:type="character" w:customStyle="1" w:styleId="120">
    <w:name w:val="Heading 2 Char"/>
    <w:qFormat/>
    <w:uiPriority w:val="0"/>
    <w:rPr>
      <w:rFonts w:hint="default" w:ascii="Cambria" w:hAnsi="Cambria" w:eastAsia="宋体" w:cs="Times New Roman"/>
      <w:b/>
      <w:kern w:val="2"/>
      <w:sz w:val="32"/>
      <w:szCs w:val="32"/>
    </w:rPr>
  </w:style>
  <w:style w:type="character" w:customStyle="1" w:styleId="121">
    <w:name w:val="新格式表 Char"/>
    <w:link w:val="122"/>
    <w:qFormat/>
    <w:uiPriority w:val="0"/>
    <w:rPr>
      <w:snapToGrid w:val="0"/>
      <w:color w:val="000000"/>
      <w:kern w:val="2"/>
      <w:sz w:val="21"/>
      <w:szCs w:val="21"/>
      <w:lang w:val="en-GB"/>
    </w:rPr>
  </w:style>
  <w:style w:type="paragraph" w:customStyle="1" w:styleId="122">
    <w:name w:val="新格式表"/>
    <w:basedOn w:val="1"/>
    <w:link w:val="121"/>
    <w:qFormat/>
    <w:uiPriority w:val="0"/>
    <w:pPr>
      <w:jc w:val="center"/>
    </w:pPr>
    <w:rPr>
      <w:color w:val="000000"/>
      <w:szCs w:val="21"/>
      <w:lang w:val="en-GB"/>
    </w:rPr>
  </w:style>
  <w:style w:type="character" w:customStyle="1" w:styleId="123">
    <w:name w:val="02图 Char"/>
    <w:qFormat/>
    <w:uiPriority w:val="0"/>
    <w:rPr>
      <w:rFonts w:hint="default" w:ascii="Arial" w:hAnsi="Arial" w:eastAsia="黑体" w:cs="Arial"/>
      <w:b/>
    </w:rPr>
  </w:style>
  <w:style w:type="character" w:customStyle="1" w:styleId="124">
    <w:name w:val="Char1 Char Char Char Char Char"/>
    <w:qFormat/>
    <w:uiPriority w:val="0"/>
    <w:rPr>
      <w:rFonts w:eastAsia="宋体"/>
      <w:kern w:val="2"/>
      <w:sz w:val="21"/>
      <w:szCs w:val="24"/>
      <w:lang w:val="en-US" w:eastAsia="zh-CN" w:bidi="ar-SA"/>
    </w:rPr>
  </w:style>
  <w:style w:type="character" w:customStyle="1" w:styleId="125">
    <w:name w:val="表名-中煤 Char"/>
    <w:link w:val="126"/>
    <w:qFormat/>
    <w:uiPriority w:val="0"/>
    <w:rPr>
      <w:color w:val="000000"/>
      <w:sz w:val="26"/>
      <w:szCs w:val="21"/>
      <w:lang w:val="zh-CN"/>
    </w:rPr>
  </w:style>
  <w:style w:type="paragraph" w:customStyle="1" w:styleId="126">
    <w:name w:val="表名-中煤"/>
    <w:basedOn w:val="1"/>
    <w:link w:val="125"/>
    <w:qFormat/>
    <w:uiPriority w:val="0"/>
    <w:pPr>
      <w:autoSpaceDE w:val="0"/>
      <w:autoSpaceDN w:val="0"/>
      <w:adjustRightInd w:val="0"/>
      <w:snapToGrid w:val="0"/>
      <w:jc w:val="center"/>
    </w:pPr>
    <w:rPr>
      <w:color w:val="000000"/>
      <w:kern w:val="0"/>
      <w:sz w:val="26"/>
      <w:szCs w:val="21"/>
      <w:lang w:val="zh-CN"/>
    </w:rPr>
  </w:style>
  <w:style w:type="character" w:customStyle="1" w:styleId="127">
    <w:name w:val="h31"/>
    <w:qFormat/>
    <w:uiPriority w:val="0"/>
    <w:rPr>
      <w:sz w:val="21"/>
      <w:szCs w:val="21"/>
    </w:rPr>
  </w:style>
  <w:style w:type="character" w:customStyle="1" w:styleId="128">
    <w:name w:val="环评证文 Char"/>
    <w:link w:val="129"/>
    <w:qFormat/>
    <w:uiPriority w:val="0"/>
    <w:rPr>
      <w:rFonts w:hAnsi="宋体"/>
      <w:color w:val="000000"/>
      <w:sz w:val="24"/>
    </w:rPr>
  </w:style>
  <w:style w:type="paragraph" w:customStyle="1" w:styleId="129">
    <w:name w:val="环评证文"/>
    <w:basedOn w:val="1"/>
    <w:link w:val="128"/>
    <w:qFormat/>
    <w:uiPriority w:val="0"/>
    <w:pPr>
      <w:widowControl/>
      <w:spacing w:line="440" w:lineRule="exact"/>
      <w:ind w:firstLine="480"/>
      <w:jc w:val="left"/>
    </w:pPr>
    <w:rPr>
      <w:rFonts w:hAnsi="宋体"/>
      <w:color w:val="000000"/>
      <w:kern w:val="0"/>
      <w:sz w:val="24"/>
      <w:szCs w:val="20"/>
    </w:rPr>
  </w:style>
  <w:style w:type="character" w:customStyle="1" w:styleId="130">
    <w:name w:val="纯文本 Char"/>
    <w:qFormat/>
    <w:uiPriority w:val="0"/>
    <w:rPr>
      <w:rFonts w:ascii="宋体" w:hAnsi="宋体" w:eastAsia="宋体"/>
      <w:sz w:val="24"/>
      <w:szCs w:val="24"/>
      <w:lang w:val="en-US" w:eastAsia="zh-CN" w:bidi="ar-SA"/>
    </w:rPr>
  </w:style>
  <w:style w:type="character" w:customStyle="1" w:styleId="131">
    <w:name w:val="正文（首行缩进2字） Char"/>
    <w:link w:val="132"/>
    <w:qFormat/>
    <w:uiPriority w:val="0"/>
    <w:rPr>
      <w:rFonts w:ascii="宋体" w:hAnsi="宋体"/>
      <w:kern w:val="2"/>
      <w:sz w:val="24"/>
      <w:szCs w:val="24"/>
    </w:rPr>
  </w:style>
  <w:style w:type="paragraph" w:customStyle="1" w:styleId="132">
    <w:name w:val="正文（首行缩进2字）"/>
    <w:basedOn w:val="1"/>
    <w:link w:val="131"/>
    <w:qFormat/>
    <w:uiPriority w:val="0"/>
    <w:rPr>
      <w:rFonts w:ascii="宋体" w:hAnsi="宋体"/>
      <w:sz w:val="24"/>
    </w:rPr>
  </w:style>
  <w:style w:type="character" w:customStyle="1" w:styleId="133">
    <w:name w:val="style4"/>
    <w:qFormat/>
    <w:uiPriority w:val="0"/>
  </w:style>
  <w:style w:type="character" w:customStyle="1" w:styleId="134">
    <w:name w:val="font11"/>
    <w:basedOn w:val="46"/>
    <w:qFormat/>
    <w:uiPriority w:val="0"/>
    <w:rPr>
      <w:rFonts w:hint="eastAsia" w:ascii="宋体" w:hAnsi="宋体" w:eastAsia="宋体" w:cs="宋体"/>
      <w:b/>
      <w:color w:val="000000"/>
      <w:sz w:val="24"/>
      <w:szCs w:val="24"/>
      <w:u w:val="none"/>
    </w:rPr>
  </w:style>
  <w:style w:type="character" w:customStyle="1" w:styleId="135">
    <w:name w:val="cn"/>
    <w:qFormat/>
    <w:uiPriority w:val="0"/>
  </w:style>
  <w:style w:type="character" w:customStyle="1" w:styleId="136">
    <w:name w:val="Char Char7"/>
    <w:qFormat/>
    <w:uiPriority w:val="0"/>
    <w:rPr>
      <w:rFonts w:ascii="宋体" w:hAnsi="宋体" w:eastAsia="黑体"/>
      <w:bCs/>
      <w:color w:val="FF0000"/>
      <w:kern w:val="2"/>
      <w:sz w:val="28"/>
      <w:szCs w:val="28"/>
    </w:rPr>
  </w:style>
  <w:style w:type="character" w:customStyle="1" w:styleId="137">
    <w:name w:val="纯文本 Char2"/>
    <w:qFormat/>
    <w:uiPriority w:val="0"/>
    <w:rPr>
      <w:rFonts w:hint="eastAsia" w:ascii="宋体" w:hAnsi="Courier New" w:eastAsia="宋体" w:cs="宋体"/>
      <w:kern w:val="2"/>
      <w:sz w:val="21"/>
      <w:lang w:val="en-US" w:eastAsia="zh-CN"/>
    </w:rPr>
  </w:style>
  <w:style w:type="character" w:customStyle="1" w:styleId="138">
    <w:name w:val="表格文字五号 Char"/>
    <w:link w:val="139"/>
    <w:qFormat/>
    <w:uiPriority w:val="0"/>
    <w:rPr>
      <w:sz w:val="21"/>
    </w:rPr>
  </w:style>
  <w:style w:type="paragraph" w:customStyle="1" w:styleId="139">
    <w:name w:val="表格文字五号"/>
    <w:basedOn w:val="1"/>
    <w:next w:val="1"/>
    <w:link w:val="138"/>
    <w:qFormat/>
    <w:uiPriority w:val="0"/>
    <w:pPr>
      <w:adjustRightInd w:val="0"/>
      <w:jc w:val="center"/>
    </w:pPr>
    <w:rPr>
      <w:kern w:val="0"/>
      <w:szCs w:val="20"/>
    </w:rPr>
  </w:style>
  <w:style w:type="character" w:customStyle="1" w:styleId="140">
    <w:name w:val="常用表格样式 Char1"/>
    <w:qFormat/>
    <w:uiPriority w:val="0"/>
    <w:rPr>
      <w:rFonts w:hint="eastAsia" w:ascii="宋体" w:hAnsi="新宋体" w:eastAsia="仿宋_GB2312" w:cs="宋体"/>
      <w:spacing w:val="2"/>
      <w:sz w:val="24"/>
    </w:rPr>
  </w:style>
  <w:style w:type="character" w:customStyle="1" w:styleId="141">
    <w:name w:val="样式 表（或图）标题 样式 宋体 五号 居中 SL CON + 非加粗 Char"/>
    <w:qFormat/>
    <w:uiPriority w:val="0"/>
    <w:rPr>
      <w:rFonts w:hint="eastAsia" w:ascii="宋体" w:hAnsi="宋体" w:eastAsia="宋体" w:cs="宋体"/>
      <w:b/>
    </w:rPr>
  </w:style>
  <w:style w:type="character" w:customStyle="1" w:styleId="142">
    <w:name w:val="Date Char1"/>
    <w:qFormat/>
    <w:uiPriority w:val="0"/>
    <w:rPr>
      <w:rFonts w:hint="default" w:ascii="Times New Roman" w:hAnsi="Times New Roman" w:cs="Times New Roman"/>
      <w:kern w:val="2"/>
      <w:sz w:val="21"/>
      <w:szCs w:val="24"/>
    </w:rPr>
  </w:style>
  <w:style w:type="character" w:customStyle="1" w:styleId="143">
    <w:name w:val="表头 Char1"/>
    <w:qFormat/>
    <w:uiPriority w:val="0"/>
    <w:rPr>
      <w:rFonts w:hint="default" w:ascii="Times New Roman" w:hAnsi="Times New Roman" w:cs="Times New Roman"/>
      <w:spacing w:val="2"/>
    </w:rPr>
  </w:style>
  <w:style w:type="character" w:customStyle="1" w:styleId="144">
    <w:name w:val="样式9 Char Char"/>
    <w:link w:val="145"/>
    <w:qFormat/>
    <w:uiPriority w:val="0"/>
    <w:rPr>
      <w:sz w:val="26"/>
      <w:szCs w:val="26"/>
    </w:rPr>
  </w:style>
  <w:style w:type="paragraph" w:customStyle="1" w:styleId="145">
    <w:name w:val="样式9"/>
    <w:basedOn w:val="1"/>
    <w:link w:val="144"/>
    <w:qFormat/>
    <w:uiPriority w:val="0"/>
    <w:pPr>
      <w:snapToGrid w:val="0"/>
      <w:spacing w:line="480" w:lineRule="atLeast"/>
      <w:ind w:firstLine="200" w:firstLineChars="200"/>
    </w:pPr>
    <w:rPr>
      <w:kern w:val="0"/>
      <w:sz w:val="26"/>
      <w:szCs w:val="26"/>
    </w:rPr>
  </w:style>
  <w:style w:type="character" w:customStyle="1" w:styleId="146">
    <w:name w:val="Body Text Indent 2 Char1"/>
    <w:qFormat/>
    <w:uiPriority w:val="0"/>
    <w:rPr>
      <w:rFonts w:hint="default" w:ascii="Times New Roman" w:hAnsi="Times New Roman" w:cs="Times New Roman"/>
      <w:kern w:val="2"/>
      <w:sz w:val="21"/>
      <w:szCs w:val="24"/>
    </w:rPr>
  </w:style>
  <w:style w:type="character" w:customStyle="1" w:styleId="147">
    <w:name w:val="正文缩进 Char"/>
    <w:qFormat/>
    <w:uiPriority w:val="0"/>
    <w:rPr>
      <w:rFonts w:eastAsia="宋体"/>
      <w:kern w:val="2"/>
      <w:sz w:val="21"/>
      <w:szCs w:val="24"/>
      <w:lang w:val="en-US" w:eastAsia="zh-CN" w:bidi="ar-SA"/>
    </w:rPr>
  </w:style>
  <w:style w:type="character" w:customStyle="1" w:styleId="148">
    <w:name w:val="报告 Char Char"/>
    <w:link w:val="149"/>
    <w:qFormat/>
    <w:uiPriority w:val="0"/>
    <w:rPr>
      <w:rFonts w:ascii="TimesNewRoman" w:hAnsi="TimesNewRoman"/>
      <w:sz w:val="24"/>
    </w:rPr>
  </w:style>
  <w:style w:type="paragraph" w:customStyle="1" w:styleId="149">
    <w:name w:val="报告"/>
    <w:basedOn w:val="1"/>
    <w:link w:val="148"/>
    <w:qFormat/>
    <w:uiPriority w:val="0"/>
    <w:pPr>
      <w:adjustRightInd w:val="0"/>
      <w:spacing w:line="360" w:lineRule="auto"/>
      <w:ind w:firstLine="505"/>
      <w:textAlignment w:val="center"/>
    </w:pPr>
    <w:rPr>
      <w:rFonts w:ascii="TimesNewRoman" w:hAnsi="TimesNewRoman"/>
      <w:kern w:val="0"/>
      <w:sz w:val="24"/>
      <w:szCs w:val="20"/>
    </w:rPr>
  </w:style>
  <w:style w:type="character" w:customStyle="1" w:styleId="150">
    <w:name w:val="样式 宋体 小四 行距: 1.5 倍行距 Char"/>
    <w:qFormat/>
    <w:uiPriority w:val="0"/>
    <w:rPr>
      <w:rFonts w:hint="eastAsia" w:ascii="宋体" w:hAnsi="宋体" w:eastAsia="宋体" w:cs="宋体"/>
      <w:sz w:val="24"/>
    </w:rPr>
  </w:style>
  <w:style w:type="character" w:customStyle="1" w:styleId="151">
    <w:name w:val="我的报告正文 Char"/>
    <w:qFormat/>
    <w:uiPriority w:val="0"/>
    <w:rPr>
      <w:rFonts w:hint="default" w:ascii="Times New Roman" w:hAnsi="Times New Roman" w:cs="Times New Roman"/>
      <w:sz w:val="24"/>
    </w:rPr>
  </w:style>
  <w:style w:type="character" w:customStyle="1" w:styleId="152">
    <w:name w:val="text1"/>
    <w:qFormat/>
    <w:uiPriority w:val="0"/>
    <w:rPr>
      <w:rFonts w:hint="eastAsia" w:ascii="宋体" w:hAnsi="宋体" w:eastAsia="宋体"/>
      <w:color w:val="999999"/>
      <w:sz w:val="18"/>
      <w:szCs w:val="18"/>
      <w:u w:val="none"/>
    </w:rPr>
  </w:style>
  <w:style w:type="character" w:customStyle="1" w:styleId="153">
    <w:name w:val="Plain Text Char1"/>
    <w:qFormat/>
    <w:uiPriority w:val="0"/>
    <w:rPr>
      <w:rFonts w:hint="eastAsia" w:ascii="宋体" w:hAnsi="Courier New" w:eastAsia="宋体" w:cs="Courier New"/>
      <w:kern w:val="2"/>
      <w:sz w:val="21"/>
      <w:szCs w:val="21"/>
    </w:rPr>
  </w:style>
  <w:style w:type="character" w:customStyle="1" w:styleId="154">
    <w:name w:val="Style1 Char"/>
    <w:link w:val="155"/>
    <w:qFormat/>
    <w:uiPriority w:val="0"/>
    <w:rPr>
      <w:sz w:val="24"/>
    </w:rPr>
  </w:style>
  <w:style w:type="paragraph" w:customStyle="1" w:styleId="155">
    <w:name w:val="Style1"/>
    <w:basedOn w:val="1"/>
    <w:link w:val="154"/>
    <w:qFormat/>
    <w:uiPriority w:val="0"/>
    <w:pPr>
      <w:widowControl/>
      <w:spacing w:line="360" w:lineRule="auto"/>
      <w:ind w:firstLine="200" w:firstLineChars="200"/>
      <w:jc w:val="left"/>
    </w:pPr>
    <w:rPr>
      <w:kern w:val="0"/>
      <w:sz w:val="24"/>
      <w:szCs w:val="20"/>
    </w:rPr>
  </w:style>
  <w:style w:type="character" w:customStyle="1" w:styleId="156">
    <w:name w:val="排版正文 Char Char"/>
    <w:qFormat/>
    <w:uiPriority w:val="0"/>
    <w:rPr>
      <w:rFonts w:hint="default" w:ascii="Times New Roman" w:hAnsi="Times New Roman" w:eastAsia="宋体" w:cs="Times New Roman"/>
      <w:kern w:val="0"/>
      <w:sz w:val="26"/>
    </w:rPr>
  </w:style>
  <w:style w:type="character" w:customStyle="1" w:styleId="157">
    <w:name w:val="zhengwen Char1"/>
    <w:link w:val="158"/>
    <w:qFormat/>
    <w:uiPriority w:val="0"/>
    <w:rPr>
      <w:rFonts w:ascii="Arial" w:hAnsi="Arial" w:cs="Arial"/>
      <w:sz w:val="24"/>
    </w:rPr>
  </w:style>
  <w:style w:type="paragraph" w:customStyle="1" w:styleId="158">
    <w:name w:val="zhengwen"/>
    <w:basedOn w:val="1"/>
    <w:link w:val="157"/>
    <w:qFormat/>
    <w:uiPriority w:val="0"/>
    <w:pPr>
      <w:spacing w:line="360" w:lineRule="auto"/>
      <w:ind w:firstLine="200" w:firstLineChars="200"/>
    </w:pPr>
    <w:rPr>
      <w:rFonts w:ascii="Arial" w:hAnsi="Arial" w:cs="Arial"/>
      <w:kern w:val="0"/>
      <w:sz w:val="24"/>
      <w:szCs w:val="20"/>
    </w:rPr>
  </w:style>
  <w:style w:type="character" w:customStyle="1" w:styleId="159">
    <w:name w:val="标题 3 SL CON Char"/>
    <w:qFormat/>
    <w:uiPriority w:val="0"/>
    <w:rPr>
      <w:rFonts w:hint="default" w:ascii="Times New Roman" w:hAnsi="Times New Roman" w:eastAsia="黑体" w:cs="Times New Roman"/>
      <w:sz w:val="24"/>
    </w:rPr>
  </w:style>
  <w:style w:type="character" w:customStyle="1" w:styleId="160">
    <w:name w:val="样式6 Char"/>
    <w:link w:val="161"/>
    <w:qFormat/>
    <w:uiPriority w:val="0"/>
    <w:rPr>
      <w:rFonts w:ascii="宋体" w:hAnsi="宋体"/>
      <w:kern w:val="2"/>
      <w:sz w:val="24"/>
      <w:szCs w:val="24"/>
    </w:rPr>
  </w:style>
  <w:style w:type="paragraph" w:customStyle="1" w:styleId="161">
    <w:name w:val="样式6"/>
    <w:basedOn w:val="18"/>
    <w:link w:val="160"/>
    <w:qFormat/>
    <w:uiPriority w:val="0"/>
    <w:pPr>
      <w:spacing w:line="500" w:lineRule="exact"/>
      <w:ind w:firstLine="480"/>
    </w:pPr>
    <w:rPr>
      <w:sz w:val="24"/>
    </w:rPr>
  </w:style>
  <w:style w:type="character" w:customStyle="1" w:styleId="162">
    <w:name w:val="样式 正文 首行缩进:  2 字符 SL CON + 首行缩进:  2 字符 Char"/>
    <w:qFormat/>
    <w:uiPriority w:val="0"/>
    <w:rPr>
      <w:rFonts w:hint="eastAsia" w:ascii="宋体" w:hAnsi="宋体" w:eastAsia="宋体" w:cs="宋体"/>
      <w:sz w:val="24"/>
    </w:rPr>
  </w:style>
  <w:style w:type="character" w:customStyle="1" w:styleId="163">
    <w:name w:val="count4"/>
    <w:qFormat/>
    <w:uiPriority w:val="0"/>
  </w:style>
  <w:style w:type="character" w:customStyle="1" w:styleId="164">
    <w:name w:val="纯文本 Char Char Char Char2"/>
    <w:qFormat/>
    <w:uiPriority w:val="0"/>
    <w:rPr>
      <w:rFonts w:ascii="宋体" w:hAnsi="Courier New" w:eastAsia="宋体"/>
      <w:kern w:val="2"/>
      <w:sz w:val="21"/>
      <w:lang w:val="en-US" w:eastAsia="zh-CN" w:bidi="ar-SA"/>
    </w:rPr>
  </w:style>
  <w:style w:type="character" w:customStyle="1" w:styleId="165">
    <w:name w:val="标题1"/>
    <w:qFormat/>
    <w:uiPriority w:val="0"/>
    <w:rPr>
      <w:rFonts w:hint="default" w:ascii="Times New Roman" w:hAnsi="Times New Roman" w:cs="Times New Roman"/>
    </w:rPr>
  </w:style>
  <w:style w:type="character" w:customStyle="1" w:styleId="166">
    <w:name w:val="Bullet - Sub Char"/>
    <w:link w:val="167"/>
    <w:qFormat/>
    <w:uiPriority w:val="0"/>
    <w:rPr>
      <w:spacing w:val="-3"/>
      <w:kern w:val="2"/>
      <w:sz w:val="22"/>
      <w:szCs w:val="22"/>
      <w:lang w:eastAsia="en-US"/>
    </w:rPr>
  </w:style>
  <w:style w:type="paragraph" w:customStyle="1" w:styleId="167">
    <w:name w:val="Bullet - Sub"/>
    <w:basedOn w:val="1"/>
    <w:link w:val="166"/>
    <w:qFormat/>
    <w:uiPriority w:val="0"/>
    <w:pPr>
      <w:widowControl/>
      <w:tabs>
        <w:tab w:val="left" w:pos="1440"/>
      </w:tabs>
      <w:spacing w:before="120" w:after="60" w:line="280" w:lineRule="atLeast"/>
      <w:ind w:left="1440" w:hanging="360"/>
      <w:jc w:val="left"/>
    </w:pPr>
    <w:rPr>
      <w:spacing w:val="-3"/>
      <w:sz w:val="22"/>
      <w:szCs w:val="22"/>
      <w:lang w:eastAsia="en-US"/>
    </w:rPr>
  </w:style>
  <w:style w:type="character" w:customStyle="1" w:styleId="168">
    <w:name w:val="apple-converted-space"/>
    <w:qFormat/>
    <w:uiPriority w:val="0"/>
    <w:rPr>
      <w:rFonts w:hint="default" w:ascii="Times New Roman" w:hAnsi="Times New Roman" w:cs="Times New Roman"/>
    </w:rPr>
  </w:style>
  <w:style w:type="character" w:customStyle="1" w:styleId="169">
    <w:name w:val="highlight1"/>
    <w:qFormat/>
    <w:uiPriority w:val="0"/>
    <w:rPr>
      <w:sz w:val="21"/>
      <w:szCs w:val="21"/>
    </w:rPr>
  </w:style>
  <w:style w:type="character" w:customStyle="1" w:styleId="170">
    <w:name w:val="font01"/>
    <w:qFormat/>
    <w:uiPriority w:val="0"/>
    <w:rPr>
      <w:rFonts w:hint="eastAsia" w:ascii="宋体" w:hAnsi="宋体" w:eastAsia="宋体" w:cs="宋体"/>
      <w:color w:val="000000"/>
      <w:sz w:val="24"/>
      <w:szCs w:val="24"/>
      <w:u w:val="none"/>
    </w:rPr>
  </w:style>
  <w:style w:type="character" w:customStyle="1" w:styleId="171">
    <w:name w:val="CJ 文本111 Char Char"/>
    <w:qFormat/>
    <w:uiPriority w:val="0"/>
    <w:rPr>
      <w:rFonts w:hint="default" w:ascii="Times New Roman" w:hAnsi="Times New Roman" w:cs="Times New Roman"/>
      <w:sz w:val="24"/>
    </w:rPr>
  </w:style>
  <w:style w:type="character" w:customStyle="1" w:styleId="172">
    <w:name w:val="环评表格文字 Char"/>
    <w:link w:val="173"/>
    <w:qFormat/>
    <w:uiPriority w:val="0"/>
    <w:rPr>
      <w:rFonts w:ascii="宋体" w:hAnsi="宋体"/>
      <w:kern w:val="2"/>
      <w:sz w:val="21"/>
      <w:szCs w:val="24"/>
    </w:rPr>
  </w:style>
  <w:style w:type="paragraph" w:customStyle="1" w:styleId="173">
    <w:name w:val="环评表格文字"/>
    <w:basedOn w:val="1"/>
    <w:next w:val="1"/>
    <w:link w:val="172"/>
    <w:qFormat/>
    <w:uiPriority w:val="0"/>
    <w:rPr>
      <w:rFonts w:ascii="宋体" w:hAnsi="宋体"/>
    </w:rPr>
  </w:style>
  <w:style w:type="character" w:customStyle="1" w:styleId="174">
    <w:name w:val="样式3 Char Char"/>
    <w:qFormat/>
    <w:uiPriority w:val="0"/>
    <w:rPr>
      <w:rFonts w:hint="eastAsia" w:ascii="宋体" w:hAnsi="宋体" w:eastAsia="宋体" w:cs="宋体"/>
      <w:b/>
      <w:sz w:val="24"/>
    </w:rPr>
  </w:style>
  <w:style w:type="character" w:customStyle="1" w:styleId="175">
    <w:name w:val="已访问的超链接1"/>
    <w:qFormat/>
    <w:uiPriority w:val="0"/>
    <w:rPr>
      <w:color w:val="606420"/>
      <w:u w:val="single"/>
    </w:rPr>
  </w:style>
  <w:style w:type="character" w:customStyle="1" w:styleId="176">
    <w:name w:val="样式 正文 首行缩进:  2 字符 SL CON + 首行缩进:  2 字符 Char Char Char Char"/>
    <w:qFormat/>
    <w:uiPriority w:val="0"/>
    <w:rPr>
      <w:kern w:val="2"/>
      <w:sz w:val="21"/>
    </w:rPr>
  </w:style>
  <w:style w:type="character" w:customStyle="1" w:styleId="177">
    <w:name w:val="普通(网站) Char"/>
    <w:qFormat/>
    <w:uiPriority w:val="0"/>
    <w:rPr>
      <w:rFonts w:ascii="宋体" w:hAnsi="宋体" w:eastAsia="宋体"/>
      <w:sz w:val="24"/>
    </w:rPr>
  </w:style>
  <w:style w:type="character" w:customStyle="1" w:styleId="178">
    <w:name w:val="Char1 Char Char"/>
    <w:qFormat/>
    <w:uiPriority w:val="0"/>
    <w:rPr>
      <w:rFonts w:eastAsia="宋体"/>
      <w:kern w:val="2"/>
      <w:sz w:val="21"/>
      <w:szCs w:val="24"/>
      <w:lang w:val="en-US" w:eastAsia="zh-CN" w:bidi="ar-SA"/>
    </w:rPr>
  </w:style>
  <w:style w:type="character" w:customStyle="1" w:styleId="179">
    <w:name w:val="样式 样式 正文 首行缩进:  2 字符 SL CON + 首行缩进:  2 字符 + 宋体 Char Char"/>
    <w:qFormat/>
    <w:uiPriority w:val="0"/>
    <w:rPr>
      <w:sz w:val="21"/>
    </w:rPr>
  </w:style>
  <w:style w:type="character" w:customStyle="1" w:styleId="180">
    <w:name w:val="表内文字 Char Char"/>
    <w:qFormat/>
    <w:uiPriority w:val="0"/>
  </w:style>
  <w:style w:type="character" w:customStyle="1" w:styleId="181">
    <w:name w:val="报告表正文 Char Char"/>
    <w:link w:val="182"/>
    <w:qFormat/>
    <w:uiPriority w:val="0"/>
    <w:rPr>
      <w:sz w:val="24"/>
    </w:rPr>
  </w:style>
  <w:style w:type="paragraph" w:customStyle="1" w:styleId="182">
    <w:name w:val="报告表正文"/>
    <w:basedOn w:val="1"/>
    <w:link w:val="181"/>
    <w:qFormat/>
    <w:uiPriority w:val="0"/>
    <w:pPr>
      <w:adjustRightInd w:val="0"/>
      <w:spacing w:line="312" w:lineRule="auto"/>
      <w:ind w:left="113" w:right="113" w:firstLine="482"/>
      <w:jc w:val="left"/>
      <w:textAlignment w:val="baseline"/>
    </w:pPr>
    <w:rPr>
      <w:kern w:val="0"/>
      <w:sz w:val="24"/>
      <w:szCs w:val="20"/>
    </w:rPr>
  </w:style>
  <w:style w:type="character" w:customStyle="1" w:styleId="183">
    <w:name w:val="表内文字3 Char Char"/>
    <w:qFormat/>
    <w:uiPriority w:val="0"/>
    <w:rPr>
      <w:sz w:val="21"/>
    </w:rPr>
  </w:style>
  <w:style w:type="character" w:customStyle="1" w:styleId="184">
    <w:name w:val="排版正文 Char"/>
    <w:qFormat/>
    <w:uiPriority w:val="0"/>
    <w:rPr>
      <w:rFonts w:hint="default" w:ascii="Times New Roman" w:hAnsi="Times New Roman" w:cs="Times New Roman"/>
      <w:sz w:val="26"/>
    </w:rPr>
  </w:style>
  <w:style w:type="character" w:customStyle="1" w:styleId="185">
    <w:name w:val="样式2 Char Char Char"/>
    <w:link w:val="186"/>
    <w:qFormat/>
    <w:uiPriority w:val="0"/>
    <w:rPr>
      <w:rFonts w:ascii="黑体" w:hAnsi="宋体" w:eastAsia="黑体"/>
      <w:b/>
      <w:kern w:val="2"/>
      <w:sz w:val="24"/>
      <w:szCs w:val="24"/>
    </w:rPr>
  </w:style>
  <w:style w:type="paragraph" w:customStyle="1" w:styleId="186">
    <w:name w:val="样式2 Char Char"/>
    <w:basedOn w:val="1"/>
    <w:link w:val="185"/>
    <w:qFormat/>
    <w:uiPriority w:val="0"/>
    <w:pPr>
      <w:keepNext/>
      <w:keepLines/>
      <w:adjustRightInd w:val="0"/>
      <w:snapToGrid w:val="0"/>
      <w:spacing w:line="360" w:lineRule="auto"/>
      <w:ind w:right="210" w:rightChars="100"/>
      <w:jc w:val="left"/>
      <w:outlineLvl w:val="1"/>
    </w:pPr>
    <w:rPr>
      <w:rFonts w:ascii="黑体" w:hAnsi="宋体" w:eastAsia="黑体"/>
      <w:b/>
      <w:sz w:val="24"/>
    </w:rPr>
  </w:style>
  <w:style w:type="character" w:customStyle="1" w:styleId="187">
    <w:name w:val="标题 2 Char"/>
    <w:qFormat/>
    <w:uiPriority w:val="0"/>
    <w:rPr>
      <w:rFonts w:hint="default" w:ascii="Cambria" w:hAnsi="Cambria" w:eastAsia="Cambria" w:cs="Cambria"/>
      <w:b/>
      <w:sz w:val="32"/>
      <w:szCs w:val="32"/>
    </w:rPr>
  </w:style>
  <w:style w:type="character" w:customStyle="1" w:styleId="188">
    <w:name w:val="表文字 Char1"/>
    <w:qFormat/>
    <w:uiPriority w:val="0"/>
    <w:rPr>
      <w:rFonts w:ascii="Times New Roman" w:hAnsi="Times New Roman"/>
      <w:sz w:val="24"/>
    </w:rPr>
  </w:style>
  <w:style w:type="character" w:customStyle="1" w:styleId="189">
    <w:name w:val="样式 样式 正文 首行缩进:  2 字符 SL CON + 首行缩进:  2 字符 + 宋体 Char Char Char"/>
    <w:qFormat/>
    <w:uiPriority w:val="0"/>
    <w:rPr>
      <w:kern w:val="2"/>
      <w:sz w:val="24"/>
      <w:szCs w:val="21"/>
    </w:rPr>
  </w:style>
  <w:style w:type="character" w:customStyle="1" w:styleId="190">
    <w:name w:val="digest1"/>
    <w:qFormat/>
    <w:uiPriority w:val="0"/>
    <w:rPr>
      <w:color w:val="3A4343"/>
      <w:sz w:val="20"/>
      <w:szCs w:val="20"/>
    </w:rPr>
  </w:style>
  <w:style w:type="character" w:customStyle="1" w:styleId="191">
    <w:name w:val="fontstyle01"/>
    <w:qFormat/>
    <w:uiPriority w:val="0"/>
    <w:rPr>
      <w:rFonts w:hint="default" w:ascii="仿宋" w:hAnsi="仿宋"/>
      <w:color w:val="000000"/>
      <w:sz w:val="28"/>
      <w:szCs w:val="28"/>
    </w:rPr>
  </w:style>
  <w:style w:type="character" w:customStyle="1" w:styleId="192">
    <w:name w:val="表内文字 Char"/>
    <w:qFormat/>
    <w:uiPriority w:val="0"/>
    <w:rPr>
      <w:rFonts w:hint="eastAsia" w:ascii="宋体" w:hAnsi="宋体" w:eastAsia="宋体" w:cs="宋体"/>
      <w:kern w:val="2"/>
      <w:sz w:val="21"/>
      <w:lang w:val="en-US" w:eastAsia="zh-CN"/>
    </w:rPr>
  </w:style>
  <w:style w:type="character" w:customStyle="1" w:styleId="193">
    <w:name w:val="纯文本 Char1"/>
    <w:qFormat/>
    <w:uiPriority w:val="0"/>
    <w:rPr>
      <w:rFonts w:hint="eastAsia" w:ascii="宋体" w:hAnsi="Courier New" w:eastAsia="宋体" w:cs="宋体"/>
    </w:rPr>
  </w:style>
  <w:style w:type="character" w:customStyle="1" w:styleId="194">
    <w:name w:val="图题表题 Char"/>
    <w:qFormat/>
    <w:uiPriority w:val="0"/>
    <w:rPr>
      <w:b/>
      <w:kern w:val="2"/>
      <w:sz w:val="21"/>
    </w:rPr>
  </w:style>
  <w:style w:type="character" w:customStyle="1" w:styleId="195">
    <w:name w:val="图名 Char"/>
    <w:link w:val="196"/>
    <w:qFormat/>
    <w:uiPriority w:val="0"/>
    <w:rPr>
      <w:rFonts w:ascii="Wingdings" w:hAnsi="Wingdings" w:eastAsia="Courier New" w:cs="Wingdings"/>
      <w:b/>
      <w:bCs/>
      <w:sz w:val="24"/>
      <w:szCs w:val="24"/>
    </w:rPr>
  </w:style>
  <w:style w:type="paragraph" w:customStyle="1" w:styleId="196">
    <w:name w:val="图名"/>
    <w:basedOn w:val="1"/>
    <w:link w:val="195"/>
    <w:qFormat/>
    <w:uiPriority w:val="0"/>
    <w:pPr>
      <w:tabs>
        <w:tab w:val="left" w:pos="4064"/>
      </w:tabs>
      <w:adjustRightInd w:val="0"/>
      <w:spacing w:before="120"/>
      <w:jc w:val="center"/>
    </w:pPr>
    <w:rPr>
      <w:rFonts w:ascii="Wingdings" w:hAnsi="Wingdings" w:eastAsia="Courier New" w:cs="Wingdings"/>
      <w:b/>
      <w:bCs/>
      <w:kern w:val="0"/>
      <w:sz w:val="24"/>
    </w:rPr>
  </w:style>
  <w:style w:type="character" w:customStyle="1" w:styleId="197">
    <w:name w:val="样式 标题ljm + 首行缩进:  2 字符 Char"/>
    <w:qFormat/>
    <w:uiPriority w:val="0"/>
    <w:rPr>
      <w:rFonts w:hint="default" w:ascii="Times New Roman" w:hAnsi="Times New Roman" w:eastAsia="宋体" w:cs="Times New Roman"/>
      <w:b/>
      <w:sz w:val="20"/>
    </w:rPr>
  </w:style>
  <w:style w:type="character" w:customStyle="1" w:styleId="198">
    <w:name w:val="Char Char11"/>
    <w:qFormat/>
    <w:uiPriority w:val="0"/>
    <w:rPr>
      <w:rFonts w:eastAsia="宋体"/>
      <w:b/>
      <w:bCs/>
      <w:kern w:val="44"/>
      <w:sz w:val="24"/>
      <w:szCs w:val="44"/>
      <w:lang w:val="en-US" w:eastAsia="zh-CN" w:bidi="ar-SA"/>
    </w:rPr>
  </w:style>
  <w:style w:type="character" w:customStyle="1" w:styleId="199">
    <w:name w:val="表头 Char"/>
    <w:link w:val="200"/>
    <w:qFormat/>
    <w:uiPriority w:val="0"/>
    <w:rPr>
      <w:rFonts w:ascii="Calibri" w:hAnsi="Calibri" w:eastAsia="黑体"/>
      <w:spacing w:val="10"/>
      <w:kern w:val="2"/>
      <w:sz w:val="28"/>
    </w:rPr>
  </w:style>
  <w:style w:type="paragraph" w:customStyle="1" w:styleId="200">
    <w:name w:val="表头"/>
    <w:basedOn w:val="1"/>
    <w:link w:val="199"/>
    <w:qFormat/>
    <w:uiPriority w:val="0"/>
    <w:pPr>
      <w:spacing w:before="156" w:beforeLines="50" w:after="156" w:afterLines="50" w:line="500" w:lineRule="exact"/>
      <w:jc w:val="center"/>
    </w:pPr>
    <w:rPr>
      <w:rFonts w:ascii="Calibri" w:hAnsi="Calibri" w:eastAsia="黑体"/>
      <w:spacing w:val="10"/>
      <w:sz w:val="28"/>
      <w:szCs w:val="20"/>
    </w:rPr>
  </w:style>
  <w:style w:type="character" w:customStyle="1" w:styleId="201">
    <w:name w:val="报告正文 Char Char"/>
    <w:link w:val="202"/>
    <w:qFormat/>
    <w:uiPriority w:val="0"/>
    <w:rPr>
      <w:kern w:val="2"/>
      <w:sz w:val="24"/>
      <w:szCs w:val="24"/>
    </w:rPr>
  </w:style>
  <w:style w:type="paragraph" w:customStyle="1" w:styleId="202">
    <w:name w:val="报告正文"/>
    <w:basedOn w:val="1"/>
    <w:link w:val="201"/>
    <w:qFormat/>
    <w:uiPriority w:val="0"/>
    <w:pPr>
      <w:spacing w:line="360" w:lineRule="auto"/>
      <w:ind w:firstLine="200" w:firstLineChars="200"/>
      <w:jc w:val="left"/>
    </w:pPr>
    <w:rPr>
      <w:sz w:val="24"/>
    </w:rPr>
  </w:style>
  <w:style w:type="character" w:customStyle="1" w:styleId="203">
    <w:name w:val="图题表题 Char Char"/>
    <w:qFormat/>
    <w:uiPriority w:val="0"/>
    <w:rPr>
      <w:rFonts w:hint="default" w:ascii="Times New Roman" w:hAnsi="Times New Roman" w:cs="Times New Roman"/>
      <w:b/>
    </w:rPr>
  </w:style>
  <w:style w:type="character" w:customStyle="1" w:styleId="204">
    <w:name w:val="报告书正文 Char Char"/>
    <w:qFormat/>
    <w:uiPriority w:val="0"/>
    <w:rPr>
      <w:rFonts w:ascii="Arial" w:hAnsi="宋体" w:eastAsia="宋体" w:cs="Arial"/>
      <w:bCs/>
      <w:snapToGrid/>
      <w:sz w:val="24"/>
      <w:szCs w:val="24"/>
      <w:lang w:val="zh-CN" w:eastAsia="zh-CN" w:bidi="ar-SA"/>
    </w:rPr>
  </w:style>
  <w:style w:type="character" w:customStyle="1" w:styleId="205">
    <w:name w:val="样式5 Char Char"/>
    <w:link w:val="206"/>
    <w:qFormat/>
    <w:uiPriority w:val="0"/>
    <w:rPr>
      <w:sz w:val="24"/>
    </w:rPr>
  </w:style>
  <w:style w:type="paragraph" w:customStyle="1" w:styleId="206">
    <w:name w:val="样式5 Char"/>
    <w:basedOn w:val="26"/>
    <w:next w:val="1"/>
    <w:link w:val="205"/>
    <w:qFormat/>
    <w:uiPriority w:val="0"/>
    <w:pPr>
      <w:adjustRightInd w:val="0"/>
      <w:snapToGrid w:val="0"/>
      <w:spacing w:line="500" w:lineRule="exact"/>
      <w:ind w:firstLine="200" w:firstLineChars="200"/>
    </w:pPr>
    <w:rPr>
      <w:kern w:val="0"/>
      <w:szCs w:val="20"/>
    </w:rPr>
  </w:style>
  <w:style w:type="character" w:customStyle="1" w:styleId="207">
    <w:name w:val="表中文字 Char"/>
    <w:link w:val="208"/>
    <w:qFormat/>
    <w:uiPriority w:val="0"/>
    <w:rPr>
      <w:kern w:val="2"/>
      <w:sz w:val="21"/>
      <w:szCs w:val="24"/>
    </w:rPr>
  </w:style>
  <w:style w:type="paragraph" w:customStyle="1" w:styleId="208">
    <w:name w:val="表中文字"/>
    <w:basedOn w:val="1"/>
    <w:link w:val="207"/>
    <w:qFormat/>
    <w:uiPriority w:val="0"/>
    <w:pPr>
      <w:adjustRightInd w:val="0"/>
      <w:snapToGrid w:val="0"/>
      <w:spacing w:line="400" w:lineRule="exact"/>
      <w:jc w:val="center"/>
    </w:pPr>
  </w:style>
  <w:style w:type="character" w:customStyle="1" w:styleId="209">
    <w:name w:val="样式 样式 正文 首行缩进:  2 字符 SL CON + 首行缩进:  2 字符 + 宋体 Char"/>
    <w:qFormat/>
    <w:uiPriority w:val="0"/>
    <w:rPr>
      <w:kern w:val="2"/>
      <w:sz w:val="21"/>
    </w:rPr>
  </w:style>
  <w:style w:type="character" w:customStyle="1" w:styleId="210">
    <w:name w:val="宋体 小四 Char Char"/>
    <w:link w:val="211"/>
    <w:qFormat/>
    <w:uiPriority w:val="0"/>
    <w:rPr>
      <w:rFonts w:hAnsi="宋体"/>
      <w:kern w:val="2"/>
      <w:sz w:val="24"/>
      <w:szCs w:val="24"/>
    </w:rPr>
  </w:style>
  <w:style w:type="paragraph" w:customStyle="1" w:styleId="211">
    <w:name w:val="宋体 小四"/>
    <w:basedOn w:val="1"/>
    <w:link w:val="210"/>
    <w:qFormat/>
    <w:uiPriority w:val="0"/>
    <w:pPr>
      <w:spacing w:line="360" w:lineRule="auto"/>
      <w:ind w:firstLine="200" w:firstLineChars="200"/>
    </w:pPr>
    <w:rPr>
      <w:rFonts w:hAnsi="宋体"/>
      <w:sz w:val="24"/>
    </w:rPr>
  </w:style>
  <w:style w:type="character" w:customStyle="1" w:styleId="212">
    <w:name w:val="日期 字符"/>
    <w:qFormat/>
    <w:uiPriority w:val="0"/>
    <w:rPr>
      <w:rFonts w:ascii="Times New Roman" w:hAnsi="Times New Roman" w:eastAsia="宋体" w:cs="Times New Roman"/>
      <w:sz w:val="24"/>
      <w:szCs w:val="24"/>
    </w:rPr>
  </w:style>
  <w:style w:type="character" w:customStyle="1" w:styleId="213">
    <w:name w:val="fontstyle11"/>
    <w:qFormat/>
    <w:uiPriority w:val="0"/>
    <w:rPr>
      <w:rFonts w:hint="eastAsia" w:ascii="宋体" w:hAnsi="宋体" w:eastAsia="宋体"/>
      <w:color w:val="000000"/>
      <w:sz w:val="22"/>
      <w:szCs w:val="22"/>
    </w:rPr>
  </w:style>
  <w:style w:type="character" w:customStyle="1" w:styleId="214">
    <w:name w:val="样式 正文 首行缩进:  2 字符 SL CON + 首行缩进:  2 字符 Char Char"/>
    <w:link w:val="215"/>
    <w:qFormat/>
    <w:uiPriority w:val="0"/>
    <w:rPr>
      <w:kern w:val="2"/>
      <w:sz w:val="24"/>
      <w:szCs w:val="21"/>
    </w:rPr>
  </w:style>
  <w:style w:type="paragraph" w:customStyle="1" w:styleId="215">
    <w:name w:val="样式 正文 首行缩进:  2 字符 SL CON + 首行缩进:  2 字符"/>
    <w:basedOn w:val="216"/>
    <w:link w:val="214"/>
    <w:qFormat/>
    <w:uiPriority w:val="0"/>
    <w:pPr>
      <w:widowControl/>
      <w:tabs>
        <w:tab w:val="left" w:pos="377"/>
      </w:tabs>
      <w:spacing w:line="360" w:lineRule="auto"/>
      <w:ind w:firstLine="480" w:firstLineChars="200"/>
    </w:pPr>
    <w:rPr>
      <w:sz w:val="24"/>
      <w:szCs w:val="21"/>
    </w:rPr>
  </w:style>
  <w:style w:type="paragraph" w:customStyle="1" w:styleId="216">
    <w:name w:val="正文 首行缩进:  2 字符 SL CON"/>
    <w:basedOn w:val="1"/>
    <w:qFormat/>
    <w:uiPriority w:val="0"/>
    <w:pPr>
      <w:widowControl/>
      <w:tabs>
        <w:tab w:val="left" w:pos="377"/>
      </w:tabs>
      <w:spacing w:line="360" w:lineRule="auto"/>
      <w:ind w:firstLine="200" w:firstLineChars="200"/>
    </w:pPr>
    <w:rPr>
      <w:rFonts w:ascii="宋体" w:hAnsi="Calibri" w:cs="宋体"/>
      <w:kern w:val="0"/>
      <w:sz w:val="24"/>
    </w:rPr>
  </w:style>
  <w:style w:type="character" w:customStyle="1" w:styleId="217">
    <w:name w:val="表头排版 Char"/>
    <w:qFormat/>
    <w:uiPriority w:val="0"/>
    <w:rPr>
      <w:rFonts w:hint="default" w:ascii="Times New Roman" w:hAnsi="Times New Roman" w:cs="Times New Roman"/>
      <w:sz w:val="21"/>
    </w:rPr>
  </w:style>
  <w:style w:type="character" w:customStyle="1" w:styleId="218">
    <w:name w:val="表 Char"/>
    <w:qFormat/>
    <w:uiPriority w:val="0"/>
    <w:rPr>
      <w:rFonts w:hint="default" w:ascii="Times New Roman" w:hAnsi="Times New Roman" w:cs="Times New Roman"/>
      <w:sz w:val="26"/>
    </w:rPr>
  </w:style>
  <w:style w:type="character" w:customStyle="1" w:styleId="219">
    <w:name w:val="样式18 Char"/>
    <w:link w:val="220"/>
    <w:qFormat/>
    <w:uiPriority w:val="0"/>
    <w:rPr>
      <w:rFonts w:ascii="Calibri" w:hAnsi="Calibri"/>
      <w:sz w:val="26"/>
      <w:szCs w:val="26"/>
    </w:rPr>
  </w:style>
  <w:style w:type="paragraph" w:customStyle="1" w:styleId="220">
    <w:name w:val="样式18"/>
    <w:basedOn w:val="1"/>
    <w:link w:val="219"/>
    <w:qFormat/>
    <w:uiPriority w:val="0"/>
    <w:pPr>
      <w:widowControl/>
      <w:adjustRightInd w:val="0"/>
      <w:snapToGrid w:val="0"/>
      <w:spacing w:line="460" w:lineRule="exact"/>
      <w:ind w:firstLine="567" w:firstLineChars="218"/>
      <w:jc w:val="left"/>
    </w:pPr>
    <w:rPr>
      <w:rFonts w:ascii="Calibri" w:hAnsi="Calibri"/>
      <w:kern w:val="0"/>
      <w:sz w:val="26"/>
      <w:szCs w:val="26"/>
    </w:rPr>
  </w:style>
  <w:style w:type="character" w:customStyle="1" w:styleId="221">
    <w:name w:val="1号标题 Char Char"/>
    <w:link w:val="222"/>
    <w:qFormat/>
    <w:uiPriority w:val="0"/>
    <w:rPr>
      <w:color w:val="000000"/>
    </w:rPr>
  </w:style>
  <w:style w:type="paragraph" w:customStyle="1" w:styleId="222">
    <w:name w:val="1号标题"/>
    <w:basedOn w:val="202"/>
    <w:link w:val="221"/>
    <w:qFormat/>
    <w:uiPriority w:val="0"/>
    <w:pPr>
      <w:numPr>
        <w:ilvl w:val="0"/>
        <w:numId w:val="1"/>
      </w:numPr>
      <w:ind w:firstLine="182" w:firstLineChars="182"/>
    </w:pPr>
    <w:rPr>
      <w:color w:val="000000"/>
      <w:kern w:val="0"/>
      <w:sz w:val="20"/>
      <w:szCs w:val="20"/>
    </w:rPr>
  </w:style>
  <w:style w:type="character" w:customStyle="1" w:styleId="223">
    <w:name w:val="报告书正文 Char"/>
    <w:link w:val="224"/>
    <w:qFormat/>
    <w:uiPriority w:val="0"/>
    <w:rPr>
      <w:rFonts w:ascii="黑体" w:eastAsia="黑体"/>
      <w:kern w:val="2"/>
      <w:sz w:val="28"/>
      <w:szCs w:val="28"/>
    </w:rPr>
  </w:style>
  <w:style w:type="paragraph" w:customStyle="1" w:styleId="224">
    <w:name w:val="报告书正文"/>
    <w:basedOn w:val="26"/>
    <w:link w:val="223"/>
    <w:qFormat/>
    <w:uiPriority w:val="0"/>
    <w:pPr>
      <w:adjustRightInd w:val="0"/>
      <w:ind w:firstLine="560" w:firstLineChars="200"/>
      <w:jc w:val="center"/>
    </w:pPr>
    <w:rPr>
      <w:rFonts w:ascii="黑体" w:eastAsia="黑体"/>
      <w:sz w:val="28"/>
      <w:szCs w:val="28"/>
    </w:rPr>
  </w:style>
  <w:style w:type="character" w:customStyle="1" w:styleId="225">
    <w:name w:val="titletext1"/>
    <w:qFormat/>
    <w:uiPriority w:val="0"/>
    <w:rPr>
      <w:color w:val="000000"/>
      <w:sz w:val="21"/>
      <w:szCs w:val="21"/>
    </w:rPr>
  </w:style>
  <w:style w:type="character" w:customStyle="1" w:styleId="226">
    <w:name w:val="样式7 Char"/>
    <w:qFormat/>
    <w:uiPriority w:val="0"/>
    <w:rPr>
      <w:rFonts w:hint="default" w:ascii="Times New Roman" w:hAnsi="Times New Roman" w:cs="Times New Roman"/>
      <w:sz w:val="26"/>
    </w:rPr>
  </w:style>
  <w:style w:type="character" w:customStyle="1" w:styleId="227">
    <w:name w:val="Char1 Char1"/>
    <w:link w:val="228"/>
    <w:qFormat/>
    <w:uiPriority w:val="0"/>
    <w:rPr>
      <w:kern w:val="2"/>
      <w:sz w:val="21"/>
      <w:szCs w:val="24"/>
    </w:rPr>
  </w:style>
  <w:style w:type="paragraph" w:customStyle="1" w:styleId="228">
    <w:name w:val="Char1"/>
    <w:basedOn w:val="1"/>
    <w:link w:val="227"/>
    <w:qFormat/>
    <w:uiPriority w:val="0"/>
  </w:style>
  <w:style w:type="character" w:customStyle="1" w:styleId="229">
    <w:name w:val="正文文本 字符1"/>
    <w:qFormat/>
    <w:uiPriority w:val="0"/>
    <w:rPr>
      <w:rFonts w:ascii="Times New Roman" w:hAnsi="Times New Roman" w:eastAsia="宋体" w:cs="Times New Roman"/>
      <w:sz w:val="24"/>
      <w:szCs w:val="24"/>
    </w:rPr>
  </w:style>
  <w:style w:type="paragraph" w:customStyle="1" w:styleId="230">
    <w:name w:val="Char Char Char Char"/>
    <w:basedOn w:val="1"/>
    <w:qFormat/>
    <w:uiPriority w:val="0"/>
    <w:rPr>
      <w:rFonts w:ascii="Calibri" w:hAnsi="Calibri"/>
    </w:rPr>
  </w:style>
  <w:style w:type="paragraph" w:customStyle="1" w:styleId="231">
    <w:name w:val="表格文字-中煤"/>
    <w:basedOn w:val="1"/>
    <w:next w:val="1"/>
    <w:qFormat/>
    <w:uiPriority w:val="0"/>
    <w:pPr>
      <w:widowControl/>
      <w:autoSpaceDE w:val="0"/>
      <w:autoSpaceDN w:val="0"/>
      <w:adjustRightInd w:val="0"/>
      <w:snapToGrid w:val="0"/>
      <w:jc w:val="center"/>
    </w:pPr>
    <w:rPr>
      <w:rFonts w:eastAsia="Times New Roman"/>
      <w:kern w:val="0"/>
      <w:sz w:val="22"/>
      <w:szCs w:val="21"/>
      <w:lang w:val="zh-CN"/>
    </w:rPr>
  </w:style>
  <w:style w:type="paragraph" w:customStyle="1" w:styleId="232">
    <w:name w:val="表格文字"/>
    <w:qFormat/>
    <w:uiPriority w:val="0"/>
    <w:pPr>
      <w:widowControl w:val="0"/>
      <w:autoSpaceDE w:val="0"/>
      <w:autoSpaceDN w:val="0"/>
      <w:adjustRightInd w:val="0"/>
      <w:textAlignment w:val="baseline"/>
    </w:pPr>
    <w:rPr>
      <w:rFonts w:ascii="宋体" w:hAnsi="Calibri" w:eastAsia="宋体" w:cs="Times New Roman"/>
      <w:color w:val="000000"/>
      <w:sz w:val="24"/>
      <w:lang w:val="en-US" w:eastAsia="zh-CN" w:bidi="ar-SA"/>
    </w:rPr>
  </w:style>
  <w:style w:type="paragraph" w:customStyle="1" w:styleId="233">
    <w:name w:val="Char1 Char Char Char"/>
    <w:basedOn w:val="1"/>
    <w:qFormat/>
    <w:uiPriority w:val="0"/>
    <w:rPr>
      <w:rFonts w:ascii="Calibri" w:hAnsi="Calibri"/>
    </w:rPr>
  </w:style>
  <w:style w:type="paragraph" w:customStyle="1" w:styleId="234">
    <w:name w:val="正文A"/>
    <w:basedOn w:val="1"/>
    <w:qFormat/>
    <w:uiPriority w:val="0"/>
    <w:pPr>
      <w:spacing w:line="540" w:lineRule="exact"/>
    </w:pPr>
    <w:rPr>
      <w:rFonts w:ascii="Calibri" w:hAnsi="Calibri" w:cs="宋体"/>
      <w:sz w:val="24"/>
      <w:szCs w:val="20"/>
    </w:rPr>
  </w:style>
  <w:style w:type="paragraph" w:customStyle="1" w:styleId="235">
    <w:name w:val="CM2"/>
    <w:basedOn w:val="1"/>
    <w:next w:val="1"/>
    <w:qFormat/>
    <w:uiPriority w:val="0"/>
    <w:pPr>
      <w:autoSpaceDE w:val="0"/>
      <w:autoSpaceDN w:val="0"/>
      <w:adjustRightInd w:val="0"/>
      <w:spacing w:line="573" w:lineRule="atLeast"/>
      <w:jc w:val="left"/>
    </w:pPr>
    <w:rPr>
      <w:rFonts w:ascii="黑体" w:hAnsi="Calibri" w:eastAsia="黑体"/>
      <w:kern w:val="0"/>
      <w:sz w:val="20"/>
    </w:rPr>
  </w:style>
  <w:style w:type="paragraph" w:customStyle="1" w:styleId="236">
    <w:name w:val="列出段落1"/>
    <w:basedOn w:val="1"/>
    <w:qFormat/>
    <w:uiPriority w:val="0"/>
    <w:pPr>
      <w:ind w:firstLine="420" w:firstLineChars="200"/>
      <w:jc w:val="left"/>
    </w:pPr>
    <w:rPr>
      <w:rFonts w:ascii="宋体" w:hAnsi="宋体" w:cs="宋体"/>
      <w:color w:val="000000"/>
      <w:kern w:val="0"/>
      <w:sz w:val="24"/>
    </w:rPr>
  </w:style>
  <w:style w:type="paragraph" w:customStyle="1" w:styleId="237">
    <w:name w:val="表标题"/>
    <w:basedOn w:val="1"/>
    <w:qFormat/>
    <w:uiPriority w:val="0"/>
    <w:pPr>
      <w:jc w:val="center"/>
    </w:pPr>
    <w:rPr>
      <w:rFonts w:ascii="宋体" w:hAnsi="宋体"/>
      <w:kern w:val="0"/>
      <w:sz w:val="24"/>
      <w:szCs w:val="20"/>
    </w:rPr>
  </w:style>
  <w:style w:type="paragraph" w:customStyle="1" w:styleId="238">
    <w:name w:val="wislin正文"/>
    <w:basedOn w:val="1"/>
    <w:qFormat/>
    <w:uiPriority w:val="0"/>
    <w:pPr>
      <w:spacing w:line="300" w:lineRule="auto"/>
      <w:ind w:firstLine="454"/>
    </w:pPr>
    <w:rPr>
      <w:rFonts w:ascii="Calibri" w:hAnsi="Calibri"/>
      <w:sz w:val="24"/>
    </w:rPr>
  </w:style>
  <w:style w:type="paragraph" w:customStyle="1" w:styleId="239">
    <w:name w:val="环评正文"/>
    <w:basedOn w:val="3"/>
    <w:qFormat/>
    <w:uiPriority w:val="0"/>
    <w:pPr>
      <w:keepNext w:val="0"/>
      <w:tabs>
        <w:tab w:val="left" w:pos="662"/>
      </w:tabs>
      <w:overflowPunct/>
      <w:snapToGrid/>
      <w:spacing w:before="0" w:after="0" w:line="240" w:lineRule="auto"/>
      <w:ind w:left="0" w:firstLine="578"/>
      <w:outlineLvl w:val="9"/>
    </w:pPr>
    <w:rPr>
      <w:rFonts w:ascii="Calibri" w:hAnsi="Calibri" w:eastAsia="宋体"/>
      <w:b w:val="0"/>
      <w:bCs w:val="0"/>
      <w:color w:val="auto"/>
      <w:kern w:val="2"/>
      <w:sz w:val="28"/>
      <w:szCs w:val="24"/>
    </w:rPr>
  </w:style>
  <w:style w:type="paragraph" w:customStyle="1" w:styleId="240">
    <w:name w:val="正文表标题"/>
    <w:next w:val="241"/>
    <w:qFormat/>
    <w:uiPriority w:val="0"/>
    <w:pPr>
      <w:tabs>
        <w:tab w:val="left" w:pos="857"/>
      </w:tabs>
      <w:ind w:left="857" w:hanging="420"/>
      <w:jc w:val="center"/>
    </w:pPr>
    <w:rPr>
      <w:rFonts w:ascii="黑体" w:hAnsi="Times New Roman" w:eastAsia="黑体" w:cs="Times New Roman"/>
      <w:sz w:val="21"/>
      <w:lang w:val="en-US" w:eastAsia="zh-CN" w:bidi="ar-SA"/>
    </w:rPr>
  </w:style>
  <w:style w:type="paragraph" w:customStyle="1" w:styleId="2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42">
    <w:name w:val="01表格"/>
    <w:basedOn w:val="14"/>
    <w:qFormat/>
    <w:uiPriority w:val="0"/>
    <w:pPr>
      <w:keepNext/>
      <w:widowControl/>
      <w:jc w:val="center"/>
    </w:pPr>
    <w:rPr>
      <w:b/>
    </w:rPr>
  </w:style>
  <w:style w:type="paragraph" w:customStyle="1" w:styleId="243">
    <w:name w:val="样式3"/>
    <w:basedOn w:val="1"/>
    <w:qFormat/>
    <w:uiPriority w:val="0"/>
    <w:pPr>
      <w:spacing w:line="440" w:lineRule="exact"/>
      <w:jc w:val="center"/>
    </w:pPr>
    <w:rPr>
      <w:rFonts w:ascii="宋体" w:hAnsi="宋体"/>
      <w:sz w:val="24"/>
      <w:szCs w:val="20"/>
    </w:rPr>
  </w:style>
  <w:style w:type="paragraph" w:customStyle="1" w:styleId="244">
    <w:name w:val="封面正文"/>
    <w:qFormat/>
    <w:uiPriority w:val="0"/>
    <w:pPr>
      <w:jc w:val="both"/>
    </w:pPr>
    <w:rPr>
      <w:rFonts w:ascii="Calibri" w:hAnsi="Calibri" w:eastAsia="宋体" w:cs="Times New Roman"/>
      <w:lang w:val="en-US" w:eastAsia="zh-CN" w:bidi="ar-SA"/>
    </w:rPr>
  </w:style>
  <w:style w:type="paragraph" w:customStyle="1" w:styleId="245">
    <w:name w:val="正文缩进2"/>
    <w:basedOn w:val="1"/>
    <w:qFormat/>
    <w:uiPriority w:val="0"/>
    <w:pPr>
      <w:ind w:firstLine="420"/>
    </w:pPr>
    <w:rPr>
      <w:rFonts w:ascii="Calibri" w:hAnsi="Calibri"/>
      <w:kern w:val="0"/>
      <w:sz w:val="26"/>
      <w:szCs w:val="20"/>
    </w:rPr>
  </w:style>
  <w:style w:type="paragraph" w:customStyle="1" w:styleId="246">
    <w:name w:val="表头样式1"/>
    <w:basedOn w:val="1"/>
    <w:qFormat/>
    <w:uiPriority w:val="0"/>
    <w:pPr>
      <w:jc w:val="center"/>
    </w:pPr>
    <w:rPr>
      <w:rFonts w:ascii="Calibri" w:hAnsi="Calibri" w:eastAsia="黑体"/>
      <w:b/>
      <w:kern w:val="0"/>
      <w:sz w:val="24"/>
      <w:szCs w:val="20"/>
    </w:rPr>
  </w:style>
  <w:style w:type="paragraph" w:customStyle="1" w:styleId="247">
    <w:name w:val="表内文字"/>
    <w:basedOn w:val="1"/>
    <w:qFormat/>
    <w:uiPriority w:val="0"/>
    <w:pPr>
      <w:spacing w:line="0" w:lineRule="atLeast"/>
      <w:jc w:val="center"/>
    </w:pPr>
    <w:rPr>
      <w:rFonts w:ascii="Calibri" w:hAnsi="Calibri"/>
      <w:kern w:val="0"/>
      <w:sz w:val="20"/>
      <w:szCs w:val="20"/>
    </w:rPr>
  </w:style>
  <w:style w:type="paragraph" w:customStyle="1" w:styleId="248">
    <w:name w:val="环龙公司文本正文"/>
    <w:qFormat/>
    <w:uiPriority w:val="0"/>
    <w:pPr>
      <w:widowControl w:val="0"/>
      <w:spacing w:line="360" w:lineRule="auto"/>
      <w:ind w:firstLine="200" w:firstLineChars="200"/>
      <w:jc w:val="both"/>
    </w:pPr>
    <w:rPr>
      <w:rFonts w:ascii="Calibri" w:hAnsi="Calibri" w:eastAsia="宋体" w:cs="Times New Roman"/>
      <w:kern w:val="2"/>
      <w:sz w:val="24"/>
      <w:szCs w:val="24"/>
      <w:lang w:val="en-US" w:eastAsia="zh-CN" w:bidi="ar-SA"/>
    </w:rPr>
  </w:style>
  <w:style w:type="paragraph" w:customStyle="1" w:styleId="249">
    <w:name w:val="样式 样式 正文 首行缩进:  2 字符 SL CON + 首行缩进:  2 字符 + 宋体"/>
    <w:basedOn w:val="215"/>
    <w:qFormat/>
    <w:uiPriority w:val="0"/>
    <w:rPr>
      <w:rFonts w:ascii="Calibri" w:hAnsi="Calibri" w:cs="宋体"/>
      <w:kern w:val="0"/>
    </w:rPr>
  </w:style>
  <w:style w:type="paragraph" w:customStyle="1" w:styleId="250">
    <w:name w:val="报告表 正文"/>
    <w:basedOn w:val="1"/>
    <w:qFormat/>
    <w:uiPriority w:val="0"/>
    <w:pPr>
      <w:adjustRightInd w:val="0"/>
      <w:snapToGrid w:val="0"/>
      <w:spacing w:line="480" w:lineRule="exact"/>
      <w:ind w:firstLine="200" w:firstLineChars="200"/>
    </w:pPr>
    <w:rPr>
      <w:rFonts w:eastAsia="Times New Roman"/>
      <w:sz w:val="24"/>
    </w:rPr>
  </w:style>
  <w:style w:type="paragraph" w:customStyle="1" w:styleId="251">
    <w:name w:val="Char"/>
    <w:basedOn w:val="1"/>
    <w:qFormat/>
    <w:uiPriority w:val="0"/>
    <w:rPr>
      <w:rFonts w:ascii="Calibri" w:hAnsi="Calibri"/>
    </w:rPr>
  </w:style>
  <w:style w:type="paragraph" w:customStyle="1" w:styleId="252">
    <w:name w:val="Char Char Char Char Char Char2"/>
    <w:basedOn w:val="1"/>
    <w:next w:val="2"/>
    <w:qFormat/>
    <w:uiPriority w:val="0"/>
    <w:rPr>
      <w:rFonts w:ascii="Calibri" w:hAnsi="Calibri"/>
      <w:sz w:val="28"/>
      <w:szCs w:val="28"/>
    </w:rPr>
  </w:style>
  <w:style w:type="paragraph" w:customStyle="1" w:styleId="253">
    <w:name w:val="Bullet"/>
    <w:basedOn w:val="1"/>
    <w:qFormat/>
    <w:uiPriority w:val="0"/>
    <w:pPr>
      <w:widowControl/>
      <w:tabs>
        <w:tab w:val="left" w:pos="360"/>
      </w:tabs>
      <w:spacing w:before="180" w:after="60"/>
      <w:ind w:left="360" w:hanging="360"/>
      <w:jc w:val="left"/>
    </w:pPr>
    <w:rPr>
      <w:kern w:val="0"/>
      <w:sz w:val="22"/>
      <w:szCs w:val="20"/>
    </w:rPr>
  </w:style>
  <w:style w:type="paragraph" w:customStyle="1" w:styleId="254">
    <w:name w:val="Table Paragraph"/>
    <w:basedOn w:val="1"/>
    <w:qFormat/>
    <w:uiPriority w:val="1"/>
    <w:rPr>
      <w:rFonts w:ascii="Arial" w:hAnsi="Arial" w:eastAsia="Arial" w:cs="Arial"/>
      <w:lang w:val="zh-CN" w:bidi="zh-CN"/>
    </w:rPr>
  </w:style>
  <w:style w:type="paragraph" w:customStyle="1" w:styleId="255">
    <w:name w:val="简单回函地址"/>
    <w:basedOn w:val="1"/>
    <w:qFormat/>
    <w:uiPriority w:val="0"/>
    <w:rPr>
      <w:rFonts w:ascii="Calibri" w:hAnsi="Calibri"/>
      <w:sz w:val="24"/>
      <w:szCs w:val="20"/>
    </w:rPr>
  </w:style>
  <w:style w:type="paragraph" w:customStyle="1" w:styleId="256">
    <w:name w:val="0环评正文"/>
    <w:basedOn w:val="1"/>
    <w:qFormat/>
    <w:uiPriority w:val="0"/>
    <w:pPr>
      <w:spacing w:line="360" w:lineRule="auto"/>
      <w:ind w:firstLine="200" w:firstLineChars="200"/>
    </w:pPr>
    <w:rPr>
      <w:sz w:val="24"/>
      <w:szCs w:val="22"/>
    </w:rPr>
  </w:style>
  <w:style w:type="paragraph" w:customStyle="1" w:styleId="257">
    <w:name w:val="图题表题"/>
    <w:basedOn w:val="1"/>
    <w:qFormat/>
    <w:uiPriority w:val="0"/>
    <w:pPr>
      <w:spacing w:line="360" w:lineRule="auto"/>
      <w:jc w:val="center"/>
    </w:pPr>
    <w:rPr>
      <w:rFonts w:ascii="Calibri" w:hAnsi="Calibri"/>
      <w:b/>
      <w:bCs/>
      <w:kern w:val="0"/>
      <w:sz w:val="20"/>
      <w:szCs w:val="20"/>
    </w:rPr>
  </w:style>
  <w:style w:type="paragraph" w:customStyle="1" w:styleId="258">
    <w:name w:val="大标题（表外部的）"/>
    <w:basedOn w:val="1"/>
    <w:qFormat/>
    <w:uiPriority w:val="0"/>
    <w:pPr>
      <w:keepNext/>
      <w:keepLines/>
    </w:pPr>
    <w:rPr>
      <w:rFonts w:ascii="宋体" w:hAnsi="宋体" w:eastAsia="黑体"/>
      <w:b/>
      <w:sz w:val="30"/>
    </w:rPr>
  </w:style>
  <w:style w:type="paragraph" w:customStyle="1" w:styleId="259">
    <w:name w:val="普通(网站)2"/>
    <w:basedOn w:val="1"/>
    <w:qFormat/>
    <w:uiPriority w:val="0"/>
    <w:pPr>
      <w:widowControl/>
      <w:spacing w:before="100" w:beforeAutospacing="1" w:after="100" w:afterAutospacing="1"/>
      <w:jc w:val="left"/>
    </w:pPr>
    <w:rPr>
      <w:rFonts w:ascii="宋体" w:hAnsi="宋体"/>
      <w:sz w:val="24"/>
      <w:szCs w:val="20"/>
    </w:rPr>
  </w:style>
  <w:style w:type="paragraph" w:customStyle="1" w:styleId="260">
    <w:name w:val="表文"/>
    <w:basedOn w:val="19"/>
    <w:next w:val="13"/>
    <w:qFormat/>
    <w:uiPriority w:val="0"/>
    <w:pPr>
      <w:widowControl w:val="0"/>
      <w:snapToGrid/>
      <w:spacing w:before="0" w:after="0" w:line="360" w:lineRule="auto"/>
      <w:ind w:right="0"/>
      <w:jc w:val="center"/>
    </w:pPr>
    <w:rPr>
      <w:rFonts w:hAnsi="Calibri" w:eastAsia="仿宋_GB2312"/>
      <w:kern w:val="2"/>
      <w:sz w:val="24"/>
      <w:szCs w:val="20"/>
    </w:rPr>
  </w:style>
  <w:style w:type="paragraph" w:customStyle="1" w:styleId="261">
    <w:name w:val="正文缩进1"/>
    <w:basedOn w:val="1"/>
    <w:qFormat/>
    <w:uiPriority w:val="0"/>
    <w:pPr>
      <w:ind w:firstLine="420" w:firstLineChars="200"/>
    </w:pPr>
    <w:rPr>
      <w:rFonts w:ascii="Calibri" w:hAnsi="Calibri"/>
    </w:rPr>
  </w:style>
  <w:style w:type="paragraph" w:customStyle="1" w:styleId="262">
    <w:name w:val="Char4 Char Char Char Char Char Char1"/>
    <w:basedOn w:val="1"/>
    <w:qFormat/>
    <w:uiPriority w:val="0"/>
    <w:pPr>
      <w:spacing w:line="360" w:lineRule="auto"/>
      <w:ind w:firstLine="200" w:firstLineChars="200"/>
    </w:pPr>
    <w:rPr>
      <w:rFonts w:ascii="宋体" w:hAnsi="宋体" w:cs="宋体"/>
      <w:sz w:val="24"/>
    </w:rPr>
  </w:style>
  <w:style w:type="paragraph" w:customStyle="1" w:styleId="263">
    <w:name w:val="列表段落1"/>
    <w:basedOn w:val="1"/>
    <w:qFormat/>
    <w:uiPriority w:val="0"/>
    <w:pPr>
      <w:ind w:firstLine="420" w:firstLineChars="200"/>
    </w:pPr>
    <w:rPr>
      <w:rFonts w:ascii="Calibri" w:hAnsi="Calibri"/>
    </w:rPr>
  </w:style>
  <w:style w:type="paragraph" w:customStyle="1" w:styleId="264">
    <w:name w:val="Char Char Char Char Char Char Char Char Char Char Char Char Char"/>
    <w:basedOn w:val="1"/>
    <w:qFormat/>
    <w:uiPriority w:val="0"/>
    <w:rPr>
      <w:rFonts w:ascii="Calibri" w:hAnsi="Calibri"/>
    </w:rPr>
  </w:style>
  <w:style w:type="paragraph" w:customStyle="1" w:styleId="265">
    <w:name w:val="环表头"/>
    <w:next w:val="248"/>
    <w:qFormat/>
    <w:uiPriority w:val="0"/>
    <w:pPr>
      <w:jc w:val="center"/>
    </w:pPr>
    <w:rPr>
      <w:rFonts w:ascii="Calibri" w:hAnsi="Calibri" w:eastAsia="宋体" w:cs="Times New Roman"/>
      <w:kern w:val="2"/>
      <w:sz w:val="24"/>
      <w:szCs w:val="24"/>
      <w:lang w:val="en-US" w:eastAsia="zh-CN" w:bidi="ar-SA"/>
    </w:rPr>
  </w:style>
  <w:style w:type="paragraph" w:customStyle="1" w:styleId="266">
    <w:name w:val="pic-info"/>
    <w:basedOn w:val="1"/>
    <w:qFormat/>
    <w:uiPriority w:val="0"/>
    <w:pPr>
      <w:widowControl/>
      <w:spacing w:before="100" w:beforeAutospacing="1" w:after="100" w:afterAutospacing="1"/>
      <w:jc w:val="left"/>
    </w:pPr>
    <w:rPr>
      <w:rFonts w:ascii="宋体" w:hAnsi="宋体" w:cs="宋体"/>
      <w:kern w:val="0"/>
      <w:sz w:val="24"/>
    </w:rPr>
  </w:style>
  <w:style w:type="paragraph" w:customStyle="1" w:styleId="267">
    <w:name w:val="Plain Text1"/>
    <w:basedOn w:val="1"/>
    <w:qFormat/>
    <w:uiPriority w:val="0"/>
    <w:rPr>
      <w:rFonts w:ascii="宋体" w:hAnsi="Courier New"/>
      <w:kern w:val="0"/>
      <w:sz w:val="28"/>
    </w:rPr>
  </w:style>
  <w:style w:type="paragraph" w:customStyle="1" w:styleId="268">
    <w:name w:val="报告表 表名、表头、图名"/>
    <w:basedOn w:val="1"/>
    <w:qFormat/>
    <w:uiPriority w:val="0"/>
    <w:pPr>
      <w:adjustRightInd w:val="0"/>
      <w:snapToGrid w:val="0"/>
      <w:jc w:val="center"/>
    </w:pPr>
    <w:rPr>
      <w:rFonts w:eastAsia="Times New Roman"/>
      <w:b/>
      <w:szCs w:val="21"/>
    </w:rPr>
  </w:style>
  <w:style w:type="paragraph" w:customStyle="1" w:styleId="269">
    <w:name w:val="1表格"/>
    <w:basedOn w:val="1"/>
    <w:qFormat/>
    <w:uiPriority w:val="0"/>
    <w:pPr>
      <w:snapToGrid w:val="0"/>
      <w:spacing w:line="160" w:lineRule="atLeast"/>
      <w:jc w:val="center"/>
    </w:pPr>
    <w:rPr>
      <w:rFonts w:ascii="Calibri" w:hAnsi="Calibri" w:eastAsia="仿宋_GB2312"/>
      <w:szCs w:val="20"/>
    </w:rPr>
  </w:style>
  <w:style w:type="paragraph" w:customStyle="1" w:styleId="270">
    <w:name w:val="表格文字2"/>
    <w:basedOn w:val="1"/>
    <w:qFormat/>
    <w:uiPriority w:val="0"/>
    <w:pPr>
      <w:adjustRightInd w:val="0"/>
      <w:spacing w:before="60"/>
      <w:jc w:val="center"/>
      <w:textAlignment w:val="baseline"/>
    </w:pPr>
    <w:rPr>
      <w:rFonts w:ascii="宋体" w:hAnsi="Calibri"/>
      <w:kern w:val="0"/>
      <w:sz w:val="24"/>
      <w:szCs w:val="20"/>
    </w:rPr>
  </w:style>
  <w:style w:type="paragraph" w:customStyle="1" w:styleId="271">
    <w:name w:val="正文格式"/>
    <w:basedOn w:val="1"/>
    <w:qFormat/>
    <w:uiPriority w:val="0"/>
    <w:pPr>
      <w:spacing w:line="360" w:lineRule="auto"/>
      <w:ind w:firstLine="480" w:firstLineChars="200"/>
    </w:pPr>
    <w:rPr>
      <w:rFonts w:ascii="Calibri" w:hAnsi="Calibri"/>
      <w:kern w:val="0"/>
      <w:sz w:val="24"/>
    </w:rPr>
  </w:style>
  <w:style w:type="paragraph" w:customStyle="1" w:styleId="272">
    <w:name w:val="zw1"/>
    <w:basedOn w:val="1"/>
    <w:qFormat/>
    <w:uiPriority w:val="0"/>
    <w:pPr>
      <w:ind w:firstLine="480"/>
    </w:pPr>
    <w:rPr>
      <w:rFonts w:ascii="Calibri" w:hAnsi="Calibri" w:eastAsia="仿宋_GB2312"/>
      <w:sz w:val="24"/>
    </w:rPr>
  </w:style>
  <w:style w:type="paragraph" w:customStyle="1" w:styleId="273">
    <w:name w:val="样式 样式16 + 首行缩进:  2 字符"/>
    <w:basedOn w:val="1"/>
    <w:qFormat/>
    <w:uiPriority w:val="0"/>
    <w:pPr>
      <w:adjustRightInd w:val="0"/>
      <w:snapToGrid w:val="0"/>
      <w:spacing w:line="355" w:lineRule="auto"/>
      <w:ind w:firstLine="560" w:firstLineChars="200"/>
    </w:pPr>
    <w:rPr>
      <w:rFonts w:ascii="宋体" w:hAnsi="宋体" w:eastAsia="仿宋_GB2312" w:cs="宋体"/>
      <w:sz w:val="28"/>
      <w:szCs w:val="20"/>
    </w:rPr>
  </w:style>
  <w:style w:type="paragraph" w:customStyle="1" w:styleId="274">
    <w:name w:val="中文报告书"/>
    <w:basedOn w:val="1"/>
    <w:qFormat/>
    <w:uiPriority w:val="0"/>
    <w:pPr>
      <w:adjustRightInd w:val="0"/>
      <w:spacing w:after="80" w:line="420" w:lineRule="atLeast"/>
      <w:jc w:val="left"/>
      <w:textAlignment w:val="baseline"/>
    </w:pPr>
    <w:rPr>
      <w:rFonts w:ascii="Calibri" w:hAnsi="Calibri"/>
      <w:kern w:val="0"/>
      <w:sz w:val="24"/>
      <w:szCs w:val="20"/>
    </w:rPr>
  </w:style>
  <w:style w:type="paragraph" w:customStyle="1" w:styleId="275">
    <w:name w:val="Char26"/>
    <w:basedOn w:val="1"/>
    <w:qFormat/>
    <w:uiPriority w:val="99"/>
  </w:style>
  <w:style w:type="paragraph" w:customStyle="1" w:styleId="276">
    <w:name w:val="纯文本1"/>
    <w:basedOn w:val="1"/>
    <w:qFormat/>
    <w:uiPriority w:val="0"/>
    <w:rPr>
      <w:rFonts w:ascii="宋体" w:hAnsi="Courier New"/>
    </w:rPr>
  </w:style>
  <w:style w:type="paragraph" w:customStyle="1" w:styleId="277">
    <w:name w:val="Char Char1 Char Char Char Char Char Char Char Char Char"/>
    <w:basedOn w:val="1"/>
    <w:qFormat/>
    <w:uiPriority w:val="0"/>
    <w:rPr>
      <w:rFonts w:ascii="Calibri" w:hAnsi="Calibri"/>
    </w:rPr>
  </w:style>
  <w:style w:type="paragraph" w:customStyle="1" w:styleId="278">
    <w:name w:val="3"/>
    <w:basedOn w:val="1"/>
    <w:qFormat/>
    <w:uiPriority w:val="0"/>
    <w:rPr>
      <w:rFonts w:ascii="Calibri" w:hAnsi="Calibri"/>
    </w:rPr>
  </w:style>
  <w:style w:type="paragraph" w:customStyle="1" w:styleId="279">
    <w:name w:val="p19"/>
    <w:basedOn w:val="1"/>
    <w:qFormat/>
    <w:uiPriority w:val="0"/>
    <w:pPr>
      <w:widowControl/>
      <w:spacing w:after="120" w:line="480" w:lineRule="auto"/>
      <w:ind w:left="420"/>
    </w:pPr>
    <w:rPr>
      <w:rFonts w:ascii="Calibri" w:hAnsi="Calibri"/>
      <w:kern w:val="0"/>
      <w:szCs w:val="21"/>
    </w:rPr>
  </w:style>
  <w:style w:type="paragraph" w:customStyle="1" w:styleId="280">
    <w:name w:val="表格格式1-2"/>
    <w:basedOn w:val="1"/>
    <w:qFormat/>
    <w:uiPriority w:val="0"/>
    <w:pPr>
      <w:jc w:val="center"/>
    </w:pPr>
    <w:rPr>
      <w:rFonts w:cs="宋体"/>
      <w:szCs w:val="21"/>
    </w:rPr>
  </w:style>
  <w:style w:type="paragraph" w:customStyle="1" w:styleId="281">
    <w:name w:val="zxz5"/>
    <w:next w:val="1"/>
    <w:qFormat/>
    <w:uiPriority w:val="0"/>
    <w:pPr>
      <w:tabs>
        <w:tab w:val="left" w:pos="0"/>
      </w:tabs>
      <w:jc w:val="center"/>
    </w:pPr>
    <w:rPr>
      <w:rFonts w:ascii="宋体" w:hAnsi="宋体" w:eastAsia="Times New Roman" w:cs="宋体"/>
      <w:bCs/>
      <w:kern w:val="2"/>
      <w:sz w:val="18"/>
      <w:szCs w:val="18"/>
      <w:lang w:val="en-US" w:eastAsia="zh-CN" w:bidi="ar-SA"/>
    </w:rPr>
  </w:style>
  <w:style w:type="paragraph" w:customStyle="1" w:styleId="282">
    <w:name w:val="默认段落字体 Para Char"/>
    <w:basedOn w:val="1"/>
    <w:qFormat/>
    <w:uiPriority w:val="0"/>
    <w:rPr>
      <w:rFonts w:ascii="Calibri" w:hAnsi="Calibri"/>
      <w:sz w:val="24"/>
    </w:rPr>
  </w:style>
  <w:style w:type="paragraph" w:customStyle="1" w:styleId="283">
    <w:name w:val="list1"/>
    <w:basedOn w:val="1"/>
    <w:qFormat/>
    <w:uiPriority w:val="0"/>
    <w:pPr>
      <w:widowControl/>
      <w:pBdr>
        <w:right w:val="single" w:color="FFFFFF" w:sz="6" w:space="0"/>
      </w:pBdr>
      <w:spacing w:before="100" w:beforeAutospacing="1" w:after="100" w:afterAutospacing="1"/>
      <w:jc w:val="left"/>
    </w:pPr>
    <w:rPr>
      <w:rFonts w:ascii="宋体" w:hAnsi="宋体"/>
      <w:kern w:val="0"/>
      <w:sz w:val="24"/>
    </w:rPr>
  </w:style>
  <w:style w:type="paragraph" w:customStyle="1" w:styleId="284">
    <w:name w:val="纯文本2"/>
    <w:basedOn w:val="1"/>
    <w:qFormat/>
    <w:uiPriority w:val="0"/>
    <w:rPr>
      <w:rFonts w:ascii="宋体" w:hAnsi="Courier New"/>
      <w:kern w:val="0"/>
      <w:sz w:val="28"/>
      <w:szCs w:val="20"/>
    </w:rPr>
  </w:style>
  <w:style w:type="paragraph" w:customStyle="1" w:styleId="285">
    <w:name w:val="段落1"/>
    <w:basedOn w:val="1"/>
    <w:qFormat/>
    <w:uiPriority w:val="0"/>
    <w:pPr>
      <w:spacing w:line="480" w:lineRule="exact"/>
      <w:ind w:firstLine="200" w:firstLineChars="200"/>
    </w:pPr>
    <w:rPr>
      <w:rFonts w:ascii="Calibri" w:hAnsi="Calibri" w:eastAsia="楷体_GB2312"/>
      <w:spacing w:val="6"/>
      <w:sz w:val="28"/>
    </w:rPr>
  </w:style>
  <w:style w:type="paragraph" w:customStyle="1" w:styleId="286">
    <w:name w:val="表文排版"/>
    <w:basedOn w:val="19"/>
    <w:qFormat/>
    <w:uiPriority w:val="0"/>
    <w:pPr>
      <w:widowControl w:val="0"/>
      <w:snapToGrid/>
      <w:spacing w:before="0" w:after="0" w:line="240" w:lineRule="auto"/>
      <w:ind w:right="0"/>
      <w:jc w:val="center"/>
    </w:pPr>
    <w:rPr>
      <w:rFonts w:hAnsi="Calibri" w:eastAsia="仿宋_GB2312"/>
      <w:b/>
      <w:bCs/>
      <w:kern w:val="2"/>
      <w:sz w:val="22"/>
      <w:szCs w:val="24"/>
    </w:rPr>
  </w:style>
  <w:style w:type="paragraph" w:customStyle="1" w:styleId="287">
    <w:name w:val="小标题（表内部的）"/>
    <w:basedOn w:val="1"/>
    <w:qFormat/>
    <w:uiPriority w:val="0"/>
    <w:pPr>
      <w:spacing w:line="360" w:lineRule="auto"/>
    </w:pPr>
    <w:rPr>
      <w:rFonts w:ascii="Calibri" w:hAnsi="Calibri" w:eastAsia="黑体"/>
      <w:b/>
      <w:bCs/>
      <w:sz w:val="24"/>
    </w:rPr>
  </w:style>
  <w:style w:type="paragraph" w:customStyle="1" w:styleId="288">
    <w:name w:val="p0"/>
    <w:basedOn w:val="1"/>
    <w:qFormat/>
    <w:uiPriority w:val="0"/>
    <w:pPr>
      <w:widowControl/>
    </w:pPr>
    <w:rPr>
      <w:rFonts w:ascii="Calibri" w:hAnsi="Calibri"/>
      <w:kern w:val="0"/>
      <w:szCs w:val="21"/>
    </w:rPr>
  </w:style>
  <w:style w:type="paragraph" w:customStyle="1" w:styleId="289">
    <w:name w:val="0环评标题2"/>
    <w:basedOn w:val="4"/>
    <w:qFormat/>
    <w:uiPriority w:val="0"/>
    <w:pPr>
      <w:spacing w:before="0" w:after="0" w:line="480" w:lineRule="exact"/>
      <w:ind w:firstLine="200" w:firstLineChars="200"/>
    </w:pPr>
    <w:rPr>
      <w:rFonts w:ascii="Cambria" w:hAnsi="Cambria" w:eastAsia="Times New Roman"/>
      <w:sz w:val="26"/>
    </w:rPr>
  </w:style>
  <w:style w:type="paragraph" w:customStyle="1" w:styleId="290">
    <w:name w:val="纯文本11"/>
    <w:basedOn w:val="1"/>
    <w:qFormat/>
    <w:uiPriority w:val="0"/>
    <w:rPr>
      <w:rFonts w:ascii="Calibri" w:hAnsi="Courier New"/>
      <w:sz w:val="28"/>
      <w:szCs w:val="20"/>
    </w:rPr>
  </w:style>
  <w:style w:type="paragraph" w:customStyle="1" w:styleId="291">
    <w:name w:val="报告书表格"/>
    <w:basedOn w:val="1"/>
    <w:qFormat/>
    <w:uiPriority w:val="0"/>
    <w:pPr>
      <w:adjustRightInd w:val="0"/>
      <w:spacing w:before="60" w:after="60" w:line="240" w:lineRule="atLeast"/>
      <w:jc w:val="center"/>
    </w:pPr>
    <w:rPr>
      <w:rFonts w:ascii="Calibri" w:hAnsi="Calibri"/>
      <w:kern w:val="0"/>
      <w:szCs w:val="20"/>
    </w:rPr>
  </w:style>
  <w:style w:type="paragraph" w:customStyle="1" w:styleId="292">
    <w:name w:val="标题2"/>
    <w:basedOn w:val="13"/>
    <w:next w:val="5"/>
    <w:qFormat/>
    <w:uiPriority w:val="0"/>
    <w:pPr>
      <w:spacing w:line="480" w:lineRule="exact"/>
      <w:ind w:firstLine="482"/>
    </w:pPr>
    <w:rPr>
      <w:rFonts w:ascii="仿宋_GB2312" w:hAnsi="宋体" w:eastAsia="仿宋_GB2312"/>
      <w:b/>
      <w:bCs/>
      <w:color w:val="FF0000"/>
      <w:sz w:val="24"/>
    </w:rPr>
  </w:style>
  <w:style w:type="paragraph" w:customStyle="1" w:styleId="293">
    <w:name w:val="样式7"/>
    <w:basedOn w:val="1"/>
    <w:qFormat/>
    <w:uiPriority w:val="0"/>
    <w:pPr>
      <w:spacing w:line="480" w:lineRule="exact"/>
      <w:ind w:firstLine="200" w:firstLineChars="200"/>
    </w:pPr>
    <w:rPr>
      <w:rFonts w:ascii="宋体" w:hAnsi="宋体"/>
      <w:sz w:val="26"/>
      <w:szCs w:val="26"/>
    </w:rPr>
  </w:style>
  <w:style w:type="paragraph" w:customStyle="1" w:styleId="294">
    <w:name w:val="列表段落11"/>
    <w:basedOn w:val="1"/>
    <w:qFormat/>
    <w:uiPriority w:val="0"/>
    <w:pPr>
      <w:ind w:firstLine="420" w:firstLineChars="200"/>
    </w:pPr>
    <w:rPr>
      <w:rFonts w:ascii="Calibri" w:hAnsi="Calibri"/>
    </w:rPr>
  </w:style>
  <w:style w:type="paragraph" w:customStyle="1" w:styleId="295">
    <w:name w:val="小标题"/>
    <w:basedOn w:val="1"/>
    <w:qFormat/>
    <w:uiPriority w:val="0"/>
    <w:pPr>
      <w:tabs>
        <w:tab w:val="left" w:pos="630"/>
      </w:tabs>
      <w:adjustRightInd w:val="0"/>
      <w:spacing w:line="360" w:lineRule="auto"/>
      <w:ind w:firstLine="562" w:firstLineChars="200"/>
      <w:textAlignment w:val="baseline"/>
    </w:pPr>
    <w:rPr>
      <w:rFonts w:ascii="Calibri" w:hAnsi="Calibri" w:eastAsia="楷体_GB2312"/>
      <w:b/>
      <w:bCs/>
      <w:color w:val="000000"/>
      <w:kern w:val="0"/>
      <w:sz w:val="28"/>
      <w:szCs w:val="28"/>
    </w:rPr>
  </w:style>
  <w:style w:type="paragraph" w:customStyle="1" w:styleId="296">
    <w:name w:val="xl31"/>
    <w:basedOn w:val="1"/>
    <w:qFormat/>
    <w:uiPriority w:val="0"/>
    <w:pPr>
      <w:widowControl/>
      <w:spacing w:before="100" w:beforeAutospacing="1" w:after="100" w:afterAutospacing="1"/>
      <w:jc w:val="center"/>
    </w:pPr>
    <w:rPr>
      <w:rFonts w:ascii="Calibri" w:hAnsi="Calibri"/>
      <w:kern w:val="0"/>
      <w:sz w:val="24"/>
    </w:rPr>
  </w:style>
  <w:style w:type="paragraph" w:customStyle="1" w:styleId="297">
    <w:name w:val="表格式"/>
    <w:basedOn w:val="33"/>
    <w:qFormat/>
    <w:uiPriority w:val="0"/>
    <w:pPr>
      <w:spacing w:before="156" w:beforeLines="50" w:after="156" w:afterLines="50" w:line="240" w:lineRule="exact"/>
      <w:ind w:left="0" w:firstLine="0"/>
      <w:jc w:val="center"/>
    </w:pPr>
    <w:rPr>
      <w:sz w:val="21"/>
    </w:rPr>
  </w:style>
  <w:style w:type="paragraph" w:customStyle="1" w:styleId="298">
    <w:name w:val="样式 表（或图）标题 样式 宋体 五号 居中 SL CON + 非加粗"/>
    <w:basedOn w:val="299"/>
    <w:qFormat/>
    <w:uiPriority w:val="0"/>
    <w:pPr>
      <w:tabs>
        <w:tab w:val="left" w:pos="377"/>
      </w:tabs>
      <w:spacing w:before="0" w:beforeAutospacing="0" w:line="240" w:lineRule="auto"/>
    </w:pPr>
    <w:rPr>
      <w:rFonts w:ascii="Times New Roman" w:hAnsi="Times New Roman"/>
    </w:rPr>
  </w:style>
  <w:style w:type="paragraph" w:customStyle="1" w:styleId="299">
    <w:name w:val="表（或图）标题 样式 宋体 五号 居中 SL CON"/>
    <w:basedOn w:val="1"/>
    <w:qFormat/>
    <w:uiPriority w:val="0"/>
    <w:pPr>
      <w:widowControl/>
      <w:tabs>
        <w:tab w:val="left" w:pos="377"/>
      </w:tabs>
      <w:spacing w:before="100" w:beforeAutospacing="1" w:line="360" w:lineRule="auto"/>
      <w:jc w:val="center"/>
    </w:pPr>
    <w:rPr>
      <w:rFonts w:ascii="宋体" w:hAnsi="宋体" w:cs="宋体"/>
      <w:b/>
      <w:kern w:val="0"/>
      <w:szCs w:val="20"/>
    </w:rPr>
  </w:style>
  <w:style w:type="paragraph" w:customStyle="1" w:styleId="300">
    <w:name w:val="样式2"/>
    <w:basedOn w:val="1"/>
    <w:qFormat/>
    <w:uiPriority w:val="0"/>
    <w:pPr>
      <w:adjustRightInd w:val="0"/>
      <w:ind w:left="170"/>
      <w:jc w:val="left"/>
      <w:textAlignment w:val="baseline"/>
    </w:pPr>
    <w:rPr>
      <w:rFonts w:ascii="Calibri" w:hAnsi="Calibri"/>
      <w:b/>
      <w:kern w:val="0"/>
      <w:sz w:val="24"/>
      <w:szCs w:val="20"/>
    </w:rPr>
  </w:style>
  <w:style w:type="paragraph" w:customStyle="1" w:styleId="301">
    <w:name w:val="样式 正文 首行缩进:  2 字符 + 首行缩进:  2 字符"/>
    <w:basedOn w:val="1"/>
    <w:qFormat/>
    <w:uiPriority w:val="0"/>
    <w:pPr>
      <w:spacing w:before="100"/>
      <w:ind w:firstLine="560" w:firstLineChars="200"/>
    </w:pPr>
    <w:rPr>
      <w:rFonts w:ascii="Calibri" w:hAnsi="Calibri"/>
      <w:sz w:val="28"/>
      <w:szCs w:val="20"/>
    </w:rPr>
  </w:style>
  <w:style w:type="paragraph" w:customStyle="1" w:styleId="302">
    <w:name w:val="Char2"/>
    <w:basedOn w:val="1"/>
    <w:qFormat/>
    <w:uiPriority w:val="0"/>
    <w:rPr>
      <w:rFonts w:ascii="Calibri" w:hAnsi="Calibri"/>
    </w:rPr>
  </w:style>
  <w:style w:type="paragraph" w:customStyle="1" w:styleId="303">
    <w:name w:val="正文1"/>
    <w:basedOn w:val="1"/>
    <w:next w:val="13"/>
    <w:qFormat/>
    <w:uiPriority w:val="0"/>
    <w:pPr>
      <w:jc w:val="center"/>
    </w:pPr>
    <w:rPr>
      <w:rFonts w:ascii="Calibri" w:hAnsi="Calibri"/>
    </w:rPr>
  </w:style>
  <w:style w:type="paragraph" w:customStyle="1" w:styleId="304">
    <w:name w:val="Body Text 22"/>
    <w:basedOn w:val="1"/>
    <w:qFormat/>
    <w:uiPriority w:val="0"/>
    <w:pPr>
      <w:adjustRightInd w:val="0"/>
      <w:spacing w:line="440" w:lineRule="atLeast"/>
      <w:ind w:firstLine="480"/>
      <w:textAlignment w:val="baseline"/>
    </w:pPr>
    <w:rPr>
      <w:rFonts w:eastAsia="仿宋_GB2312" w:cs="Dutch801 Rm BT"/>
      <w:sz w:val="24"/>
      <w:szCs w:val="20"/>
    </w:rPr>
  </w:style>
  <w:style w:type="paragraph" w:customStyle="1" w:styleId="305">
    <w:name w:val="应填表格"/>
    <w:basedOn w:val="1"/>
    <w:qFormat/>
    <w:uiPriority w:val="0"/>
    <w:pPr>
      <w:adjustRightInd w:val="0"/>
      <w:spacing w:before="40" w:after="40"/>
      <w:jc w:val="left"/>
      <w:textAlignment w:val="baseline"/>
    </w:pPr>
    <w:rPr>
      <w:rFonts w:ascii="Calibri" w:hAnsi="Calibri"/>
      <w:kern w:val="0"/>
      <w:sz w:val="24"/>
      <w:szCs w:val="20"/>
    </w:rPr>
  </w:style>
  <w:style w:type="paragraph" w:customStyle="1" w:styleId="306">
    <w:name w:val="样式 标题ljm + 首行缩进:  2 字符"/>
    <w:basedOn w:val="1"/>
    <w:link w:val="379"/>
    <w:qFormat/>
    <w:uiPriority w:val="0"/>
    <w:pPr>
      <w:spacing w:line="360" w:lineRule="auto"/>
      <w:ind w:firstLine="482" w:firstLineChars="200"/>
    </w:pPr>
    <w:rPr>
      <w:rFonts w:ascii="Calibri" w:hAnsi="Calibri"/>
      <w:b/>
      <w:bCs/>
      <w:kern w:val="0"/>
      <w:sz w:val="24"/>
      <w:szCs w:val="20"/>
    </w:rPr>
  </w:style>
  <w:style w:type="paragraph" w:customStyle="1" w:styleId="307">
    <w:name w:val="表格填充1"/>
    <w:basedOn w:val="1"/>
    <w:qFormat/>
    <w:uiPriority w:val="0"/>
    <w:pPr>
      <w:adjustRightInd w:val="0"/>
      <w:snapToGrid w:val="0"/>
      <w:spacing w:line="400" w:lineRule="exact"/>
      <w:jc w:val="center"/>
    </w:pPr>
    <w:rPr>
      <w:kern w:val="0"/>
      <w:szCs w:val="18"/>
    </w:rPr>
  </w:style>
  <w:style w:type="paragraph" w:customStyle="1" w:styleId="308">
    <w:name w:val="CJ 文本111"/>
    <w:basedOn w:val="1"/>
    <w:qFormat/>
    <w:uiPriority w:val="0"/>
    <w:pPr>
      <w:spacing w:line="360" w:lineRule="auto"/>
      <w:ind w:firstLine="200" w:firstLineChars="200"/>
      <w:jc w:val="left"/>
    </w:pPr>
    <w:rPr>
      <w:rFonts w:ascii="Calibri" w:hAnsi="Calibri"/>
      <w:kern w:val="0"/>
      <w:sz w:val="24"/>
    </w:rPr>
  </w:style>
  <w:style w:type="paragraph" w:customStyle="1" w:styleId="309">
    <w:name w:val="Char Char Char1 Char Char Char Char"/>
    <w:basedOn w:val="1"/>
    <w:qFormat/>
    <w:uiPriority w:val="0"/>
    <w:pPr>
      <w:adjustRightInd w:val="0"/>
      <w:snapToGrid w:val="0"/>
      <w:spacing w:line="360" w:lineRule="auto"/>
      <w:ind w:firstLine="200" w:firstLineChars="200"/>
    </w:pPr>
  </w:style>
  <w:style w:type="paragraph" w:customStyle="1" w:styleId="310">
    <w:name w:val="默认段落字体 Para Char Char Char Char"/>
    <w:basedOn w:val="1"/>
    <w:qFormat/>
    <w:uiPriority w:val="0"/>
    <w:rPr>
      <w:rFonts w:ascii="Calibri" w:hAnsi="Calibri"/>
      <w:sz w:val="24"/>
    </w:rPr>
  </w:style>
  <w:style w:type="paragraph" w:customStyle="1" w:styleId="311">
    <w:name w:val="表biao"/>
    <w:basedOn w:val="1"/>
    <w:qFormat/>
    <w:uiPriority w:val="0"/>
    <w:pPr>
      <w:jc w:val="center"/>
    </w:pPr>
    <w:rPr>
      <w:rFonts w:ascii="宋体" w:hAnsi="宋体"/>
      <w:sz w:val="24"/>
    </w:rPr>
  </w:style>
  <w:style w:type="paragraph" w:customStyle="1" w:styleId="312">
    <w:name w:val="Char Char Char Char Char Char Char Char Char Char Char Char Char Char Char Char Char Char Char Char Char Char Char Char Char Char Char Char Char Char Char Char Char"/>
    <w:basedOn w:val="1"/>
    <w:qFormat/>
    <w:uiPriority w:val="0"/>
    <w:pPr>
      <w:widowControl/>
      <w:spacing w:after="160" w:line="240" w:lineRule="exact"/>
      <w:jc w:val="left"/>
    </w:pPr>
    <w:rPr>
      <w:szCs w:val="20"/>
    </w:rPr>
  </w:style>
  <w:style w:type="paragraph" w:customStyle="1" w:styleId="313">
    <w:name w:val="表"/>
    <w:basedOn w:val="19"/>
    <w:qFormat/>
    <w:uiPriority w:val="0"/>
    <w:pPr>
      <w:widowControl w:val="0"/>
      <w:tabs>
        <w:tab w:val="left" w:pos="1736"/>
        <w:tab w:val="left" w:pos="2476"/>
        <w:tab w:val="left" w:pos="5505"/>
        <w:tab w:val="left" w:pos="9692"/>
      </w:tabs>
      <w:snapToGrid/>
      <w:spacing w:before="0" w:after="0" w:line="400" w:lineRule="exact"/>
      <w:ind w:right="0"/>
      <w:jc w:val="center"/>
    </w:pPr>
    <w:rPr>
      <w:rFonts w:ascii="仿宋_GB2312" w:hAnsi="Calibri" w:eastAsia="仿宋_GB2312"/>
      <w:b/>
      <w:bCs/>
      <w:color w:val="000000"/>
      <w:kern w:val="28"/>
      <w:sz w:val="28"/>
      <w:szCs w:val="24"/>
    </w:rPr>
  </w:style>
  <w:style w:type="paragraph" w:customStyle="1" w:styleId="314">
    <w:name w:val="图名-中煤"/>
    <w:basedOn w:val="19"/>
    <w:qFormat/>
    <w:uiPriority w:val="0"/>
    <w:pPr>
      <w:widowControl w:val="0"/>
      <w:autoSpaceDE w:val="0"/>
      <w:autoSpaceDN w:val="0"/>
      <w:adjustRightInd w:val="0"/>
      <w:spacing w:before="0" w:after="0" w:line="240" w:lineRule="auto"/>
      <w:ind w:right="0"/>
      <w:jc w:val="center"/>
    </w:pPr>
    <w:rPr>
      <w:rFonts w:eastAsia="Times New Roman"/>
      <w:sz w:val="26"/>
      <w:szCs w:val="24"/>
      <w:lang w:val="zh-CN"/>
    </w:rPr>
  </w:style>
  <w:style w:type="paragraph" w:customStyle="1" w:styleId="315">
    <w:name w:val="样式 (中文) 华文中宋 (符号) 华文中宋 行距: 1.5 倍行距 首行缩进:  2 字符"/>
    <w:basedOn w:val="1"/>
    <w:qFormat/>
    <w:uiPriority w:val="0"/>
    <w:pPr>
      <w:adjustRightInd w:val="0"/>
      <w:snapToGrid w:val="0"/>
      <w:spacing w:before="78" w:beforeLines="25" w:after="78" w:afterLines="25" w:line="360" w:lineRule="auto"/>
      <w:ind w:firstLine="200" w:firstLineChars="200"/>
    </w:pPr>
    <w:rPr>
      <w:rFonts w:ascii="Arial" w:hAnsi="Arial" w:eastAsia="仿宋_GB2312" w:cs="宋体"/>
      <w:sz w:val="28"/>
      <w:szCs w:val="28"/>
    </w:rPr>
  </w:style>
  <w:style w:type="paragraph" w:customStyle="1" w:styleId="316">
    <w:name w:val="正文3"/>
    <w:qFormat/>
    <w:uiPriority w:val="0"/>
    <w:pPr>
      <w:jc w:val="both"/>
    </w:pPr>
    <w:rPr>
      <w:rFonts w:ascii="Times New Roman" w:hAnsi="Times New Roman" w:eastAsia="宋体" w:cs="Times New Roman"/>
      <w:kern w:val="2"/>
      <w:sz w:val="21"/>
      <w:szCs w:val="21"/>
      <w:lang w:val="en-US" w:eastAsia="zh-CN" w:bidi="ar-SA"/>
    </w:rPr>
  </w:style>
  <w:style w:type="paragraph" w:customStyle="1" w:styleId="317">
    <w:name w:val="表芯"/>
    <w:basedOn w:val="1"/>
    <w:next w:val="1"/>
    <w:qFormat/>
    <w:uiPriority w:val="0"/>
    <w:pPr>
      <w:keepNext/>
      <w:adjustRightInd w:val="0"/>
      <w:spacing w:before="20" w:line="0" w:lineRule="atLeast"/>
      <w:jc w:val="center"/>
      <w:textAlignment w:val="baseline"/>
    </w:pPr>
    <w:rPr>
      <w:rFonts w:ascii="Calibri" w:hAnsi="Calibri"/>
      <w:kern w:val="21"/>
      <w:szCs w:val="20"/>
    </w:rPr>
  </w:style>
  <w:style w:type="paragraph" w:customStyle="1" w:styleId="318">
    <w:name w:val="首行缩进"/>
    <w:basedOn w:val="1"/>
    <w:qFormat/>
    <w:uiPriority w:val="0"/>
    <w:pPr>
      <w:tabs>
        <w:tab w:val="left" w:pos="-238"/>
      </w:tabs>
      <w:spacing w:line="340" w:lineRule="exact"/>
      <w:jc w:val="center"/>
    </w:pPr>
    <w:rPr>
      <w:color w:val="FF0000"/>
      <w:szCs w:val="21"/>
    </w:rPr>
  </w:style>
  <w:style w:type="paragraph" w:customStyle="1" w:styleId="319">
    <w:name w:val="album-div"/>
    <w:basedOn w:val="1"/>
    <w:qFormat/>
    <w:uiPriority w:val="0"/>
    <w:pPr>
      <w:widowControl/>
      <w:spacing w:before="100" w:beforeAutospacing="1" w:after="100" w:afterAutospacing="1"/>
      <w:jc w:val="left"/>
    </w:pPr>
    <w:rPr>
      <w:rFonts w:ascii="宋体" w:hAnsi="宋体" w:cs="宋体"/>
      <w:kern w:val="0"/>
      <w:sz w:val="24"/>
    </w:rPr>
  </w:style>
  <w:style w:type="paragraph" w:customStyle="1" w:styleId="320">
    <w:name w:val="文章正文 Char"/>
    <w:basedOn w:val="1"/>
    <w:qFormat/>
    <w:uiPriority w:val="0"/>
    <w:pPr>
      <w:spacing w:line="600" w:lineRule="exact"/>
      <w:ind w:firstLine="200" w:firstLineChars="200"/>
    </w:pPr>
    <w:rPr>
      <w:rFonts w:eastAsia="仿宋_GB2312"/>
      <w:sz w:val="32"/>
      <w:szCs w:val="32"/>
    </w:rPr>
  </w:style>
  <w:style w:type="paragraph" w:customStyle="1" w:styleId="321">
    <w:name w:val="报告表 表中文字"/>
    <w:basedOn w:val="1"/>
    <w:qFormat/>
    <w:uiPriority w:val="0"/>
    <w:pPr>
      <w:adjustRightInd w:val="0"/>
      <w:snapToGrid w:val="0"/>
      <w:jc w:val="center"/>
    </w:pPr>
    <w:rPr>
      <w:rFonts w:eastAsia="Times New Roman"/>
    </w:rPr>
  </w:style>
  <w:style w:type="paragraph" w:customStyle="1" w:styleId="322">
    <w:name w:val="02图"/>
    <w:basedOn w:val="14"/>
    <w:qFormat/>
    <w:uiPriority w:val="0"/>
    <w:pPr>
      <w:widowControl/>
      <w:jc w:val="center"/>
    </w:pPr>
    <w:rPr>
      <w:rFonts w:eastAsia="宋体"/>
      <w:b/>
      <w:sz w:val="22"/>
      <w:szCs w:val="22"/>
    </w:rPr>
  </w:style>
  <w:style w:type="paragraph" w:customStyle="1" w:styleId="323">
    <w:name w:val="表内文字 样式 五号 居中 行距: 单倍行距 SL CON"/>
    <w:basedOn w:val="1"/>
    <w:qFormat/>
    <w:uiPriority w:val="0"/>
    <w:pPr>
      <w:widowControl/>
      <w:tabs>
        <w:tab w:val="left" w:pos="377"/>
      </w:tabs>
      <w:spacing w:line="0" w:lineRule="atLeast"/>
      <w:jc w:val="center"/>
    </w:pPr>
    <w:rPr>
      <w:rFonts w:ascii="宋体" w:hAnsi="Calibri"/>
      <w:kern w:val="0"/>
      <w:szCs w:val="21"/>
    </w:rPr>
  </w:style>
  <w:style w:type="paragraph" w:customStyle="1" w:styleId="324">
    <w:name w:val="报告表格"/>
    <w:basedOn w:val="1"/>
    <w:qFormat/>
    <w:uiPriority w:val="0"/>
    <w:pPr>
      <w:autoSpaceDE w:val="0"/>
      <w:autoSpaceDN w:val="0"/>
      <w:adjustRightInd w:val="0"/>
      <w:spacing w:before="40" w:after="40"/>
      <w:jc w:val="center"/>
      <w:textAlignment w:val="bottom"/>
    </w:pPr>
    <w:rPr>
      <w:rFonts w:ascii="Calibri" w:hAnsi="Calibri"/>
      <w:kern w:val="0"/>
      <w:szCs w:val="20"/>
    </w:rPr>
  </w:style>
  <w:style w:type="paragraph" w:customStyle="1" w:styleId="325">
    <w:name w:val="表格-HF"/>
    <w:basedOn w:val="1"/>
    <w:qFormat/>
    <w:uiPriority w:val="2"/>
    <w:pPr>
      <w:jc w:val="center"/>
    </w:pPr>
    <w:rPr>
      <w:rFonts w:cs="宋体"/>
      <w:szCs w:val="21"/>
    </w:rPr>
  </w:style>
  <w:style w:type="paragraph" w:customStyle="1" w:styleId="326">
    <w:name w:val="我的正文"/>
    <w:qFormat/>
    <w:uiPriority w:val="0"/>
    <w:pPr>
      <w:adjustRightInd w:val="0"/>
      <w:snapToGrid w:val="0"/>
      <w:spacing w:line="360" w:lineRule="auto"/>
      <w:ind w:firstLine="200" w:firstLineChars="200"/>
    </w:pPr>
    <w:rPr>
      <w:rFonts w:ascii="Calibri" w:hAnsi="Calibri" w:eastAsia="宋体" w:cs="宋体"/>
      <w:color w:val="000000"/>
      <w:kern w:val="2"/>
      <w:sz w:val="24"/>
      <w:szCs w:val="22"/>
      <w:lang w:val="en-US" w:eastAsia="zh-CN" w:bidi="ar-SA"/>
    </w:rPr>
  </w:style>
  <w:style w:type="paragraph" w:customStyle="1" w:styleId="327">
    <w:name w:val="正文四号"/>
    <w:basedOn w:val="1"/>
    <w:qFormat/>
    <w:uiPriority w:val="0"/>
    <w:pPr>
      <w:spacing w:line="360" w:lineRule="auto"/>
      <w:ind w:firstLine="200" w:firstLineChars="200"/>
    </w:pPr>
    <w:rPr>
      <w:rFonts w:ascii="Calibri" w:hAnsi="Calibri" w:cs="宋体"/>
      <w:sz w:val="24"/>
      <w:szCs w:val="28"/>
    </w:rPr>
  </w:style>
  <w:style w:type="paragraph" w:customStyle="1" w:styleId="328">
    <w:name w:val="reader-word-layer reader-word-s3-7"/>
    <w:basedOn w:val="1"/>
    <w:qFormat/>
    <w:uiPriority w:val="0"/>
    <w:pPr>
      <w:widowControl/>
      <w:spacing w:before="100" w:beforeAutospacing="1" w:after="100" w:afterAutospacing="1"/>
      <w:jc w:val="left"/>
    </w:pPr>
    <w:rPr>
      <w:rFonts w:ascii="宋体" w:hAnsi="宋体" w:cs="宋体"/>
      <w:kern w:val="0"/>
      <w:sz w:val="24"/>
    </w:rPr>
  </w:style>
  <w:style w:type="paragraph" w:customStyle="1" w:styleId="329">
    <w:name w:val="xl25"/>
    <w:basedOn w:val="1"/>
    <w:qFormat/>
    <w:uiPriority w:val="0"/>
    <w:pPr>
      <w:widowControl/>
      <w:spacing w:before="100" w:beforeAutospacing="1" w:after="100" w:afterAutospacing="1"/>
      <w:jc w:val="center"/>
    </w:pPr>
    <w:rPr>
      <w:rFonts w:ascii="宋体" w:hAnsi="宋体"/>
      <w:kern w:val="0"/>
      <w:sz w:val="24"/>
    </w:rPr>
  </w:style>
  <w:style w:type="paragraph" w:customStyle="1" w:styleId="330">
    <w:name w:val="样式 标题 2节名节H22nd levelh2Header 2标题 1.1编号标题2head:2#2 hea..."/>
    <w:basedOn w:val="4"/>
    <w:next w:val="1"/>
    <w:qFormat/>
    <w:uiPriority w:val="0"/>
    <w:pPr>
      <w:keepNext w:val="0"/>
      <w:keepLines w:val="0"/>
      <w:tabs>
        <w:tab w:val="left" w:pos="460"/>
        <w:tab w:val="left" w:pos="576"/>
      </w:tabs>
      <w:adjustRightInd w:val="0"/>
      <w:snapToGrid w:val="0"/>
      <w:spacing w:before="156" w:beforeLines="50" w:after="156" w:afterLines="50" w:line="480" w:lineRule="exact"/>
      <w:jc w:val="left"/>
    </w:pPr>
    <w:rPr>
      <w:rFonts w:ascii="Times New Roman" w:hAnsi="Times New Roman"/>
      <w:kern w:val="0"/>
      <w:sz w:val="28"/>
      <w:szCs w:val="28"/>
    </w:rPr>
  </w:style>
  <w:style w:type="paragraph" w:customStyle="1" w:styleId="331">
    <w:name w:val="lulu表格"/>
    <w:basedOn w:val="1"/>
    <w:qFormat/>
    <w:uiPriority w:val="0"/>
    <w:pPr>
      <w:widowControl/>
      <w:jc w:val="center"/>
    </w:pPr>
    <w:rPr>
      <w:rFonts w:cs="宋体"/>
      <w:kern w:val="0"/>
      <w:sz w:val="22"/>
      <w:szCs w:val="22"/>
    </w:rPr>
  </w:style>
  <w:style w:type="paragraph" w:customStyle="1" w:styleId="332">
    <w:name w:val="Char Char Char Char Char Char Char"/>
    <w:basedOn w:val="1"/>
    <w:qFormat/>
    <w:uiPriority w:val="0"/>
    <w:pPr>
      <w:spacing w:after="160" w:line="240" w:lineRule="exact"/>
    </w:pPr>
    <w:rPr>
      <w:szCs w:val="20"/>
    </w:rPr>
  </w:style>
  <w:style w:type="paragraph" w:styleId="333">
    <w:name w:val="List Paragraph"/>
    <w:basedOn w:val="1"/>
    <w:qFormat/>
    <w:uiPriority w:val="99"/>
    <w:pPr>
      <w:ind w:firstLine="420" w:firstLineChars="200"/>
    </w:pPr>
  </w:style>
  <w:style w:type="paragraph" w:customStyle="1" w:styleId="334">
    <w:name w:val="样式 居中"/>
    <w:basedOn w:val="1"/>
    <w:qFormat/>
    <w:uiPriority w:val="0"/>
    <w:pPr>
      <w:widowControl/>
      <w:adjustRightInd w:val="0"/>
      <w:snapToGrid w:val="0"/>
      <w:jc w:val="center"/>
    </w:pPr>
    <w:rPr>
      <w:rFonts w:ascii="Arial" w:hAnsi="Arial" w:cs="宋体"/>
      <w:kern w:val="0"/>
      <w:sz w:val="24"/>
      <w:szCs w:val="20"/>
    </w:rPr>
  </w:style>
  <w:style w:type="paragraph" w:customStyle="1" w:styleId="335">
    <w:name w:val="表格文字居中"/>
    <w:next w:val="1"/>
    <w:qFormat/>
    <w:uiPriority w:val="0"/>
    <w:pPr>
      <w:adjustRightInd w:val="0"/>
      <w:snapToGrid w:val="0"/>
      <w:spacing w:before="24" w:beforeLines="10" w:after="24" w:afterLines="10"/>
    </w:pPr>
    <w:rPr>
      <w:rFonts w:ascii="Arial" w:hAnsi="Arial" w:eastAsia="宋体" w:cs="Times New Roman"/>
      <w:kern w:val="2"/>
      <w:sz w:val="21"/>
      <w:szCs w:val="24"/>
      <w:lang w:val="en-US" w:eastAsia="zh-CN" w:bidi="ar-SA"/>
    </w:rPr>
  </w:style>
  <w:style w:type="paragraph" w:customStyle="1" w:styleId="336">
    <w:name w:val="0环评 表中文字"/>
    <w:basedOn w:val="1"/>
    <w:qFormat/>
    <w:uiPriority w:val="0"/>
    <w:pPr>
      <w:adjustRightInd w:val="0"/>
      <w:snapToGrid w:val="0"/>
      <w:jc w:val="center"/>
    </w:pPr>
  </w:style>
  <w:style w:type="character" w:customStyle="1" w:styleId="337">
    <w:name w:val="样式25 Char"/>
    <w:link w:val="338"/>
    <w:qFormat/>
    <w:uiPriority w:val="0"/>
    <w:rPr>
      <w:color w:val="000000"/>
      <w:kern w:val="2"/>
      <w:sz w:val="26"/>
    </w:rPr>
  </w:style>
  <w:style w:type="paragraph" w:customStyle="1" w:styleId="338">
    <w:name w:val="样式25"/>
    <w:basedOn w:val="1"/>
    <w:link w:val="337"/>
    <w:qFormat/>
    <w:uiPriority w:val="0"/>
    <w:pPr>
      <w:spacing w:line="460" w:lineRule="exact"/>
      <w:ind w:firstLine="520" w:firstLineChars="200"/>
    </w:pPr>
    <w:rPr>
      <w:color w:val="000000"/>
      <w:sz w:val="26"/>
      <w:szCs w:val="20"/>
    </w:rPr>
  </w:style>
  <w:style w:type="character" w:customStyle="1" w:styleId="339">
    <w:name w:val="纯文本 字符1"/>
    <w:semiHidden/>
    <w:qFormat/>
    <w:uiPriority w:val="0"/>
    <w:rPr>
      <w:sz w:val="28"/>
    </w:rPr>
  </w:style>
  <w:style w:type="character" w:customStyle="1" w:styleId="340">
    <w:name w:val="01 大庆环评 正文 字符"/>
    <w:link w:val="341"/>
    <w:qFormat/>
    <w:uiPriority w:val="0"/>
    <w:rPr>
      <w:kern w:val="2"/>
      <w:sz w:val="21"/>
      <w:szCs w:val="28"/>
    </w:rPr>
  </w:style>
  <w:style w:type="paragraph" w:customStyle="1" w:styleId="341">
    <w:name w:val="01 大庆环评 正文"/>
    <w:basedOn w:val="256"/>
    <w:link w:val="340"/>
    <w:qFormat/>
    <w:uiPriority w:val="0"/>
    <w:rPr>
      <w:sz w:val="21"/>
      <w:szCs w:val="28"/>
    </w:rPr>
  </w:style>
  <w:style w:type="paragraph" w:customStyle="1" w:styleId="342">
    <w:name w:val="01大庆环评 表格文字"/>
    <w:basedOn w:val="1"/>
    <w:qFormat/>
    <w:uiPriority w:val="0"/>
    <w:pPr>
      <w:jc w:val="center"/>
    </w:pPr>
    <w:rPr>
      <w:kern w:val="0"/>
    </w:rPr>
  </w:style>
  <w:style w:type="paragraph" w:customStyle="1" w:styleId="343">
    <w:name w:val="02 大庆环评 表格标题"/>
    <w:basedOn w:val="1"/>
    <w:qFormat/>
    <w:uiPriority w:val="0"/>
    <w:pPr>
      <w:widowControl/>
      <w:spacing w:line="360" w:lineRule="auto"/>
      <w:jc w:val="center"/>
    </w:pPr>
    <w:rPr>
      <w:rFonts w:cs="宋体"/>
      <w:b/>
      <w:kern w:val="0"/>
      <w:szCs w:val="22"/>
    </w:rPr>
  </w:style>
  <w:style w:type="character" w:customStyle="1" w:styleId="344">
    <w:name w:val="05 大庆环评 正文 字符"/>
    <w:link w:val="345"/>
    <w:qFormat/>
    <w:uiPriority w:val="0"/>
    <w:rPr>
      <w:rFonts w:eastAsia="宋体"/>
      <w:kern w:val="2"/>
      <w:sz w:val="24"/>
      <w:szCs w:val="26"/>
    </w:rPr>
  </w:style>
  <w:style w:type="paragraph" w:customStyle="1" w:styleId="345">
    <w:name w:val="05 环评 正文"/>
    <w:basedOn w:val="1"/>
    <w:link w:val="344"/>
    <w:qFormat/>
    <w:uiPriority w:val="0"/>
    <w:pPr>
      <w:adjustRightInd w:val="0"/>
      <w:snapToGrid w:val="0"/>
      <w:spacing w:line="360" w:lineRule="auto"/>
      <w:ind w:firstLine="200" w:firstLineChars="200"/>
    </w:pPr>
    <w:rPr>
      <w:sz w:val="24"/>
      <w:szCs w:val="26"/>
    </w:rPr>
  </w:style>
  <w:style w:type="paragraph" w:customStyle="1" w:styleId="346">
    <w:name w:val="07 大庆环评 表格标题"/>
    <w:basedOn w:val="345"/>
    <w:qFormat/>
    <w:uiPriority w:val="0"/>
    <w:pPr>
      <w:ind w:firstLine="0" w:firstLineChars="0"/>
      <w:jc w:val="center"/>
    </w:pPr>
    <w:rPr>
      <w:b/>
      <w:bCs/>
      <w:sz w:val="21"/>
      <w:szCs w:val="28"/>
    </w:rPr>
  </w:style>
  <w:style w:type="character" w:customStyle="1" w:styleId="347">
    <w:name w:val="未处理的提及1"/>
    <w:unhideWhenUsed/>
    <w:qFormat/>
    <w:uiPriority w:val="99"/>
    <w:rPr>
      <w:color w:val="605E5C"/>
      <w:shd w:val="clear" w:color="auto" w:fill="E1DFDD"/>
    </w:rPr>
  </w:style>
  <w:style w:type="paragraph" w:customStyle="1" w:styleId="348">
    <w:name w:val="06 环评 表格问题"/>
    <w:basedOn w:val="345"/>
    <w:qFormat/>
    <w:uiPriority w:val="0"/>
    <w:pPr>
      <w:spacing w:line="240" w:lineRule="auto"/>
      <w:ind w:firstLine="0" w:firstLineChars="0"/>
      <w:jc w:val="center"/>
    </w:pPr>
    <w:rPr>
      <w:sz w:val="21"/>
      <w:szCs w:val="22"/>
    </w:rPr>
  </w:style>
  <w:style w:type="paragraph" w:customStyle="1" w:styleId="349">
    <w:name w:val="ns正文"/>
    <w:basedOn w:val="1"/>
    <w:qFormat/>
    <w:uiPriority w:val="0"/>
    <w:pPr>
      <w:spacing w:line="360" w:lineRule="auto"/>
      <w:ind w:firstLine="200" w:firstLineChars="200"/>
    </w:pPr>
    <w:rPr>
      <w:sz w:val="24"/>
      <w:szCs w:val="22"/>
    </w:rPr>
  </w:style>
  <w:style w:type="table" w:customStyle="1" w:styleId="350">
    <w:name w:val="Table Normal"/>
    <w:unhideWhenUsed/>
    <w:qFormat/>
    <w:uiPriority w:val="2"/>
    <w:pPr>
      <w:widowControl w:val="0"/>
      <w:autoSpaceDE w:val="0"/>
      <w:autoSpaceDN w:val="0"/>
    </w:pPr>
    <w:rPr>
      <w:rFonts w:ascii="等线" w:hAnsi="等线" w:eastAsia="等线"/>
      <w:sz w:val="22"/>
      <w:szCs w:val="22"/>
      <w:lang w:eastAsia="en-US"/>
    </w:rPr>
    <w:tblPr>
      <w:tblCellMar>
        <w:top w:w="0" w:type="dxa"/>
        <w:left w:w="0" w:type="dxa"/>
        <w:bottom w:w="0" w:type="dxa"/>
        <w:right w:w="0" w:type="dxa"/>
      </w:tblCellMar>
    </w:tblPr>
  </w:style>
  <w:style w:type="character" w:customStyle="1" w:styleId="351">
    <w:name w:val="07大庆环评 报告文本 字符"/>
    <w:link w:val="352"/>
    <w:qFormat/>
    <w:uiPriority w:val="0"/>
    <w:rPr>
      <w:kern w:val="2"/>
      <w:sz w:val="21"/>
      <w:szCs w:val="28"/>
    </w:rPr>
  </w:style>
  <w:style w:type="paragraph" w:customStyle="1" w:styleId="352">
    <w:name w:val="07大庆环评 报告文本"/>
    <w:basedOn w:val="1"/>
    <w:link w:val="351"/>
    <w:qFormat/>
    <w:uiPriority w:val="0"/>
    <w:pPr>
      <w:spacing w:line="360" w:lineRule="auto"/>
      <w:ind w:firstLine="200" w:firstLineChars="200"/>
    </w:pPr>
    <w:rPr>
      <w:szCs w:val="28"/>
    </w:rPr>
  </w:style>
  <w:style w:type="character" w:customStyle="1" w:styleId="353">
    <w:name w:val="Char1 Char Char Char Char Char1"/>
    <w:qFormat/>
    <w:uiPriority w:val="0"/>
    <w:rPr>
      <w:rFonts w:eastAsia="宋体"/>
      <w:kern w:val="2"/>
      <w:sz w:val="21"/>
      <w:szCs w:val="24"/>
      <w:lang w:val="en-US" w:eastAsia="zh-CN" w:bidi="ar-SA"/>
    </w:rPr>
  </w:style>
  <w:style w:type="character" w:customStyle="1" w:styleId="354">
    <w:name w:val="Char Char71"/>
    <w:qFormat/>
    <w:uiPriority w:val="0"/>
    <w:rPr>
      <w:rFonts w:ascii="宋体" w:hAnsi="宋体" w:eastAsia="黑体"/>
      <w:bCs/>
      <w:color w:val="FF0000"/>
      <w:kern w:val="2"/>
      <w:sz w:val="28"/>
      <w:szCs w:val="28"/>
    </w:rPr>
  </w:style>
  <w:style w:type="character" w:customStyle="1" w:styleId="355">
    <w:name w:val="Char1 Char Char1"/>
    <w:qFormat/>
    <w:uiPriority w:val="0"/>
    <w:rPr>
      <w:rFonts w:eastAsia="宋体"/>
      <w:kern w:val="2"/>
      <w:sz w:val="21"/>
      <w:szCs w:val="24"/>
      <w:lang w:val="en-US" w:eastAsia="zh-CN" w:bidi="ar-SA"/>
    </w:rPr>
  </w:style>
  <w:style w:type="character" w:customStyle="1" w:styleId="356">
    <w:name w:val="Char Char1"/>
    <w:qFormat/>
    <w:uiPriority w:val="0"/>
    <w:rPr>
      <w:rFonts w:eastAsia="宋体"/>
      <w:b/>
      <w:bCs/>
      <w:kern w:val="44"/>
      <w:sz w:val="24"/>
      <w:szCs w:val="44"/>
      <w:lang w:val="en-US" w:eastAsia="zh-CN" w:bidi="ar-SA"/>
    </w:rPr>
  </w:style>
  <w:style w:type="character" w:customStyle="1" w:styleId="357">
    <w:name w:val="Char1 Char"/>
    <w:link w:val="358"/>
    <w:qFormat/>
    <w:uiPriority w:val="0"/>
    <w:rPr>
      <w:kern w:val="2"/>
      <w:sz w:val="21"/>
      <w:szCs w:val="24"/>
    </w:rPr>
  </w:style>
  <w:style w:type="paragraph" w:customStyle="1" w:styleId="358">
    <w:name w:val="Char11"/>
    <w:basedOn w:val="1"/>
    <w:link w:val="357"/>
    <w:qFormat/>
    <w:uiPriority w:val="0"/>
  </w:style>
  <w:style w:type="paragraph" w:customStyle="1" w:styleId="359">
    <w:name w:val="Char Char Char Char1"/>
    <w:basedOn w:val="1"/>
    <w:qFormat/>
    <w:uiPriority w:val="0"/>
    <w:rPr>
      <w:rFonts w:ascii="Calibri" w:hAnsi="Calibri"/>
    </w:rPr>
  </w:style>
  <w:style w:type="paragraph" w:customStyle="1" w:styleId="360">
    <w:name w:val="Char1 Char Char Char1"/>
    <w:basedOn w:val="1"/>
    <w:qFormat/>
    <w:uiPriority w:val="0"/>
    <w:rPr>
      <w:rFonts w:ascii="Calibri" w:hAnsi="Calibri"/>
    </w:rPr>
  </w:style>
  <w:style w:type="paragraph" w:customStyle="1" w:styleId="361">
    <w:name w:val="Char3"/>
    <w:basedOn w:val="1"/>
    <w:qFormat/>
    <w:uiPriority w:val="0"/>
    <w:rPr>
      <w:rFonts w:ascii="Calibri" w:hAnsi="Calibri"/>
    </w:rPr>
  </w:style>
  <w:style w:type="paragraph" w:customStyle="1" w:styleId="362">
    <w:name w:val="Char Char Char Char Char Char"/>
    <w:basedOn w:val="1"/>
    <w:next w:val="2"/>
    <w:qFormat/>
    <w:uiPriority w:val="0"/>
    <w:rPr>
      <w:rFonts w:ascii="Calibri" w:hAnsi="Calibri"/>
      <w:sz w:val="28"/>
      <w:szCs w:val="28"/>
    </w:rPr>
  </w:style>
  <w:style w:type="paragraph" w:customStyle="1" w:styleId="363">
    <w:name w:val="07 大庆环评 表格文字"/>
    <w:basedOn w:val="1"/>
    <w:qFormat/>
    <w:uiPriority w:val="0"/>
    <w:pPr>
      <w:jc w:val="center"/>
    </w:pPr>
    <w:rPr>
      <w:szCs w:val="22"/>
    </w:rPr>
  </w:style>
  <w:style w:type="paragraph" w:customStyle="1" w:styleId="364">
    <w:name w:val="正文缩进3"/>
    <w:basedOn w:val="1"/>
    <w:qFormat/>
    <w:uiPriority w:val="0"/>
    <w:pPr>
      <w:ind w:firstLine="420" w:firstLineChars="200"/>
    </w:pPr>
    <w:rPr>
      <w:rFonts w:ascii="Calibri" w:hAnsi="Calibri"/>
    </w:rPr>
  </w:style>
  <w:style w:type="paragraph" w:customStyle="1" w:styleId="365">
    <w:name w:val="Char4 Char Char Char Char Char Char11"/>
    <w:basedOn w:val="1"/>
    <w:qFormat/>
    <w:uiPriority w:val="0"/>
    <w:pPr>
      <w:spacing w:line="360" w:lineRule="auto"/>
      <w:ind w:firstLine="200" w:firstLineChars="200"/>
    </w:pPr>
    <w:rPr>
      <w:rFonts w:ascii="宋体" w:hAnsi="宋体" w:cs="宋体"/>
      <w:sz w:val="24"/>
    </w:rPr>
  </w:style>
  <w:style w:type="paragraph" w:customStyle="1" w:styleId="366">
    <w:name w:val="列表段落2"/>
    <w:basedOn w:val="1"/>
    <w:qFormat/>
    <w:uiPriority w:val="0"/>
    <w:pPr>
      <w:ind w:firstLine="420" w:firstLineChars="200"/>
    </w:pPr>
    <w:rPr>
      <w:rFonts w:ascii="Calibri" w:hAnsi="Calibri"/>
    </w:rPr>
  </w:style>
  <w:style w:type="paragraph" w:customStyle="1" w:styleId="367">
    <w:name w:val="Char Char Char Char Char Char Char Char Char Char Char Char Char1"/>
    <w:basedOn w:val="1"/>
    <w:qFormat/>
    <w:uiPriority w:val="0"/>
    <w:rPr>
      <w:rFonts w:ascii="Calibri" w:hAnsi="Calibri"/>
    </w:rPr>
  </w:style>
  <w:style w:type="paragraph" w:customStyle="1" w:styleId="368">
    <w:name w:val="纯文本3"/>
    <w:basedOn w:val="1"/>
    <w:qFormat/>
    <w:uiPriority w:val="0"/>
    <w:rPr>
      <w:rFonts w:ascii="宋体" w:hAnsi="Courier New"/>
    </w:rPr>
  </w:style>
  <w:style w:type="paragraph" w:customStyle="1" w:styleId="369">
    <w:name w:val="Char Char1 Char Char Char Char Char Char Char Char Char1"/>
    <w:basedOn w:val="1"/>
    <w:qFormat/>
    <w:uiPriority w:val="0"/>
    <w:rPr>
      <w:rFonts w:ascii="Calibri" w:hAnsi="Calibri"/>
    </w:rPr>
  </w:style>
  <w:style w:type="paragraph" w:customStyle="1" w:styleId="370">
    <w:name w:val="08 大庆环评 表格标题2"/>
    <w:basedOn w:val="4"/>
    <w:qFormat/>
    <w:uiPriority w:val="0"/>
    <w:pPr>
      <w:spacing w:before="0" w:after="0" w:line="360" w:lineRule="auto"/>
      <w:jc w:val="center"/>
      <w:outlineLvl w:val="9"/>
    </w:pPr>
    <w:rPr>
      <w:rFonts w:ascii="Times New Roman" w:hAnsi="Times New Roman" w:eastAsia="宋体"/>
      <w:sz w:val="21"/>
    </w:rPr>
  </w:style>
  <w:style w:type="paragraph" w:customStyle="1" w:styleId="371">
    <w:name w:val="Char Char Char1 Char Char Char Char1"/>
    <w:basedOn w:val="1"/>
    <w:qFormat/>
    <w:uiPriority w:val="0"/>
    <w:pPr>
      <w:adjustRightInd w:val="0"/>
      <w:snapToGrid w:val="0"/>
      <w:spacing w:line="360" w:lineRule="auto"/>
      <w:ind w:firstLine="200" w:firstLineChars="200"/>
    </w:pPr>
  </w:style>
  <w:style w:type="paragraph" w:customStyle="1" w:styleId="372">
    <w:name w:val="05环评 正文"/>
    <w:basedOn w:val="1"/>
    <w:qFormat/>
    <w:uiPriority w:val="0"/>
    <w:pPr>
      <w:spacing w:line="360" w:lineRule="auto"/>
      <w:ind w:firstLine="200" w:firstLineChars="200"/>
    </w:pPr>
    <w:rPr>
      <w:sz w:val="24"/>
      <w:szCs w:val="22"/>
    </w:rPr>
  </w:style>
  <w:style w:type="paragraph" w:customStyle="1" w:styleId="373">
    <w:name w:val="Normal_0_0"/>
    <w:qFormat/>
    <w:uiPriority w:val="0"/>
    <w:pPr>
      <w:widowControl w:val="0"/>
      <w:spacing w:line="360" w:lineRule="auto"/>
      <w:ind w:firstLine="200" w:firstLineChars="200"/>
      <w:jc w:val="both"/>
    </w:pPr>
    <w:rPr>
      <w:rFonts w:ascii="Times New Roman" w:hAnsi="Times New Roman" w:eastAsia="仿宋" w:cs="Times New Roman"/>
      <w:kern w:val="2"/>
      <w:sz w:val="28"/>
      <w:szCs w:val="21"/>
      <w:lang w:val="en-US" w:eastAsia="zh-CN" w:bidi="ar-SA"/>
    </w:rPr>
  </w:style>
  <w:style w:type="table" w:customStyle="1" w:styleId="374">
    <w:name w:val="Table Grid_0"/>
    <w:basedOn w:val="44"/>
    <w:qFormat/>
    <w:uiPriority w:val="0"/>
    <w:rPr>
      <w:rFonts w:eastAsia="仿宋"/>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75">
    <w:name w:val="Placeholder Text"/>
    <w:basedOn w:val="46"/>
    <w:unhideWhenUsed/>
    <w:qFormat/>
    <w:uiPriority w:val="99"/>
    <w:rPr>
      <w:color w:val="808080"/>
    </w:rPr>
  </w:style>
  <w:style w:type="character" w:customStyle="1" w:styleId="376">
    <w:name w:val="正文文本缩进 2 Char"/>
    <w:qFormat/>
    <w:uiPriority w:val="0"/>
    <w:rPr>
      <w:kern w:val="2"/>
      <w:sz w:val="21"/>
      <w:szCs w:val="24"/>
    </w:rPr>
  </w:style>
  <w:style w:type="paragraph" w:customStyle="1" w:styleId="377">
    <w:name w:val="_Style 374"/>
    <w:basedOn w:val="1"/>
    <w:next w:val="333"/>
    <w:qFormat/>
    <w:uiPriority w:val="99"/>
    <w:pPr>
      <w:ind w:firstLine="420" w:firstLineChars="200"/>
    </w:pPr>
  </w:style>
  <w:style w:type="character" w:customStyle="1" w:styleId="378">
    <w:name w:val="普通(网站) 字符1"/>
    <w:qFormat/>
    <w:uiPriority w:val="0"/>
    <w:rPr>
      <w:rFonts w:ascii="宋体" w:hAnsi="宋体" w:eastAsia="宋体"/>
      <w:sz w:val="24"/>
    </w:rPr>
  </w:style>
  <w:style w:type="character" w:customStyle="1" w:styleId="379">
    <w:name w:val="样式 标题ljm + 首行缩进:  2 字符 Char Char Char"/>
    <w:basedOn w:val="46"/>
    <w:link w:val="306"/>
    <w:qFormat/>
    <w:uiPriority w:val="0"/>
    <w:rPr>
      <w:rFonts w:ascii="Calibri" w:hAnsi="Calibri"/>
      <w:b/>
      <w:bCs/>
      <w:sz w:val="24"/>
    </w:rPr>
  </w:style>
  <w:style w:type="character" w:customStyle="1" w:styleId="380">
    <w:name w:val="font31"/>
    <w:basedOn w:val="46"/>
    <w:qFormat/>
    <w:uiPriority w:val="0"/>
    <w:rPr>
      <w:rFonts w:hint="eastAsia" w:ascii="宋体" w:hAnsi="宋体" w:eastAsia="宋体" w:cs="宋体"/>
      <w:color w:val="000000"/>
      <w:sz w:val="21"/>
      <w:szCs w:val="21"/>
      <w:u w:val="none"/>
    </w:rPr>
  </w:style>
  <w:style w:type="paragraph" w:customStyle="1" w:styleId="381">
    <w:name w:val="技术图表"/>
    <w:basedOn w:val="1"/>
    <w:qFormat/>
    <w:uiPriority w:val="0"/>
    <w:pPr>
      <w:jc w:val="center"/>
    </w:pPr>
    <w:rPr>
      <w:rFonts w:eastAsia="仿宋"/>
      <w:szCs w:val="22"/>
    </w:rPr>
  </w:style>
  <w:style w:type="paragraph" w:customStyle="1" w:styleId="382">
    <w:name w:val="CCGL表"/>
    <w:basedOn w:val="1"/>
    <w:qFormat/>
    <w:uiPriority w:val="0"/>
    <w:pPr>
      <w:jc w:val="center"/>
    </w:pPr>
    <w:rPr>
      <w:kern w:val="0"/>
      <w:sz w:val="22"/>
      <w:szCs w:val="20"/>
    </w:rPr>
  </w:style>
  <w:style w:type="paragraph" w:customStyle="1" w:styleId="383">
    <w:name w:val="XF-正文"/>
    <w:basedOn w:val="1"/>
    <w:qFormat/>
    <w:uiPriority w:val="0"/>
    <w:pPr>
      <w:spacing w:line="520" w:lineRule="exact"/>
      <w:ind w:firstLine="880" w:firstLineChars="200"/>
    </w:pPr>
    <w:rPr>
      <w:kern w:val="0"/>
      <w:sz w:val="24"/>
      <w:szCs w:val="22"/>
    </w:rPr>
  </w:style>
  <w:style w:type="character" w:customStyle="1" w:styleId="384">
    <w:name w:val="font61"/>
    <w:basedOn w:val="46"/>
    <w:qFormat/>
    <w:uiPriority w:val="0"/>
    <w:rPr>
      <w:rFonts w:hint="eastAsia" w:ascii="宋体" w:hAnsi="宋体" w:eastAsia="宋体" w:cs="宋体"/>
      <w:color w:val="000000"/>
      <w:sz w:val="20"/>
      <w:szCs w:val="20"/>
      <w:u w:val="none"/>
    </w:rPr>
  </w:style>
  <w:style w:type="character" w:customStyle="1" w:styleId="385">
    <w:name w:val="15"/>
    <w:basedOn w:val="46"/>
    <w:qFormat/>
    <w:uiPriority w:val="0"/>
    <w:rPr>
      <w:rFonts w:hint="default" w:ascii="Times New Roman" w:hAnsi="Times New Roman" w:cs="Times New Roman"/>
    </w:rPr>
  </w:style>
  <w:style w:type="paragraph" w:customStyle="1" w:styleId="386">
    <w:name w:val="05 大庆环评 正文"/>
    <w:basedOn w:val="1"/>
    <w:qFormat/>
    <w:uiPriority w:val="0"/>
    <w:pPr>
      <w:adjustRightInd w:val="0"/>
      <w:snapToGrid w:val="0"/>
      <w:spacing w:line="360" w:lineRule="auto"/>
      <w:ind w:firstLine="200" w:firstLineChars="200"/>
    </w:pPr>
    <w:rPr>
      <w:sz w:val="24"/>
      <w:szCs w:val="26"/>
    </w:rPr>
  </w:style>
  <w:style w:type="paragraph" w:customStyle="1" w:styleId="387">
    <w:name w:val="SSEC 1级序号"/>
    <w:qFormat/>
    <w:uiPriority w:val="0"/>
    <w:pPr>
      <w:widowControl w:val="0"/>
      <w:numPr>
        <w:ilvl w:val="0"/>
        <w:numId w:val="2"/>
      </w:numPr>
      <w:adjustRightInd w:val="0"/>
      <w:snapToGrid w:val="0"/>
      <w:spacing w:line="331" w:lineRule="auto"/>
      <w:jc w:val="both"/>
      <w:textAlignment w:val="baseline"/>
    </w:pPr>
    <w:rPr>
      <w:rFonts w:ascii="宋体" w:hAnsi="宋体" w:eastAsia="宋体" w:cs="Times New Roman"/>
      <w:kern w:val="2"/>
      <w:sz w:val="24"/>
      <w:szCs w:val="24"/>
      <w:lang w:val="en-US" w:eastAsia="zh-CN" w:bidi="ar-SA"/>
    </w:rPr>
  </w:style>
  <w:style w:type="paragraph" w:customStyle="1" w:styleId="388">
    <w:name w:val="SSEC 表字居中"/>
    <w:qFormat/>
    <w:uiPriority w:val="0"/>
    <w:pPr>
      <w:widowControl w:val="0"/>
      <w:adjustRightInd w:val="0"/>
      <w:snapToGrid w:val="0"/>
      <w:spacing w:line="360" w:lineRule="atLeast"/>
      <w:jc w:val="center"/>
      <w:textAlignment w:val="center"/>
    </w:pPr>
    <w:rPr>
      <w:rFonts w:ascii="宋体" w:hAnsi="Times New Roman" w:eastAsia="Times New Roman" w:cs="Times New Roman"/>
      <w:kern w:val="2"/>
      <w:sz w:val="21"/>
      <w:szCs w:val="21"/>
      <w:lang w:val="en-US" w:eastAsia="zh-CN" w:bidi="ar-SA"/>
    </w:rPr>
  </w:style>
  <w:style w:type="paragraph" w:customStyle="1" w:styleId="389">
    <w:name w:val="0正文"/>
    <w:basedOn w:val="38"/>
    <w:qFormat/>
    <w:uiPriority w:val="0"/>
    <w:pPr>
      <w:spacing w:before="0" w:beforeAutospacing="0" w:after="0" w:afterAutospacing="0" w:line="360" w:lineRule="auto"/>
      <w:ind w:firstLine="200" w:firstLineChars="200"/>
      <w:jc w:val="both"/>
    </w:pPr>
    <w:rPr>
      <w:rFonts w:ascii="Times New Roman" w:hAnsi="Times New Roman"/>
      <w:kern w:val="2"/>
      <w:sz w:val="21"/>
    </w:rPr>
  </w:style>
  <w:style w:type="paragraph" w:customStyle="1" w:styleId="390">
    <w:name w:val="1、L表名、图名"/>
    <w:basedOn w:val="1"/>
    <w:qFormat/>
    <w:uiPriority w:val="0"/>
    <w:pPr>
      <w:adjustRightInd w:val="0"/>
      <w:snapToGrid w:val="0"/>
      <w:spacing w:line="360" w:lineRule="auto"/>
      <w:jc w:val="center"/>
    </w:pPr>
    <w:rPr>
      <w:b/>
      <w:bCs/>
      <w:szCs w:val="18"/>
    </w:rPr>
  </w:style>
  <w:style w:type="paragraph" w:customStyle="1" w:styleId="391">
    <w:name w:val="1 Char Char Char Char"/>
    <w:basedOn w:val="1"/>
    <w:qFormat/>
    <w:uiPriority w:val="0"/>
  </w:style>
  <w:style w:type="paragraph" w:customStyle="1" w:styleId="392">
    <w:name w:val="正文（川油）"/>
    <w:qFormat/>
    <w:uiPriority w:val="0"/>
    <w:pPr>
      <w:widowControl w:val="0"/>
      <w:spacing w:line="360" w:lineRule="auto"/>
      <w:ind w:firstLine="200" w:firstLineChars="200"/>
      <w:jc w:val="both"/>
    </w:pPr>
    <w:rPr>
      <w:rFonts w:ascii="Times New Roman" w:hAnsi="Times New Roman" w:eastAsia="宋体" w:cs="Times New Roman"/>
      <w:sz w:val="24"/>
      <w:lang w:val="en-US" w:eastAsia="zh-CN" w:bidi="ar-SA"/>
    </w:rPr>
  </w:style>
  <w:style w:type="paragraph" w:customStyle="1" w:styleId="393">
    <w:name w:val="11正文"/>
    <w:basedOn w:val="1"/>
    <w:qFormat/>
    <w:uiPriority w:val="0"/>
    <w:pPr>
      <w:spacing w:line="500" w:lineRule="exact"/>
      <w:ind w:firstLine="200" w:firstLineChars="200"/>
    </w:pPr>
    <w:rPr>
      <w:bCs/>
      <w:sz w:val="24"/>
    </w:rPr>
  </w:style>
  <w:style w:type="paragraph" w:customStyle="1" w:styleId="394">
    <w:name w:val="11表格文字"/>
    <w:basedOn w:val="1"/>
    <w:qFormat/>
    <w:uiPriority w:val="0"/>
    <w:pPr>
      <w:jc w:val="center"/>
    </w:pPr>
    <w:rPr>
      <w:szCs w:val="21"/>
    </w:rPr>
  </w:style>
  <w:style w:type="paragraph" w:customStyle="1" w:styleId="395">
    <w:name w:val="SSEC正文 20150323"/>
    <w:qFormat/>
    <w:uiPriority w:val="0"/>
    <w:pPr>
      <w:widowControl w:val="0"/>
      <w:adjustRightInd w:val="0"/>
      <w:snapToGrid w:val="0"/>
      <w:spacing w:line="331" w:lineRule="auto"/>
      <w:ind w:firstLine="200" w:firstLineChars="200"/>
      <w:jc w:val="both"/>
      <w:textAlignment w:val="baseline"/>
    </w:pPr>
    <w:rPr>
      <w:rFonts w:ascii="宋体" w:hAnsi="宋体" w:eastAsia="Times New Roman" w:cs="Times New Roman"/>
      <w:kern w:val="2"/>
      <w:sz w:val="24"/>
      <w:szCs w:val="24"/>
      <w:lang w:val="en-US" w:eastAsia="zh-CN" w:bidi="ar-SA"/>
    </w:rPr>
  </w:style>
  <w:style w:type="paragraph" w:customStyle="1" w:styleId="396">
    <w:name w:val="SSEC 正文"/>
    <w:qFormat/>
    <w:uiPriority w:val="0"/>
    <w:pPr>
      <w:widowControl w:val="0"/>
      <w:adjustRightInd w:val="0"/>
      <w:snapToGrid w:val="0"/>
      <w:spacing w:line="331" w:lineRule="auto"/>
      <w:ind w:firstLine="200" w:firstLineChars="200"/>
      <w:jc w:val="both"/>
      <w:textAlignment w:val="baseline"/>
    </w:pPr>
    <w:rPr>
      <w:rFonts w:ascii="宋体" w:hAnsi="宋体" w:eastAsia="Times New Roman" w:cs="Times New Roman"/>
      <w:kern w:val="2"/>
      <w:sz w:val="24"/>
      <w:szCs w:val="24"/>
      <w:lang w:val="en-US" w:eastAsia="zh-CN" w:bidi="ar-SA"/>
    </w:rPr>
  </w:style>
  <w:style w:type="paragraph" w:customStyle="1" w:styleId="397">
    <w:name w:val="SSEC 2级序号"/>
    <w:basedOn w:val="387"/>
    <w:qFormat/>
    <w:uiPriority w:val="0"/>
    <w:pPr>
      <w:numPr>
        <w:numId w:val="0"/>
      </w:numPr>
      <w:ind w:firstLine="476"/>
    </w:pPr>
  </w:style>
  <w:style w:type="paragraph" w:customStyle="1" w:styleId="398">
    <w:name w:val="SSEC表字居中 20150323"/>
    <w:qFormat/>
    <w:uiPriority w:val="0"/>
    <w:pPr>
      <w:widowControl w:val="0"/>
      <w:adjustRightInd w:val="0"/>
      <w:snapToGrid w:val="0"/>
      <w:spacing w:line="360" w:lineRule="atLeast"/>
      <w:jc w:val="center"/>
      <w:textAlignment w:val="baseline"/>
    </w:pPr>
    <w:rPr>
      <w:rFonts w:ascii="宋体" w:hAnsi="宋体" w:eastAsia="Times New Roman" w:cs="Times New Roman"/>
      <w:kern w:val="2"/>
      <w:sz w:val="21"/>
      <w:szCs w:val="21"/>
      <w:lang w:val="en-US" w:eastAsia="zh-CN" w:bidi="ar-SA"/>
    </w:rPr>
  </w:style>
  <w:style w:type="paragraph" w:customStyle="1" w:styleId="399">
    <w:name w:val="表标题名"/>
    <w:basedOn w:val="400"/>
    <w:qFormat/>
    <w:uiPriority w:val="0"/>
    <w:pPr>
      <w:tabs>
        <w:tab w:val="left" w:pos="1350"/>
      </w:tabs>
      <w:autoSpaceDE w:val="0"/>
      <w:autoSpaceDN w:val="0"/>
      <w:adjustRightInd w:val="0"/>
      <w:snapToGrid w:val="0"/>
    </w:pPr>
    <w:rPr>
      <w:rFonts w:eastAsia="宋体"/>
      <w:b w:val="0"/>
      <w:sz w:val="21"/>
      <w:szCs w:val="24"/>
      <w:shd w:val="clear" w:color="auto" w:fill="FFFFFF"/>
    </w:rPr>
  </w:style>
  <w:style w:type="paragraph" w:customStyle="1" w:styleId="400">
    <w:name w:val="表名"/>
    <w:basedOn w:val="1"/>
    <w:next w:val="14"/>
    <w:qFormat/>
    <w:uiPriority w:val="0"/>
    <w:pPr>
      <w:jc w:val="center"/>
    </w:pPr>
    <w:rPr>
      <w:rFonts w:eastAsia="Times New Roman"/>
      <w:b/>
      <w:sz w:val="20"/>
      <w:szCs w:val="20"/>
    </w:rPr>
  </w:style>
  <w:style w:type="paragraph" w:customStyle="1" w:styleId="401">
    <w:name w:val="正文(首缩进)"/>
    <w:basedOn w:val="1"/>
    <w:qFormat/>
    <w:uiPriority w:val="0"/>
    <w:rPr>
      <w:szCs w:val="20"/>
    </w:rPr>
  </w:style>
  <w:style w:type="paragraph" w:customStyle="1" w:styleId="402">
    <w:name w:val="0大庆环评 正文"/>
    <w:basedOn w:val="1"/>
    <w:qFormat/>
    <w:uiPriority w:val="0"/>
    <w:pPr>
      <w:adjustRightInd w:val="0"/>
      <w:snapToGrid w:val="0"/>
      <w:spacing w:line="360" w:lineRule="auto"/>
      <w:ind w:firstLine="200" w:firstLineChars="200"/>
    </w:pPr>
  </w:style>
  <w:style w:type="paragraph" w:customStyle="1" w:styleId="403">
    <w:name w:val="报告书标题5"/>
    <w:basedOn w:val="7"/>
    <w:next w:val="1"/>
    <w:qFormat/>
    <w:uiPriority w:val="0"/>
    <w:pPr>
      <w:spacing w:before="0" w:after="0" w:line="360" w:lineRule="auto"/>
      <w:jc w:val="center"/>
    </w:pPr>
    <w:rPr>
      <w:rFonts w:cs="宋体"/>
      <w:color w:val="000000" w:themeColor="text1"/>
      <w:sz w:val="21"/>
      <w14:textFill>
        <w14:solidFill>
          <w14:schemeClr w14:val="tx1"/>
        </w14:solidFill>
      </w14:textFill>
    </w:rPr>
  </w:style>
  <w:style w:type="paragraph" w:styleId="404">
    <w:name w:val="No Spacing"/>
    <w:qFormat/>
    <w:uiPriority w:val="99"/>
    <w:pPr>
      <w:widowControl w:val="0"/>
      <w:jc w:val="center"/>
    </w:pPr>
    <w:rPr>
      <w:rFonts w:ascii="Times New Roman" w:hAnsi="Times New Roman" w:eastAsia="宋体" w:cs="Times New Roman"/>
      <w:kern w:val="2"/>
      <w:sz w:val="21"/>
      <w:szCs w:val="24"/>
      <w:lang w:val="en-US" w:eastAsia="zh-CN" w:bidi="ar-SA"/>
    </w:rPr>
  </w:style>
  <w:style w:type="paragraph" w:customStyle="1" w:styleId="405">
    <w:name w:val="TOC 标题12"/>
    <w:next w:val="1"/>
    <w:unhideWhenUsed/>
    <w:qFormat/>
    <w:uiPriority w:val="39"/>
    <w:pPr>
      <w:spacing w:line="360" w:lineRule="auto"/>
      <w:jc w:val="center"/>
    </w:pPr>
    <w:rPr>
      <w:rFonts w:ascii="Times New Roman" w:hAnsi="Times New Roman" w:eastAsia="Times New Roman" w:cs="Times New Roman"/>
      <w:b/>
      <w:bCs/>
      <w:sz w:val="21"/>
      <w:szCs w:val="28"/>
      <w:lang w:val="en-US" w:eastAsia="zh-CN" w:bidi="ar-SA"/>
    </w:rPr>
  </w:style>
  <w:style w:type="table" w:customStyle="1" w:styleId="406">
    <w:name w:val="常用"/>
    <w:basedOn w:val="44"/>
    <w:qFormat/>
    <w:uiPriority w:val="99"/>
    <w:pPr>
      <w:jc w:val="center"/>
    </w:pPr>
    <w:rPr>
      <w:rFonts w:eastAsia="Times New Roman"/>
    </w:rPr>
    <w:tblPr>
      <w:tblBorders>
        <w:top w:val="single" w:color="auto" w:sz="12" w:space="0"/>
        <w:bottom w:val="single" w:color="auto" w:sz="12" w:space="0"/>
        <w:insideH w:val="single" w:color="auto" w:sz="2" w:space="0"/>
        <w:insideV w:val="single" w:color="auto" w:sz="2" w:space="0"/>
      </w:tblBorders>
    </w:tblPr>
    <w:tcPr>
      <w:vAlign w:val="center"/>
    </w:tcPr>
  </w:style>
  <w:style w:type="table" w:customStyle="1" w:styleId="407">
    <w:name w:val="样式61"/>
    <w:basedOn w:val="44"/>
    <w:qFormat/>
    <w:uiPriority w:val="99"/>
    <w:pPr>
      <w:jc w:val="center"/>
    </w:pPr>
    <w:rPr>
      <w:rFonts w:ascii="Calibri" w:hAnsi="Calibri" w:eastAsia="Times New Roman"/>
      <w:kern w:val="2"/>
      <w:sz w:val="21"/>
      <w:szCs w:val="22"/>
    </w:rPr>
    <w:tblPr>
      <w:tblBorders>
        <w:top w:val="single" w:color="auto" w:sz="12" w:space="0"/>
        <w:bottom w:val="single" w:color="auto" w:sz="12" w:space="0"/>
        <w:insideH w:val="single" w:color="auto" w:sz="2" w:space="0"/>
        <w:insideV w:val="single" w:color="auto" w:sz="2" w:space="0"/>
      </w:tblBorders>
    </w:tblPr>
    <w:tcPr>
      <w:vAlign w:val="center"/>
    </w:tcPr>
  </w:style>
  <w:style w:type="paragraph" w:customStyle="1" w:styleId="408">
    <w:name w:val="Normal_0"/>
    <w:basedOn w:val="1"/>
    <w:qFormat/>
    <w:uiPriority w:val="0"/>
    <w:pPr>
      <w:spacing w:line="360" w:lineRule="auto"/>
      <w:ind w:firstLine="200" w:firstLineChars="200"/>
    </w:pPr>
    <w:rPr>
      <w:rFonts w:eastAsia="仿宋"/>
      <w:sz w:val="28"/>
      <w:szCs w:val="28"/>
    </w:rPr>
  </w:style>
  <w:style w:type="table" w:customStyle="1" w:styleId="409">
    <w:name w:val="样式64"/>
    <w:basedOn w:val="44"/>
    <w:qFormat/>
    <w:uiPriority w:val="99"/>
    <w:pPr>
      <w:jc w:val="center"/>
    </w:pPr>
    <w:rPr>
      <w:rFonts w:ascii="Calibri" w:hAnsi="Calibri" w:eastAsia="Times New Roman"/>
      <w:kern w:val="2"/>
      <w:sz w:val="21"/>
      <w:szCs w:val="22"/>
    </w:rPr>
    <w:tblPr>
      <w:tblBorders>
        <w:top w:val="single" w:color="auto" w:sz="12" w:space="0"/>
        <w:bottom w:val="single" w:color="auto" w:sz="12" w:space="0"/>
        <w:insideH w:val="single" w:color="auto" w:sz="2" w:space="0"/>
        <w:insideV w:val="single" w:color="auto" w:sz="2" w:space="0"/>
      </w:tblBorders>
      <w:tblCellMar>
        <w:top w:w="0" w:type="dxa"/>
        <w:left w:w="108" w:type="dxa"/>
        <w:bottom w:w="0" w:type="dxa"/>
        <w:right w:w="108" w:type="dxa"/>
      </w:tblCellMar>
    </w:tblPr>
    <w:tcPr>
      <w:vAlign w:val="center"/>
    </w:tcPr>
  </w:style>
  <w:style w:type="table" w:customStyle="1" w:styleId="410">
    <w:name w:val="网格型10"/>
    <w:basedOn w:val="44"/>
    <w:qFormat/>
    <w:uiPriority w:val="0"/>
    <w:rPr>
      <w:rFonts w:ascii="Calibri" w:hAnsi="Calibri"/>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jpeg"/><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image" Target="media/image17.png"/><Relationship Id="rId22" Type="http://schemas.openxmlformats.org/officeDocument/2006/relationships/image" Target="media/image16.png"/><Relationship Id="rId21" Type="http://schemas.openxmlformats.org/officeDocument/2006/relationships/image" Target="media/image15.png"/><Relationship Id="rId20" Type="http://schemas.openxmlformats.org/officeDocument/2006/relationships/image" Target="media/image14.png"/><Relationship Id="rId2" Type="http://schemas.openxmlformats.org/officeDocument/2006/relationships/settings" Target="settings.xml"/><Relationship Id="rId19" Type="http://schemas.openxmlformats.org/officeDocument/2006/relationships/image" Target="media/image13.wmf"/><Relationship Id="rId18" Type="http://schemas.openxmlformats.org/officeDocument/2006/relationships/image" Target="media/image12.wmf"/><Relationship Id="rId17" Type="http://schemas.openxmlformats.org/officeDocument/2006/relationships/image" Target="media/image11.png"/><Relationship Id="rId16" Type="http://schemas.openxmlformats.org/officeDocument/2006/relationships/image" Target="media/image10.jpeg"/><Relationship Id="rId15" Type="http://schemas.openxmlformats.org/officeDocument/2006/relationships/image" Target="media/image9.jpeg"/><Relationship Id="rId14" Type="http://schemas.openxmlformats.org/officeDocument/2006/relationships/image" Target="media/image8.jpeg"/><Relationship Id="rId13" Type="http://schemas.openxmlformats.org/officeDocument/2006/relationships/image" Target="media/image7.png"/><Relationship Id="rId12" Type="http://schemas.openxmlformats.org/officeDocument/2006/relationships/image" Target="media/image6.png"/><Relationship Id="rId11" Type="http://schemas.openxmlformats.org/officeDocument/2006/relationships/image" Target="media/image5.png"/><Relationship Id="rId10" Type="http://schemas.openxmlformats.org/officeDocument/2006/relationships/image" Target="media/image4.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QBPC</Company>
  <Pages>138</Pages>
  <Words>88840</Words>
  <Characters>97493</Characters>
  <Lines>1</Lines>
  <Paragraphs>1</Paragraphs>
  <TotalTime>36</TotalTime>
  <ScaleCrop>false</ScaleCrop>
  <LinksUpToDate>false</LinksUpToDate>
  <CharactersWithSpaces>97913</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2022-10-11T07:01:00Z</dcterms:created>
  <dc:creator>尚云环境</dc:creator>
  <cp:lastModifiedBy>Administrator</cp:lastModifiedBy>
  <cp:lastPrinted>2022-06-20T01:49:00Z</cp:lastPrinted>
  <dcterms:modified xsi:type="dcterms:W3CDTF">2025-02-05T01:55:25Z</dcterms:modified>
  <dc:title>建设项目环境影响报告表（生态影响类）</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445B26FA4F4F4A2BA6D2806E646E1829_13</vt:lpwstr>
  </property>
  <property fmtid="{D5CDD505-2E9C-101B-9397-08002B2CF9AE}" pid="4" name="KSOTemplateDocerSaveRecord">
    <vt:lpwstr>eyJoZGlkIjoiOGI2N2NjM2ZjNDg5OGIzYjAyY2MxNGEwZTliOGYzZTIiLCJ1c2VySWQiOiI3MzY3MTE1ODkifQ==</vt:lpwstr>
  </property>
</Properties>
</file>