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adjustRightInd w:val="0"/>
        <w:snapToGrid w:val="0"/>
        <w:spacing w:before="192" w:beforeLines="80"/>
        <w:jc w:val="center"/>
        <w:rPr>
          <w:rFonts w:hint="default" w:ascii="Times New Roman" w:hAnsi="Times New Roman" w:eastAsia="楷体_GB2312" w:cs="Times New Roman"/>
          <w:bCs/>
          <w:color w:val="auto"/>
          <w:sz w:val="48"/>
          <w:szCs w:val="48"/>
          <w:lang w:eastAsia="zh-CN"/>
        </w:rPr>
      </w:pPr>
      <w:r>
        <w:rPr>
          <w:rFonts w:hint="default" w:ascii="Times New Roman" w:hAnsi="Times New Roman" w:eastAsia="楷体_GB2312" w:cs="Times New Roman"/>
          <w:bCs/>
          <w:color w:val="auto"/>
          <w:sz w:val="48"/>
          <w:szCs w:val="48"/>
          <w:lang w:eastAsia="zh-CN"/>
        </w:rPr>
        <w:t>（</w:t>
      </w:r>
      <w:r>
        <w:rPr>
          <w:rFonts w:hint="eastAsia" w:eastAsia="楷体_GB2312" w:cs="Times New Roman"/>
          <w:bCs/>
          <w:color w:val="auto"/>
          <w:sz w:val="48"/>
          <w:szCs w:val="48"/>
          <w:lang w:val="en-US" w:eastAsia="zh-CN"/>
        </w:rPr>
        <w:t>公示</w:t>
      </w:r>
      <w:r>
        <w:rPr>
          <w:rFonts w:hint="default" w:ascii="Times New Roman" w:hAnsi="Times New Roman" w:eastAsia="楷体_GB2312" w:cs="Times New Roman"/>
          <w:bCs/>
          <w:color w:val="auto"/>
          <w:sz w:val="48"/>
          <w:szCs w:val="48"/>
          <w:lang w:val="en-US" w:eastAsia="zh-CN"/>
        </w:rPr>
        <w:t>本</w:t>
      </w:r>
      <w:r>
        <w:rPr>
          <w:rFonts w:hint="default" w:ascii="Times New Roman" w:hAnsi="Times New Roman" w:eastAsia="楷体_GB2312" w:cs="Times New Roman"/>
          <w:bCs/>
          <w:color w:val="auto"/>
          <w:sz w:val="48"/>
          <w:szCs w:val="48"/>
          <w:lang w:eastAsia="zh-CN"/>
        </w:rPr>
        <w:t>）</w:t>
      </w: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tbl>
      <w:tblPr>
        <w:tblStyle w:val="17"/>
        <w:tblpPr w:leftFromText="180" w:rightFromText="180" w:vertAnchor="text" w:horzAnchor="page" w:tblpXSpec="center" w:tblpY="597"/>
        <w:tblOverlap w:val="never"/>
        <w:tblW w:w="7933" w:type="dxa"/>
        <w:jc w:val="center"/>
        <w:tblLayout w:type="fixed"/>
        <w:tblCellMar>
          <w:top w:w="0" w:type="dxa"/>
          <w:left w:w="108" w:type="dxa"/>
          <w:bottom w:w="0" w:type="dxa"/>
          <w:right w:w="108" w:type="dxa"/>
        </w:tblCellMar>
      </w:tblPr>
      <w:tblGrid>
        <w:gridCol w:w="2474"/>
        <w:gridCol w:w="5459"/>
      </w:tblGrid>
      <w:tr>
        <w:tblPrEx>
          <w:tblCellMar>
            <w:top w:w="0" w:type="dxa"/>
            <w:left w:w="108" w:type="dxa"/>
            <w:bottom w:w="0" w:type="dxa"/>
            <w:right w:w="108" w:type="dxa"/>
          </w:tblCellMar>
        </w:tblPrEx>
        <w:trPr>
          <w:trHeight w:val="100" w:hRule="atLeast"/>
          <w:jc w:val="center"/>
        </w:trPr>
        <w:tc>
          <w:tcPr>
            <w:tcW w:w="2474" w:type="dxa"/>
            <w:noWrap w:val="0"/>
            <w:vAlign w:val="center"/>
          </w:tcPr>
          <w:p>
            <w:pPr>
              <w:adjustRightInd w:val="0"/>
              <w:snapToGrid w:val="0"/>
              <w:spacing w:line="288" w:lineRule="auto"/>
              <w:jc w:val="distribute"/>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t>项目名称:</w:t>
            </w:r>
          </w:p>
        </w:tc>
        <w:tc>
          <w:tcPr>
            <w:tcW w:w="5459" w:type="dxa"/>
            <w:tcBorders>
              <w:top w:val="nil"/>
              <w:left w:val="nil"/>
              <w:bottom w:val="single" w:color="auto" w:sz="4" w:space="0"/>
              <w:right w:val="nil"/>
            </w:tcBorders>
            <w:noWrap w:val="0"/>
            <w:vAlign w:val="center"/>
          </w:tcPr>
          <w:p>
            <w:pPr>
              <w:adjustRightInd w:val="0"/>
              <w:snapToGrid w:val="0"/>
              <w:spacing w:line="288" w:lineRule="auto"/>
              <w:jc w:val="distribute"/>
              <w:rPr>
                <w:rFonts w:hint="default" w:ascii="Times New Roman" w:hAnsi="Times New Roman" w:eastAsia="仿宋_GB2312" w:cs="Times New Roman"/>
                <w:color w:val="auto"/>
                <w:sz w:val="36"/>
                <w:szCs w:val="36"/>
                <w:lang w:eastAsia="zh-CN"/>
              </w:rPr>
            </w:pPr>
            <w:r>
              <w:rPr>
                <w:rFonts w:hint="eastAsia" w:eastAsia="仿宋_GB2312" w:cs="Times New Roman"/>
                <w:color w:val="auto"/>
                <w:spacing w:val="-17"/>
                <w:sz w:val="36"/>
                <w:szCs w:val="36"/>
                <w:lang w:eastAsia="zh-CN"/>
              </w:rPr>
              <w:t>宣汉闽通再生资源回收储存迁建项目</w:t>
            </w:r>
          </w:p>
        </w:tc>
      </w:tr>
      <w:tr>
        <w:tblPrEx>
          <w:tblCellMar>
            <w:top w:w="0" w:type="dxa"/>
            <w:left w:w="108" w:type="dxa"/>
            <w:bottom w:w="0" w:type="dxa"/>
            <w:right w:w="108" w:type="dxa"/>
          </w:tblCellMar>
        </w:tblPrEx>
        <w:trPr>
          <w:trHeight w:val="285" w:hRule="atLeast"/>
          <w:jc w:val="center"/>
        </w:trPr>
        <w:tc>
          <w:tcPr>
            <w:tcW w:w="2474" w:type="dxa"/>
            <w:noWrap w:val="0"/>
            <w:vAlign w:val="bottom"/>
          </w:tcPr>
          <w:p>
            <w:pPr>
              <w:adjustRightInd w:val="0"/>
              <w:snapToGrid w:val="0"/>
              <w:spacing w:line="288" w:lineRule="auto"/>
              <w:jc w:val="distribute"/>
              <w:rPr>
                <w:rFonts w:hint="default" w:ascii="Times New Roman" w:hAnsi="Times New Roman" w:eastAsia="仿宋_GB2312" w:cs="Times New Roman"/>
                <w:color w:val="auto"/>
                <w:sz w:val="36"/>
                <w:szCs w:val="36"/>
              </w:rPr>
            </w:pPr>
          </w:p>
        </w:tc>
        <w:tc>
          <w:tcPr>
            <w:tcW w:w="5459" w:type="dxa"/>
            <w:tcBorders>
              <w:top w:val="single" w:color="auto" w:sz="4" w:space="0"/>
              <w:left w:val="nil"/>
              <w:bottom w:val="nil"/>
              <w:right w:val="nil"/>
            </w:tcBorders>
            <w:noWrap w:val="0"/>
            <w:vAlign w:val="bottom"/>
          </w:tcPr>
          <w:p>
            <w:pPr>
              <w:adjustRightInd w:val="0"/>
              <w:snapToGrid w:val="0"/>
              <w:spacing w:line="288" w:lineRule="auto"/>
              <w:jc w:val="distribute"/>
              <w:rPr>
                <w:rFonts w:hint="default" w:ascii="Times New Roman" w:hAnsi="Times New Roman" w:eastAsia="仿宋_GB2312" w:cs="Times New Roman"/>
                <w:color w:val="auto"/>
                <w:sz w:val="36"/>
                <w:szCs w:val="36"/>
              </w:rPr>
            </w:pPr>
          </w:p>
        </w:tc>
      </w:tr>
      <w:tr>
        <w:tblPrEx>
          <w:tblCellMar>
            <w:top w:w="0" w:type="dxa"/>
            <w:left w:w="108" w:type="dxa"/>
            <w:bottom w:w="0" w:type="dxa"/>
            <w:right w:w="108" w:type="dxa"/>
          </w:tblCellMar>
        </w:tblPrEx>
        <w:trPr>
          <w:trHeight w:val="184" w:hRule="atLeast"/>
          <w:jc w:val="center"/>
        </w:trPr>
        <w:tc>
          <w:tcPr>
            <w:tcW w:w="2474" w:type="dxa"/>
            <w:noWrap w:val="0"/>
            <w:vAlign w:val="bottom"/>
          </w:tcPr>
          <w:p>
            <w:pPr>
              <w:adjustRightInd w:val="0"/>
              <w:snapToGrid w:val="0"/>
              <w:spacing w:line="288" w:lineRule="auto"/>
              <w:jc w:val="distribute"/>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pacing w:val="-23"/>
                <w:sz w:val="36"/>
                <w:szCs w:val="36"/>
              </w:rPr>
              <w:t>建设单位(盖章):</w:t>
            </w:r>
          </w:p>
        </w:tc>
        <w:tc>
          <w:tcPr>
            <w:tcW w:w="5459" w:type="dxa"/>
            <w:tcBorders>
              <w:top w:val="nil"/>
              <w:left w:val="nil"/>
              <w:bottom w:val="single" w:color="auto" w:sz="4" w:space="0"/>
              <w:right w:val="nil"/>
            </w:tcBorders>
            <w:noWrap w:val="0"/>
            <w:vAlign w:val="bottom"/>
          </w:tcPr>
          <w:p>
            <w:pPr>
              <w:adjustRightInd w:val="0"/>
              <w:snapToGrid w:val="0"/>
              <w:spacing w:line="288" w:lineRule="auto"/>
              <w:jc w:val="distribute"/>
              <w:rPr>
                <w:rFonts w:hint="default" w:ascii="Times New Roman" w:hAnsi="Times New Roman" w:eastAsia="仿宋_GB2312" w:cs="Times New Roman"/>
                <w:color w:val="auto"/>
                <w:sz w:val="36"/>
                <w:szCs w:val="36"/>
                <w:lang w:eastAsia="zh-CN"/>
              </w:rPr>
            </w:pPr>
            <w:r>
              <w:rPr>
                <w:rFonts w:hint="default" w:ascii="Times New Roman" w:hAnsi="Times New Roman" w:eastAsia="仿宋_GB2312" w:cs="Times New Roman"/>
                <w:color w:val="auto"/>
                <w:spacing w:val="-11"/>
                <w:sz w:val="36"/>
                <w:szCs w:val="36"/>
                <w:lang w:eastAsia="zh-CN"/>
              </w:rPr>
              <w:t>达州市闽通环保科技有限公司</w:t>
            </w:r>
          </w:p>
        </w:tc>
      </w:tr>
      <w:tr>
        <w:tblPrEx>
          <w:tblCellMar>
            <w:top w:w="0" w:type="dxa"/>
            <w:left w:w="108" w:type="dxa"/>
            <w:bottom w:w="0" w:type="dxa"/>
            <w:right w:w="108" w:type="dxa"/>
          </w:tblCellMar>
        </w:tblPrEx>
        <w:trPr>
          <w:trHeight w:val="289" w:hRule="atLeast"/>
          <w:jc w:val="center"/>
        </w:trPr>
        <w:tc>
          <w:tcPr>
            <w:tcW w:w="2474" w:type="dxa"/>
            <w:noWrap w:val="0"/>
            <w:vAlign w:val="bottom"/>
          </w:tcPr>
          <w:p>
            <w:pPr>
              <w:adjustRightInd w:val="0"/>
              <w:snapToGrid w:val="0"/>
              <w:spacing w:line="288" w:lineRule="auto"/>
              <w:jc w:val="distribute"/>
              <w:rPr>
                <w:rFonts w:hint="default" w:ascii="Times New Roman" w:hAnsi="Times New Roman" w:eastAsia="仿宋_GB2312" w:cs="Times New Roman"/>
                <w:color w:val="auto"/>
                <w:sz w:val="36"/>
                <w:szCs w:val="36"/>
              </w:rPr>
            </w:pPr>
          </w:p>
        </w:tc>
        <w:tc>
          <w:tcPr>
            <w:tcW w:w="5459" w:type="dxa"/>
            <w:tcBorders>
              <w:top w:val="single" w:color="auto" w:sz="4" w:space="0"/>
              <w:left w:val="nil"/>
              <w:bottom w:val="nil"/>
              <w:right w:val="nil"/>
            </w:tcBorders>
            <w:noWrap w:val="0"/>
            <w:vAlign w:val="bottom"/>
          </w:tcPr>
          <w:p>
            <w:pPr>
              <w:adjustRightInd w:val="0"/>
              <w:snapToGrid w:val="0"/>
              <w:spacing w:line="288" w:lineRule="auto"/>
              <w:jc w:val="distribute"/>
              <w:rPr>
                <w:rFonts w:hint="default" w:ascii="Times New Roman" w:hAnsi="Times New Roman" w:eastAsia="仿宋_GB2312" w:cs="Times New Roman"/>
                <w:color w:val="auto"/>
                <w:sz w:val="36"/>
                <w:szCs w:val="36"/>
              </w:rPr>
            </w:pPr>
          </w:p>
        </w:tc>
      </w:tr>
      <w:tr>
        <w:tblPrEx>
          <w:tblCellMar>
            <w:top w:w="0" w:type="dxa"/>
            <w:left w:w="108" w:type="dxa"/>
            <w:bottom w:w="0" w:type="dxa"/>
            <w:right w:w="108" w:type="dxa"/>
          </w:tblCellMar>
        </w:tblPrEx>
        <w:trPr>
          <w:trHeight w:val="304" w:hRule="atLeast"/>
          <w:jc w:val="center"/>
        </w:trPr>
        <w:tc>
          <w:tcPr>
            <w:tcW w:w="2474" w:type="dxa"/>
            <w:noWrap w:val="0"/>
            <w:vAlign w:val="center"/>
          </w:tcPr>
          <w:p>
            <w:pPr>
              <w:adjustRightInd w:val="0"/>
              <w:snapToGrid w:val="0"/>
              <w:spacing w:line="288" w:lineRule="auto"/>
              <w:jc w:val="distribute"/>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t>编制日期:</w:t>
            </w:r>
          </w:p>
        </w:tc>
        <w:tc>
          <w:tcPr>
            <w:tcW w:w="5459" w:type="dxa"/>
            <w:tcBorders>
              <w:top w:val="nil"/>
              <w:left w:val="nil"/>
              <w:bottom w:val="single" w:color="auto" w:sz="4" w:space="0"/>
              <w:right w:val="nil"/>
            </w:tcBorders>
            <w:noWrap w:val="0"/>
            <w:vAlign w:val="bottom"/>
          </w:tcPr>
          <w:p>
            <w:pPr>
              <w:adjustRightInd w:val="0"/>
              <w:snapToGrid w:val="0"/>
              <w:spacing w:line="288" w:lineRule="auto"/>
              <w:jc w:val="center"/>
              <w:rPr>
                <w:rFonts w:hint="default" w:ascii="Times New Roman" w:hAnsi="Times New Roman" w:eastAsia="仿宋_GB2312" w:cs="Times New Roman"/>
                <w:color w:val="auto"/>
                <w:spacing w:val="45"/>
                <w:sz w:val="36"/>
                <w:szCs w:val="36"/>
              </w:rPr>
            </w:pPr>
            <w:r>
              <w:rPr>
                <w:rFonts w:hint="default" w:ascii="Times New Roman" w:hAnsi="Times New Roman" w:eastAsia="仿宋_GB2312" w:cs="Times New Roman"/>
                <w:color w:val="auto"/>
                <w:spacing w:val="45"/>
                <w:sz w:val="36"/>
                <w:szCs w:val="36"/>
              </w:rPr>
              <w:t>二〇二</w:t>
            </w:r>
            <w:r>
              <w:rPr>
                <w:rFonts w:hint="eastAsia" w:eastAsia="仿宋_GB2312" w:cs="Times New Roman"/>
                <w:color w:val="auto"/>
                <w:spacing w:val="45"/>
                <w:sz w:val="36"/>
                <w:szCs w:val="36"/>
                <w:lang w:val="en-US" w:eastAsia="zh-CN"/>
              </w:rPr>
              <w:t>三</w:t>
            </w:r>
            <w:r>
              <w:rPr>
                <w:rFonts w:hint="default" w:ascii="Times New Roman" w:hAnsi="Times New Roman" w:eastAsia="仿宋_GB2312" w:cs="Times New Roman"/>
                <w:color w:val="auto"/>
                <w:spacing w:val="45"/>
                <w:sz w:val="36"/>
                <w:szCs w:val="36"/>
              </w:rPr>
              <w:t>年</w:t>
            </w:r>
            <w:r>
              <w:rPr>
                <w:rFonts w:hint="eastAsia" w:eastAsia="仿宋_GB2312" w:cs="Times New Roman"/>
                <w:color w:val="auto"/>
                <w:spacing w:val="45"/>
                <w:sz w:val="36"/>
                <w:szCs w:val="36"/>
                <w:lang w:val="en-US" w:eastAsia="zh-CN"/>
              </w:rPr>
              <w:t>十二</w:t>
            </w:r>
            <w:r>
              <w:rPr>
                <w:rFonts w:hint="default" w:ascii="Times New Roman" w:hAnsi="Times New Roman" w:eastAsia="仿宋_GB2312" w:cs="Times New Roman"/>
                <w:color w:val="auto"/>
                <w:spacing w:val="45"/>
                <w:sz w:val="36"/>
                <w:szCs w:val="36"/>
              </w:rPr>
              <w:t>月</w:t>
            </w:r>
          </w:p>
        </w:tc>
      </w:tr>
    </w:tbl>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0"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bookmarkEnd w:id="0"/>
    <w:p>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 制</w:t>
      </w:r>
    </w:p>
    <w:p>
      <w:pPr>
        <w:adjustRightInd w:val="0"/>
        <w:snapToGrid w:val="0"/>
        <w:spacing w:line="288" w:lineRule="auto"/>
        <w:ind w:firstLine="1040"/>
        <w:rPr>
          <w:rFonts w:hint="default" w:ascii="Times New Roman" w:hAnsi="Times New Roman" w:eastAsia="仿宋_GB2312" w:cs="Times New Roman"/>
          <w:color w:val="auto"/>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formProt w:val="0"/>
          <w:docGrid w:linePitch="312" w:charSpace="0"/>
        </w:sectPr>
      </w:pPr>
    </w:p>
    <w:p>
      <w:pPr>
        <w:widowControl/>
        <w:spacing w:before="100" w:beforeAutospacing="1" w:after="100" w:afterAutospacing="1"/>
        <w:jc w:val="center"/>
        <w:outlineLvl w:val="0"/>
        <w:rPr>
          <w:rFonts w:hint="default" w:ascii="Times New Roman" w:hAnsi="Times New Roman" w:eastAsia="黑体" w:cs="Times New Roman"/>
          <w:snapToGrid w:val="0"/>
          <w:color w:val="0000FF"/>
          <w:kern w:val="0"/>
          <w:sz w:val="30"/>
          <w:szCs w:val="30"/>
        </w:rPr>
        <w:sectPr>
          <w:footerReference r:id="rId9"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formProt w:val="1"/>
          <w:docGrid w:linePitch="312" w:charSpace="0"/>
        </w:sectPr>
      </w:pPr>
    </w:p>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eastAsia="黑体" w:cs="Times New Roman"/>
          <w:snapToGrid w:val="0"/>
          <w:color w:val="auto"/>
          <w:kern w:val="0"/>
          <w:sz w:val="30"/>
          <w:szCs w:val="30"/>
        </w:rPr>
        <w:t>一、建设项目基本情况</w:t>
      </w:r>
    </w:p>
    <w:tbl>
      <w:tblPr>
        <w:tblStyle w:val="1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01"/>
        <w:gridCol w:w="707"/>
        <w:gridCol w:w="2494"/>
        <w:gridCol w:w="1964"/>
        <w:gridCol w:w="28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60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7262" w:type="dxa"/>
            <w:gridSpan w:val="3"/>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宣汉闽通再生资源回收储存迁建项目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60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7262" w:type="dxa"/>
            <w:gridSpan w:val="3"/>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2204-511722-04-01-844127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60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建设单位联系人</w:t>
            </w:r>
          </w:p>
        </w:tc>
        <w:tc>
          <w:tcPr>
            <w:tcW w:w="2494" w:type="dxa"/>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刘国平</w:t>
            </w:r>
          </w:p>
        </w:tc>
        <w:tc>
          <w:tcPr>
            <w:tcW w:w="1964"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联系方式</w:t>
            </w:r>
          </w:p>
        </w:tc>
        <w:tc>
          <w:tcPr>
            <w:tcW w:w="280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153</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6555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60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7262" w:type="dxa"/>
            <w:gridSpan w:val="3"/>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四川省</w:t>
            </w:r>
            <w:r>
              <w:rPr>
                <w:rFonts w:hint="default" w:ascii="Times New Roman" w:hAnsi="Times New Roman" w:cs="Times New Roman"/>
                <w:color w:val="auto"/>
                <w:szCs w:val="21"/>
                <w:lang w:eastAsia="zh-CN"/>
              </w:rPr>
              <w:t>达州市宣汉县普光经济开发区柳池工业园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60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7262" w:type="dxa"/>
            <w:gridSpan w:val="3"/>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u w:val="single"/>
              </w:rPr>
              <w:t xml:space="preserve"> 107 </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 xml:space="preserve"> </w:t>
            </w:r>
            <w:r>
              <w:rPr>
                <w:rFonts w:hint="eastAsia" w:cs="Times New Roman"/>
                <w:color w:val="auto"/>
                <w:szCs w:val="21"/>
                <w:u w:val="single"/>
                <w:lang w:val="en-US" w:eastAsia="zh-CN"/>
              </w:rPr>
              <w:t>/</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分</w:t>
            </w:r>
            <w:r>
              <w:rPr>
                <w:rFonts w:hint="default" w:ascii="Times New Roman" w:hAnsi="Times New Roman" w:cs="Times New Roman"/>
                <w:color w:val="auto"/>
                <w:szCs w:val="21"/>
                <w:u w:val="single"/>
              </w:rPr>
              <w:t xml:space="preserve"> </w:t>
            </w:r>
            <w:r>
              <w:rPr>
                <w:rFonts w:hint="eastAsia" w:cs="Times New Roman"/>
                <w:color w:val="auto"/>
                <w:szCs w:val="21"/>
                <w:u w:val="single"/>
                <w:lang w:val="en-US" w:eastAsia="zh-CN"/>
              </w:rPr>
              <w:t>***</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秒，</w:t>
            </w:r>
            <w:r>
              <w:rPr>
                <w:rFonts w:hint="default" w:ascii="Times New Roman" w:hAnsi="Times New Roman" w:cs="Times New Roman"/>
                <w:color w:val="auto"/>
                <w:szCs w:val="21"/>
                <w:u w:val="single"/>
              </w:rPr>
              <w:t xml:space="preserve"> 31 </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single"/>
                <w:lang w:val="en-US" w:eastAsia="zh-CN"/>
              </w:rPr>
              <w:t>***</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分</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single"/>
                <w:lang w:val="en-US" w:eastAsia="zh-CN"/>
              </w:rPr>
              <w:t>***</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160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249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G</w:t>
            </w:r>
            <w:r>
              <w:rPr>
                <w:rFonts w:hint="default" w:ascii="Times New Roman" w:hAnsi="Times New Roman" w:cs="Times New Roman"/>
                <w:color w:val="auto"/>
                <w:szCs w:val="21"/>
              </w:rPr>
              <w:t>5949其他危险品仓储</w:t>
            </w:r>
          </w:p>
        </w:tc>
        <w:tc>
          <w:tcPr>
            <w:tcW w:w="1964" w:type="dxa"/>
            <w:noWrap w:val="0"/>
            <w:vAlign w:val="center"/>
          </w:tcPr>
          <w:p>
            <w:pPr>
              <w:adjustRightInd w:val="0"/>
              <w:snapToGrid w:val="0"/>
              <w:jc w:val="center"/>
              <w:rPr>
                <w:rFonts w:hint="default" w:ascii="Times New Roman" w:hAnsi="Times New Roman" w:cs="Times New Roman"/>
                <w:color w:val="auto"/>
                <w:szCs w:val="21"/>
              </w:rPr>
            </w:pPr>
            <w:bookmarkStart w:id="1" w:name="_Hlk49843745"/>
            <w:r>
              <w:rPr>
                <w:rFonts w:hint="default" w:ascii="Times New Roman" w:hAnsi="Times New Roman" w:cs="Times New Roman"/>
                <w:color w:val="auto"/>
                <w:szCs w:val="21"/>
              </w:rPr>
              <w:t>建设项目</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1"/>
          </w:p>
        </w:tc>
        <w:tc>
          <w:tcPr>
            <w:tcW w:w="2804" w:type="dxa"/>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五十三、装卸搬运和仓储业</w:t>
            </w:r>
          </w:p>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149 危险品仓储594（不含加油站的油库；不含加气站的气库）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160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2494" w:type="dxa"/>
            <w:noWrap w:val="0"/>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新建（迁建）</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改建</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扩建</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技术改造</w:t>
            </w:r>
          </w:p>
        </w:tc>
        <w:tc>
          <w:tcPr>
            <w:tcW w:w="196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2804" w:type="dxa"/>
            <w:noWrap w:val="0"/>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 xml:space="preserve">首次申报项目             </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不予批准后再次申报项目</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 xml:space="preserve">超五年重新审核项目     </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160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249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宣汉县</w:t>
            </w:r>
            <w:r>
              <w:rPr>
                <w:rFonts w:hint="default" w:ascii="Times New Roman" w:hAnsi="Times New Roman" w:cs="Times New Roman"/>
                <w:color w:val="auto"/>
                <w:szCs w:val="21"/>
              </w:rPr>
              <w:t>发改局</w:t>
            </w:r>
          </w:p>
        </w:tc>
        <w:tc>
          <w:tcPr>
            <w:tcW w:w="196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备案）文号（选填）</w:t>
            </w:r>
          </w:p>
        </w:tc>
        <w:tc>
          <w:tcPr>
            <w:tcW w:w="280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川投资备【2204-511722-04-</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01-844127】FGQB-0160号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60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2494"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100.00</w:t>
            </w:r>
          </w:p>
        </w:tc>
        <w:tc>
          <w:tcPr>
            <w:tcW w:w="196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环保投资（万元）</w:t>
            </w:r>
          </w:p>
        </w:tc>
        <w:tc>
          <w:tcPr>
            <w:tcW w:w="280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60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2494"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9.40</w:t>
            </w:r>
          </w:p>
        </w:tc>
        <w:tc>
          <w:tcPr>
            <w:tcW w:w="196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施工工期</w:t>
            </w:r>
          </w:p>
        </w:tc>
        <w:tc>
          <w:tcPr>
            <w:tcW w:w="2804"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08"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2494" w:type="dxa"/>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否</w:t>
            </w:r>
          </w:p>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是：</w:t>
            </w:r>
            <w:r>
              <w:rPr>
                <w:rFonts w:hint="default" w:ascii="Times New Roman" w:hAnsi="Times New Roman" w:cs="Times New Roman"/>
                <w:color w:val="auto"/>
                <w:szCs w:val="21"/>
                <w:u w:val="single"/>
              </w:rPr>
              <w:t xml:space="preserve">             </w:t>
            </w:r>
          </w:p>
        </w:tc>
        <w:tc>
          <w:tcPr>
            <w:tcW w:w="196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面积（m</w:t>
            </w:r>
            <w:r>
              <w:rPr>
                <w:rFonts w:hint="default" w:ascii="Times New Roman" w:hAnsi="Times New Roman" w:cs="Times New Roman"/>
                <w:color w:val="auto"/>
                <w:spacing w:val="-6"/>
                <w:szCs w:val="21"/>
                <w:vertAlign w:val="superscript"/>
              </w:rPr>
              <w:t>2</w:t>
            </w:r>
            <w:r>
              <w:rPr>
                <w:rFonts w:hint="default" w:ascii="Times New Roman" w:hAnsi="Times New Roman" w:cs="Times New Roman"/>
                <w:color w:val="auto"/>
                <w:spacing w:val="-6"/>
                <w:szCs w:val="21"/>
              </w:rPr>
              <w:t>）</w:t>
            </w:r>
          </w:p>
        </w:tc>
        <w:tc>
          <w:tcPr>
            <w:tcW w:w="280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r>
              <w:rPr>
                <w:rFonts w:hint="default" w:ascii="Times New Roman" w:hAnsi="Times New Roman" w:cs="Times New Roman"/>
                <w:color w:val="auto"/>
                <w:szCs w:val="21"/>
                <w:lang w:val="en-US" w:eastAsia="zh-CN"/>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608" w:type="dxa"/>
            <w:gridSpan w:val="2"/>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w:t>
            </w:r>
          </w:p>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设置情况</w:t>
            </w:r>
          </w:p>
        </w:tc>
        <w:tc>
          <w:tcPr>
            <w:tcW w:w="7262"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lang w:eastAsia="zh-CN"/>
              </w:rPr>
              <w:t>《</w:t>
            </w:r>
            <w:r>
              <w:rPr>
                <w:rFonts w:hint="default" w:ascii="Times New Roman" w:hAnsi="Times New Roman" w:cs="Times New Roman"/>
                <w:color w:val="auto"/>
              </w:rPr>
              <w:t>建设项目环境影响报告表编制技术指南（污染影响类）（试行）</w:t>
            </w:r>
            <w:r>
              <w:rPr>
                <w:rFonts w:hint="default" w:ascii="Times New Roman" w:hAnsi="Times New Roman" w:cs="Times New Roman"/>
                <w:color w:val="auto"/>
                <w:lang w:eastAsia="zh-CN"/>
              </w:rPr>
              <w:t>》</w:t>
            </w:r>
            <w:r>
              <w:rPr>
                <w:rFonts w:hint="default" w:ascii="Times New Roman" w:hAnsi="Times New Roman" w:cs="Times New Roman"/>
                <w:color w:val="auto"/>
              </w:rPr>
              <w:t>，本项目不需设置专项评价，对照情况见下表。</w:t>
            </w:r>
          </w:p>
          <w:p>
            <w:pPr>
              <w:keepNext w:val="0"/>
              <w:keepLines w:val="0"/>
              <w:pageBreakBefore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00" w:firstLineChars="20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专项评价设置原则对照表</w:t>
            </w:r>
          </w:p>
          <w:tbl>
            <w:tblPr>
              <w:tblStyle w:val="17"/>
              <w:tblW w:w="6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2"/>
              <w:gridCol w:w="3448"/>
              <w:gridCol w:w="2264"/>
              <w:gridCol w:w="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专项评价类别</w:t>
                  </w:r>
                </w:p>
              </w:tc>
              <w:tc>
                <w:tcPr>
                  <w:tcW w:w="34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设置原则</w:t>
                  </w:r>
                </w:p>
              </w:tc>
              <w:tc>
                <w:tcPr>
                  <w:tcW w:w="22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本项目</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设置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3"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w:t>
                  </w:r>
                </w:p>
              </w:tc>
              <w:tc>
                <w:tcPr>
                  <w:tcW w:w="34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排放废气含有毒有害污染物</w:t>
                  </w:r>
                  <w:r>
                    <w:rPr>
                      <w:rFonts w:hint="default" w:ascii="Times New Roman" w:hAnsi="Times New Roman" w:cs="Times New Roman"/>
                      <w:color w:val="auto"/>
                      <w:sz w:val="18"/>
                      <w:szCs w:val="18"/>
                      <w:vertAlign w:val="superscript"/>
                    </w:rPr>
                    <w:t>1</w:t>
                  </w:r>
                  <w:r>
                    <w:rPr>
                      <w:rFonts w:hint="default" w:ascii="Times New Roman" w:hAnsi="Times New Roman" w:cs="Times New Roman"/>
                      <w:color w:val="auto"/>
                      <w:sz w:val="18"/>
                      <w:szCs w:val="18"/>
                    </w:rPr>
                    <w:t>、二噁英、苯并[a]芘、氰化物、氯气且厂界外500米范围内有环境空气保护目标</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的建设项目</w:t>
                  </w:r>
                  <w:r>
                    <w:rPr>
                      <w:rFonts w:hint="default" w:ascii="Times New Roman" w:hAnsi="Times New Roman" w:cs="Times New Roman"/>
                      <w:color w:val="auto"/>
                      <w:sz w:val="18"/>
                      <w:szCs w:val="18"/>
                      <w:lang w:eastAsia="zh-CN"/>
                    </w:rPr>
                    <w:t>。</w:t>
                  </w:r>
                </w:p>
              </w:tc>
              <w:tc>
                <w:tcPr>
                  <w:tcW w:w="22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排放的废气污染因子主要</w:t>
                  </w:r>
                  <w:r>
                    <w:rPr>
                      <w:rFonts w:hint="default" w:ascii="Times New Roman" w:hAnsi="Times New Roman" w:cs="Times New Roman"/>
                      <w:color w:val="auto"/>
                      <w:sz w:val="18"/>
                      <w:szCs w:val="18"/>
                    </w:rPr>
                    <w:t>为</w:t>
                  </w:r>
                  <w:r>
                    <w:rPr>
                      <w:rFonts w:hint="default" w:ascii="Times New Roman" w:hAnsi="Times New Roman" w:cs="Times New Roman"/>
                      <w:color w:val="auto"/>
                      <w:sz w:val="18"/>
                      <w:szCs w:val="18"/>
                      <w:lang w:val="en-US" w:eastAsia="zh-CN"/>
                    </w:rPr>
                    <w:t>颗粒物</w:t>
                  </w:r>
                  <w:r>
                    <w:rPr>
                      <w:rFonts w:hint="default" w:ascii="Times New Roman" w:hAnsi="Times New Roman" w:cs="Times New Roman"/>
                      <w:color w:val="auto"/>
                      <w:sz w:val="18"/>
                      <w:szCs w:val="18"/>
                    </w:rPr>
                    <w:t>，不属于有毒有害污染物等。</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3"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地表水</w:t>
                  </w:r>
                </w:p>
              </w:tc>
              <w:tc>
                <w:tcPr>
                  <w:tcW w:w="34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新增工业废水直排建设项目（槽罐车外送污水处理厂的除外）；新增废水直排的污水集中处理厂</w:t>
                  </w:r>
                  <w:r>
                    <w:rPr>
                      <w:rFonts w:hint="default" w:ascii="Times New Roman" w:hAnsi="Times New Roman" w:cs="Times New Roman"/>
                      <w:color w:val="auto"/>
                      <w:sz w:val="18"/>
                      <w:szCs w:val="18"/>
                      <w:lang w:eastAsia="zh-CN"/>
                    </w:rPr>
                    <w:t>。</w:t>
                  </w:r>
                </w:p>
              </w:tc>
              <w:tc>
                <w:tcPr>
                  <w:tcW w:w="22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生产</w:t>
                  </w:r>
                  <w:r>
                    <w:rPr>
                      <w:rFonts w:hint="default" w:ascii="Times New Roman" w:hAnsi="Times New Roman" w:cs="Times New Roman"/>
                      <w:color w:val="auto"/>
                      <w:sz w:val="18"/>
                      <w:szCs w:val="18"/>
                    </w:rPr>
                    <w:t>废水</w:t>
                  </w:r>
                  <w:r>
                    <w:rPr>
                      <w:rFonts w:hint="eastAsia" w:cs="Times New Roman"/>
                      <w:color w:val="auto"/>
                      <w:sz w:val="18"/>
                      <w:szCs w:val="18"/>
                      <w:lang w:val="en-US" w:eastAsia="zh-CN"/>
                    </w:rPr>
                    <w:t>收集处理后循环使用</w:t>
                  </w:r>
                  <w:r>
                    <w:rPr>
                      <w:rFonts w:hint="default" w:ascii="Times New Roman" w:hAnsi="Times New Roman" w:cs="Times New Roman"/>
                      <w:color w:val="auto"/>
                      <w:sz w:val="18"/>
                      <w:szCs w:val="18"/>
                      <w:lang w:val="en-US" w:eastAsia="zh-CN"/>
                    </w:rPr>
                    <w:t>，生活污水</w:t>
                  </w:r>
                  <w:r>
                    <w:rPr>
                      <w:rFonts w:hint="eastAsia" w:cs="Times New Roman"/>
                      <w:color w:val="auto"/>
                      <w:sz w:val="18"/>
                      <w:szCs w:val="18"/>
                      <w:lang w:val="en-US" w:eastAsia="zh-CN"/>
                    </w:rPr>
                    <w:t>收集后作农肥，不外排</w:t>
                  </w:r>
                  <w:r>
                    <w:rPr>
                      <w:rFonts w:hint="default" w:ascii="Times New Roman" w:hAnsi="Times New Roman" w:cs="Times New Roman"/>
                      <w:color w:val="auto"/>
                      <w:sz w:val="18"/>
                      <w:szCs w:val="18"/>
                      <w:lang w:val="en-US" w:eastAsia="zh-CN"/>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3"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风险</w:t>
                  </w:r>
                </w:p>
              </w:tc>
              <w:tc>
                <w:tcPr>
                  <w:tcW w:w="34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有毒有害和易燃易爆危险物质存储量超过临界量</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的建设项目</w:t>
                  </w:r>
                  <w:r>
                    <w:rPr>
                      <w:rFonts w:hint="default" w:ascii="Times New Roman" w:hAnsi="Times New Roman" w:cs="Times New Roman"/>
                      <w:color w:val="auto"/>
                      <w:sz w:val="18"/>
                      <w:szCs w:val="18"/>
                      <w:lang w:eastAsia="zh-CN"/>
                    </w:rPr>
                    <w:t>。</w:t>
                  </w:r>
                </w:p>
              </w:tc>
              <w:tc>
                <w:tcPr>
                  <w:tcW w:w="22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不涉及储存有毒有害和易燃易爆危险物质存储量超过临界量</w:t>
                  </w:r>
                  <w:r>
                    <w:rPr>
                      <w:rFonts w:hint="default" w:ascii="Times New Roman" w:hAnsi="Times New Roman" w:cs="Times New Roman"/>
                      <w:color w:val="auto"/>
                      <w:sz w:val="18"/>
                      <w:szCs w:val="18"/>
                      <w:lang w:val="en-US" w:eastAsia="zh-CN"/>
                    </w:rPr>
                    <w:t>的情况</w:t>
                  </w:r>
                  <w:r>
                    <w:rPr>
                      <w:rFonts w:hint="default" w:ascii="Times New Roman" w:hAnsi="Times New Roman" w:cs="Times New Roman"/>
                      <w:color w:val="auto"/>
                      <w:sz w:val="18"/>
                      <w:szCs w:val="18"/>
                      <w:lang w:eastAsia="zh-CN"/>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生态</w:t>
                  </w:r>
                </w:p>
              </w:tc>
              <w:tc>
                <w:tcPr>
                  <w:tcW w:w="34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取水口下游500米范围内有重要水生生物的自然产卵场、索饵场、越冬场和洄游通道的新增河道取水的污染类建设项目</w:t>
                  </w:r>
                  <w:r>
                    <w:rPr>
                      <w:rFonts w:hint="default" w:ascii="Times New Roman" w:hAnsi="Times New Roman" w:cs="Times New Roman"/>
                      <w:color w:val="auto"/>
                      <w:sz w:val="18"/>
                      <w:szCs w:val="18"/>
                      <w:lang w:eastAsia="zh-CN"/>
                    </w:rPr>
                    <w:t>。</w:t>
                  </w:r>
                </w:p>
              </w:tc>
              <w:tc>
                <w:tcPr>
                  <w:tcW w:w="22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不涉及取水</w:t>
                  </w:r>
                  <w:r>
                    <w:rPr>
                      <w:rFonts w:hint="default" w:ascii="Times New Roman" w:hAnsi="Times New Roman" w:cs="Times New Roman"/>
                      <w:color w:val="auto"/>
                      <w:sz w:val="18"/>
                      <w:szCs w:val="18"/>
                      <w:lang w:eastAsia="zh-CN"/>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2"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海洋</w:t>
                  </w:r>
                </w:p>
              </w:tc>
              <w:tc>
                <w:tcPr>
                  <w:tcW w:w="34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直接向海排放污染物的海洋工程建设项目</w:t>
                  </w:r>
                  <w:r>
                    <w:rPr>
                      <w:rFonts w:hint="default" w:ascii="Times New Roman" w:hAnsi="Times New Roman" w:cs="Times New Roman"/>
                      <w:color w:val="auto"/>
                      <w:sz w:val="18"/>
                      <w:szCs w:val="18"/>
                      <w:lang w:eastAsia="zh-CN"/>
                    </w:rPr>
                    <w:t>。</w:t>
                  </w:r>
                </w:p>
              </w:tc>
              <w:tc>
                <w:tcPr>
                  <w:tcW w:w="22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不属于海洋工程建设项目</w:t>
                  </w:r>
                  <w:r>
                    <w:rPr>
                      <w:rFonts w:hint="default" w:ascii="Times New Roman" w:hAnsi="Times New Roman" w:cs="Times New Roman"/>
                      <w:color w:val="auto"/>
                      <w:sz w:val="18"/>
                      <w:szCs w:val="18"/>
                      <w:lang w:eastAsia="zh-CN"/>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地下水</w:t>
                  </w:r>
                </w:p>
              </w:tc>
              <w:tc>
                <w:tcPr>
                  <w:tcW w:w="34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涉及集中式饮用水水源和热水、矿泉水、温泉等特殊地下水资源保护区</w:t>
                  </w:r>
                  <w:r>
                    <w:rPr>
                      <w:rFonts w:hint="default" w:ascii="Times New Roman" w:hAnsi="Times New Roman" w:cs="Times New Roman"/>
                      <w:color w:val="auto"/>
                      <w:sz w:val="18"/>
                      <w:szCs w:val="18"/>
                      <w:lang w:eastAsia="zh-CN"/>
                    </w:rPr>
                    <w:t>。</w:t>
                  </w:r>
                </w:p>
              </w:tc>
              <w:tc>
                <w:tcPr>
                  <w:tcW w:w="22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本项目不涉及集中式饮用水水源和热水、矿泉水、温泉等特殊地下水资源保护区</w:t>
                  </w:r>
                  <w:r>
                    <w:rPr>
                      <w:rFonts w:hint="default" w:ascii="Times New Roman" w:hAnsi="Times New Roman" w:cs="Times New Roman"/>
                      <w:color w:val="auto"/>
                      <w:sz w:val="18"/>
                      <w:szCs w:val="18"/>
                      <w:lang w:eastAsia="zh-CN"/>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8" w:hRule="atLeast"/>
                <w:jc w:val="center"/>
              </w:trPr>
              <w:tc>
                <w:tcPr>
                  <w:tcW w:w="695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pPr>
              <w:autoSpaceDE w:val="0"/>
              <w:autoSpaceDN w:val="0"/>
              <w:adjustRightInd w:val="0"/>
              <w:snapToGrid w:val="0"/>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规划情况</w:t>
            </w:r>
          </w:p>
        </w:tc>
        <w:tc>
          <w:tcPr>
            <w:tcW w:w="7969" w:type="dxa"/>
            <w:gridSpan w:val="4"/>
            <w:noWrap w:val="0"/>
            <w:vAlign w:val="center"/>
          </w:tcPr>
          <w:p>
            <w:pPr>
              <w:autoSpaceDE w:val="0"/>
              <w:autoSpaceDN w:val="0"/>
              <w:adjustRightInd w:val="0"/>
              <w:snapToGri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规划名称：四川达州普光经济开发区总体规划（2019-2035）</w:t>
            </w:r>
          </w:p>
          <w:p>
            <w:pPr>
              <w:autoSpaceDE w:val="0"/>
              <w:autoSpaceDN w:val="0"/>
              <w:adjustRightInd w:val="0"/>
              <w:snapToGrid w:val="0"/>
              <w:spacing w:line="400" w:lineRule="exact"/>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highlight w:val="none"/>
              </w:rPr>
              <w:t>审批机关：</w:t>
            </w:r>
            <w:r>
              <w:rPr>
                <w:rFonts w:hint="default" w:ascii="Times New Roman" w:hAnsi="Times New Roman" w:cs="Times New Roman"/>
                <w:color w:val="auto"/>
                <w:kern w:val="0"/>
                <w:szCs w:val="21"/>
                <w:highlight w:val="none"/>
                <w:lang w:val="en-US" w:eastAsia="zh-CN"/>
              </w:rPr>
              <w:t>四川省发展和改革委员会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规划环境影响评价情况</w:t>
            </w:r>
          </w:p>
        </w:tc>
        <w:tc>
          <w:tcPr>
            <w:tcW w:w="7969" w:type="dxa"/>
            <w:gridSpan w:val="4"/>
            <w:noWrap w:val="0"/>
            <w:vAlign w:val="center"/>
          </w:tcPr>
          <w:p>
            <w:pPr>
              <w:autoSpaceDE w:val="0"/>
              <w:autoSpaceDN w:val="0"/>
              <w:adjustRightInd w:val="0"/>
              <w:snapToGrid w:val="0"/>
              <w:spacing w:line="400" w:lineRule="exact"/>
              <w:jc w:val="left"/>
              <w:rPr>
                <w:rFonts w:hint="default" w:ascii="Times New Roman" w:hAnsi="Times New Roman" w:cs="Times New Roman"/>
                <w:color w:val="auto"/>
                <w:spacing w:val="-6"/>
                <w:kern w:val="0"/>
                <w:sz w:val="21"/>
                <w:szCs w:val="21"/>
                <w:highlight w:val="none"/>
              </w:rPr>
            </w:pPr>
            <w:r>
              <w:rPr>
                <w:rFonts w:hint="default" w:ascii="Times New Roman" w:hAnsi="Times New Roman" w:cs="Times New Roman"/>
                <w:color w:val="auto"/>
                <w:spacing w:val="-6"/>
                <w:kern w:val="0"/>
                <w:sz w:val="21"/>
                <w:szCs w:val="21"/>
                <w:highlight w:val="none"/>
              </w:rPr>
              <w:t>规划环评文件名称：《四川达州普光经济开发区总体规划（2019-2035）环境影响报告书》</w:t>
            </w:r>
          </w:p>
          <w:p>
            <w:pPr>
              <w:autoSpaceDE w:val="0"/>
              <w:autoSpaceDN w:val="0"/>
              <w:adjustRightInd w:val="0"/>
              <w:snapToGrid w:val="0"/>
              <w:spacing w:line="400" w:lineRule="exact"/>
              <w:jc w:val="left"/>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审批机关：</w:t>
            </w:r>
            <w:r>
              <w:rPr>
                <w:rFonts w:hint="default" w:ascii="Times New Roman" w:hAnsi="Times New Roman" w:cs="Times New Roman"/>
                <w:color w:val="auto"/>
                <w:kern w:val="0"/>
                <w:szCs w:val="21"/>
                <w:highlight w:val="none"/>
                <w:lang w:val="en-US" w:eastAsia="zh-CN"/>
              </w:rPr>
              <w:t>四川省</w:t>
            </w:r>
            <w:r>
              <w:rPr>
                <w:rFonts w:hint="default" w:ascii="Times New Roman" w:hAnsi="Times New Roman" w:cs="Times New Roman"/>
                <w:color w:val="auto"/>
                <w:kern w:val="0"/>
                <w:szCs w:val="21"/>
                <w:highlight w:val="none"/>
              </w:rPr>
              <w:t>生态环境</w:t>
            </w:r>
            <w:r>
              <w:rPr>
                <w:rFonts w:hint="default" w:ascii="Times New Roman" w:hAnsi="Times New Roman" w:cs="Times New Roman"/>
                <w:color w:val="auto"/>
                <w:kern w:val="0"/>
                <w:szCs w:val="21"/>
                <w:highlight w:val="none"/>
                <w:lang w:val="en-US" w:eastAsia="zh-CN"/>
              </w:rPr>
              <w:t>厅</w:t>
            </w:r>
          </w:p>
          <w:p>
            <w:pPr>
              <w:autoSpaceDE w:val="0"/>
              <w:autoSpaceDN w:val="0"/>
              <w:adjustRightInd w:val="0"/>
              <w:snapToGrid w:val="0"/>
              <w:spacing w:line="400" w:lineRule="exact"/>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highlight w:val="none"/>
              </w:rPr>
              <w:t>文件名称及文号：关于印发《四川达州普光经济开发区总体规划</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2019</w:t>
            </w:r>
            <w:r>
              <w:rPr>
                <w:rFonts w:hint="eastAsia" w:cs="Times New Roman"/>
                <w:color w:val="auto"/>
                <w:kern w:val="0"/>
                <w:szCs w:val="21"/>
                <w:highlight w:val="none"/>
                <w:lang w:val="en-US" w:eastAsia="zh-CN"/>
              </w:rPr>
              <w:t>-</w:t>
            </w:r>
            <w:r>
              <w:rPr>
                <w:rFonts w:hint="default" w:ascii="Times New Roman" w:hAnsi="Times New Roman" w:cs="Times New Roman"/>
                <w:color w:val="auto"/>
                <w:kern w:val="0"/>
                <w:szCs w:val="21"/>
                <w:highlight w:val="none"/>
              </w:rPr>
              <w:t>2035</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环境影响报告书》审查意见的函（川环建函〔2021〕9号）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规划及规划环境影响评价符合性分析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规划及规划环境影响评价符合性分析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规划及规划环境影响评价符合性分析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tc>
        <w:tc>
          <w:tcPr>
            <w:tcW w:w="7969" w:type="dxa"/>
            <w:gridSpan w:val="4"/>
            <w:noWrap w:val="0"/>
            <w:vAlign w:val="center"/>
          </w:tcPr>
          <w:p>
            <w:pPr>
              <w:numPr>
                <w:ilvl w:val="0"/>
                <w:numId w:val="2"/>
              </w:numPr>
              <w:adjustRightInd w:val="0"/>
              <w:snapToGrid w:val="0"/>
              <w:spacing w:line="400" w:lineRule="exact"/>
              <w:ind w:left="-53" w:leftChars="-25" w:right="-53" w:rightChars="-25" w:firstLine="420" w:firstLineChars="200"/>
              <w:jc w:val="left"/>
              <w:rPr>
                <w:rFonts w:hint="default" w:ascii="Times New Roman" w:hAnsi="Times New Roman" w:eastAsia="黑体" w:cs="Times New Roman"/>
                <w:bCs/>
                <w:color w:val="auto"/>
                <w:szCs w:val="21"/>
                <w:highlight w:val="none"/>
              </w:rPr>
            </w:pPr>
            <w:r>
              <w:rPr>
                <w:rFonts w:hint="default" w:ascii="Times New Roman" w:hAnsi="Times New Roman" w:eastAsia="黑体" w:cs="Times New Roman"/>
                <w:bCs/>
                <w:color w:val="auto"/>
                <w:szCs w:val="21"/>
                <w:highlight w:val="none"/>
              </w:rPr>
              <w:t>与《四川达州普光经济开发区总体规划（2019-2035）》符合性分析</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根据《四川达州普光经济开发区总体规划（2019-2035）</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，四川达州普光经济开发区</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以下简称“普光经开区”</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规划范围总计29.95km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，分为东区、西区两个片区，其中西区25.93km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东区4.02km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。西区包括普光功能区、柳池功能区、方斗功能区，东区包括南坝功能区、独树梁功能区、五宝功能区。</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lang w:val="en-US" w:eastAsia="zh-CN"/>
              </w:rPr>
              <w:t>发展定位与目标</w:t>
            </w:r>
            <w:r>
              <w:rPr>
                <w:rFonts w:hint="default" w:ascii="Times New Roman" w:hAnsi="Times New Roman" w:cs="Times New Roman"/>
                <w:color w:val="auto"/>
                <w:kern w:val="0"/>
                <w:szCs w:val="21"/>
                <w:highlight w:val="none"/>
                <w:lang w:val="en-US" w:eastAsia="zh-CN"/>
              </w:rPr>
              <w:t>：</w:t>
            </w:r>
            <w:r>
              <w:rPr>
                <w:rFonts w:hint="default" w:ascii="Times New Roman" w:hAnsi="Times New Roman" w:cs="Times New Roman"/>
                <w:color w:val="auto"/>
                <w:kern w:val="0"/>
                <w:szCs w:val="21"/>
                <w:highlight w:val="none"/>
              </w:rPr>
              <w:t>规划将普光经济开发区定位为“一区四基地”，即：创新型“气卤”资源综合利用示范区；国家新能源与新材料产业示范基地；国家天然气能源化工基地；西南冶金建材生产基地；川东北特色农产品加工基地。规划至2035年，普光经济开发区将形成2个“千亿产业”、1个“五百亿产业”、1个“两百亿产业”、2个“百亿产业”的产业发展目标，整体实现3000亿产值目标。</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产业布局</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①</w:t>
            </w:r>
            <w:r>
              <w:rPr>
                <w:rFonts w:hint="default" w:ascii="Times New Roman" w:hAnsi="Times New Roman" w:cs="Times New Roman"/>
                <w:color w:val="auto"/>
                <w:kern w:val="0"/>
                <w:szCs w:val="21"/>
                <w:highlight w:val="none"/>
              </w:rPr>
              <w:t>西区产业布局</w:t>
            </w:r>
            <w:bookmarkStart w:id="2" w:name="_Hlk16085680"/>
            <w:r>
              <w:rPr>
                <w:rFonts w:hint="default" w:ascii="Times New Roman" w:hAnsi="Times New Roman" w:cs="Times New Roman"/>
                <w:color w:val="auto"/>
                <w:kern w:val="0"/>
                <w:szCs w:val="21"/>
                <w:highlight w:val="none"/>
                <w:lang w:eastAsia="zh-CN"/>
              </w:rPr>
              <w:t>：</w:t>
            </w:r>
            <w:bookmarkEnd w:id="2"/>
            <w:r>
              <w:rPr>
                <w:rFonts w:hint="default" w:ascii="Times New Roman" w:hAnsi="Times New Roman" w:cs="Times New Roman"/>
                <w:color w:val="auto"/>
                <w:kern w:val="0"/>
                <w:szCs w:val="21"/>
                <w:highlight w:val="none"/>
              </w:rPr>
              <w:t>西区规划形成天然气开采及其综合利用组团、锂钾开采及其综合利用组团、农副产品加工组团、机械建材制造组团、冶金制造组团。</w:t>
            </w:r>
            <w:r>
              <w:rPr>
                <w:rFonts w:hint="default" w:ascii="Times New Roman" w:hAnsi="Times New Roman" w:cs="Times New Roman"/>
                <w:color w:val="auto"/>
                <w:kern w:val="0"/>
                <w:szCs w:val="21"/>
                <w:highlight w:val="none"/>
                <w:lang w:val="en-US" w:eastAsia="zh-CN"/>
              </w:rPr>
              <w:t>②</w:t>
            </w:r>
            <w:r>
              <w:rPr>
                <w:rFonts w:hint="default" w:ascii="Times New Roman" w:hAnsi="Times New Roman" w:cs="Times New Roman"/>
                <w:color w:val="auto"/>
                <w:kern w:val="0"/>
                <w:szCs w:val="21"/>
                <w:highlight w:val="none"/>
              </w:rPr>
              <w:t>东区产业布局结构</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东区规划形成三大功能组团，包括天然气净化组团，独树梁、五宝功能区的农副产品加工组团。</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其中</w:t>
            </w:r>
            <w:r>
              <w:rPr>
                <w:rFonts w:hint="default" w:ascii="Times New Roman" w:hAnsi="Times New Roman" w:cs="Times New Roman"/>
                <w:b/>
                <w:bCs/>
                <w:color w:val="auto"/>
                <w:kern w:val="0"/>
                <w:szCs w:val="21"/>
                <w:highlight w:val="none"/>
              </w:rPr>
              <w:t>柳池功能区</w:t>
            </w:r>
            <w:r>
              <w:rPr>
                <w:rFonts w:hint="default" w:ascii="Times New Roman" w:hAnsi="Times New Roman" w:cs="Times New Roman"/>
                <w:color w:val="auto"/>
                <w:kern w:val="0"/>
                <w:szCs w:val="21"/>
                <w:highlight w:val="none"/>
              </w:rPr>
              <w:t>规划如下：</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lang w:val="en-US" w:eastAsia="zh-CN"/>
              </w:rPr>
              <w:t>规划范围</w:t>
            </w:r>
            <w:r>
              <w:rPr>
                <w:rFonts w:hint="default" w:ascii="Times New Roman" w:hAnsi="Times New Roman" w:cs="Times New Roman"/>
                <w:color w:val="auto"/>
                <w:kern w:val="0"/>
                <w:szCs w:val="21"/>
                <w:highlight w:val="none"/>
              </w:rPr>
              <w:t>：位于柳池镇辖区内，北至石堰村，西至陈家梁上安置区，东靠俞家湾，规划面积6.9567km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lang w:val="en-US" w:eastAsia="zh-CN"/>
              </w:rPr>
              <w:t>主导产业</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柳池功能区主导产业为</w:t>
            </w:r>
            <w:r>
              <w:rPr>
                <w:rFonts w:hint="default" w:ascii="Times New Roman" w:hAnsi="Times New Roman" w:cs="Times New Roman"/>
                <w:color w:val="auto"/>
                <w:kern w:val="0"/>
                <w:szCs w:val="21"/>
                <w:highlight w:val="none"/>
              </w:rPr>
              <w:t>机械建材、装备制造、汽车零部件制造、冶金制造。发展能源依托型的冶金产业，打造有色金属产业链，积极发展冶金精深加工产品；促进机械建材与冶金、汽车零部件制造等产业协同发展。</w:t>
            </w:r>
          </w:p>
          <w:p>
            <w:pPr>
              <w:autoSpaceDE w:val="0"/>
              <w:autoSpaceDN w:val="0"/>
              <w:adjustRightInd w:val="0"/>
              <w:snapToGrid w:val="0"/>
              <w:spacing w:line="400" w:lineRule="exact"/>
              <w:ind w:firstLine="420" w:firstLineChars="200"/>
              <w:jc w:val="both"/>
              <w:rPr>
                <w:rFonts w:hint="default" w:ascii="Times New Roman" w:hAnsi="Times New Roman" w:cs="Times New Roman"/>
                <w:b/>
                <w:bCs/>
                <w:color w:val="auto"/>
                <w:kern w:val="0"/>
                <w:szCs w:val="21"/>
                <w:highlight w:val="none"/>
              </w:rPr>
            </w:pPr>
            <w:r>
              <w:rPr>
                <w:rFonts w:hint="default" w:ascii="Times New Roman" w:hAnsi="Times New Roman" w:cs="Times New Roman"/>
                <w:color w:val="auto"/>
                <w:kern w:val="0"/>
                <w:szCs w:val="21"/>
                <w:highlight w:val="none"/>
              </w:rPr>
              <w:t>根据《四川达州普光经济开发区总体规划（2019-2035）》</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本项目租用的</w:t>
            </w:r>
            <w:r>
              <w:rPr>
                <w:rFonts w:hint="eastAsia" w:cs="Times New Roman"/>
                <w:color w:val="auto"/>
                <w:kern w:val="0"/>
                <w:szCs w:val="21"/>
                <w:highlight w:val="none"/>
                <w:lang w:val="en-US" w:eastAsia="zh-CN"/>
              </w:rPr>
              <w:t>四川君璜建材有限公司</w:t>
            </w:r>
            <w:r>
              <w:rPr>
                <w:rFonts w:hint="default" w:ascii="Times New Roman" w:hAnsi="Times New Roman" w:cs="Times New Roman"/>
                <w:color w:val="auto"/>
                <w:kern w:val="0"/>
                <w:szCs w:val="21"/>
                <w:highlight w:val="none"/>
                <w:lang w:val="en-US" w:eastAsia="zh-CN"/>
              </w:rPr>
              <w:t>（已停产）厂房位于普光经开区西区的柳池功能区</w:t>
            </w:r>
            <w:r>
              <w:rPr>
                <w:rFonts w:hint="eastAsia" w:cs="Times New Roman"/>
                <w:color w:val="auto"/>
                <w:kern w:val="0"/>
                <w:szCs w:val="21"/>
                <w:highlight w:val="none"/>
                <w:lang w:val="en-US" w:eastAsia="zh-CN"/>
              </w:rPr>
              <w:t>中</w:t>
            </w:r>
            <w:r>
              <w:rPr>
                <w:rFonts w:hint="default" w:ascii="Times New Roman" w:hAnsi="Times New Roman" w:cs="Times New Roman"/>
                <w:color w:val="auto"/>
                <w:kern w:val="0"/>
                <w:szCs w:val="21"/>
                <w:highlight w:val="none"/>
                <w:lang w:val="en-US" w:eastAsia="zh-CN"/>
              </w:rPr>
              <w:t>部，利用闲置厂房建设，不增加占地，同时提高空置厂房的利用率。柳池功能区主导的机械建材、装备制造、汽车零部件制造、冶金制造等产业运行中将会产生大量的废矿物油，需要一家有资质的单位收集。本项目为废矿物油收集储存项目，属于为园区主导产业服务的配套产业，有利于园区产业的协同发展。因此，项目符合</w:t>
            </w:r>
            <w:r>
              <w:rPr>
                <w:rFonts w:hint="default" w:ascii="Times New Roman" w:hAnsi="Times New Roman" w:cs="Times New Roman"/>
                <w:color w:val="auto"/>
                <w:kern w:val="0"/>
                <w:szCs w:val="21"/>
                <w:highlight w:val="none"/>
              </w:rPr>
              <w:t>《四川达州普光经济开发区总体规划（2019-2035）》。</w:t>
            </w:r>
          </w:p>
          <w:p>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53" w:leftChars="-25" w:right="-53" w:rightChars="-25" w:firstLine="396" w:firstLineChars="200"/>
              <w:jc w:val="left"/>
              <w:textAlignment w:val="auto"/>
              <w:rPr>
                <w:rFonts w:hint="default" w:ascii="Times New Roman" w:hAnsi="Times New Roman" w:eastAsia="黑体" w:cs="Times New Roman"/>
                <w:bCs/>
                <w:color w:val="auto"/>
                <w:spacing w:val="-6"/>
                <w:szCs w:val="21"/>
                <w:highlight w:val="none"/>
              </w:rPr>
            </w:pPr>
            <w:r>
              <w:rPr>
                <w:rFonts w:hint="default" w:ascii="Times New Roman" w:hAnsi="Times New Roman" w:eastAsia="黑体" w:cs="Times New Roman"/>
                <w:bCs/>
                <w:color w:val="auto"/>
                <w:spacing w:val="-6"/>
                <w:szCs w:val="21"/>
                <w:highlight w:val="none"/>
              </w:rPr>
              <w:t>与《</w:t>
            </w:r>
            <w:r>
              <w:rPr>
                <w:rFonts w:hint="default" w:ascii="Times New Roman" w:hAnsi="Times New Roman" w:eastAsia="黑体" w:cs="Times New Roman"/>
                <w:bCs/>
                <w:color w:val="auto"/>
                <w:szCs w:val="21"/>
                <w:highlight w:val="none"/>
              </w:rPr>
              <w:t>四川</w:t>
            </w:r>
            <w:r>
              <w:rPr>
                <w:rFonts w:hint="default" w:ascii="Times New Roman" w:hAnsi="Times New Roman" w:eastAsia="黑体" w:cs="Times New Roman"/>
                <w:bCs/>
                <w:color w:val="auto"/>
                <w:spacing w:val="-6"/>
                <w:szCs w:val="21"/>
                <w:highlight w:val="none"/>
              </w:rPr>
              <w:t>达州普光经济开发区总体规划（2019-2035）环境影响报告书》及审查意见的符合性分析</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《四川达州普光经济开发区总体规划（2019-2035）环境影响报告书》</w:t>
            </w:r>
            <w:r>
              <w:rPr>
                <w:rFonts w:hint="default" w:ascii="Times New Roman" w:hAnsi="Times New Roman" w:cs="Times New Roman"/>
                <w:color w:val="auto"/>
                <w:kern w:val="0"/>
                <w:szCs w:val="21"/>
                <w:highlight w:val="none"/>
                <w:lang w:val="en-US" w:eastAsia="zh-CN"/>
              </w:rPr>
              <w:t>于2020年12月10日通过了技术审查会，四川省生态环境厅于2021年3月19日印发了《关于&lt;</w:t>
            </w:r>
            <w:r>
              <w:rPr>
                <w:rFonts w:hint="default" w:ascii="Times New Roman" w:hAnsi="Times New Roman" w:cs="Times New Roman"/>
                <w:color w:val="auto"/>
                <w:kern w:val="0"/>
                <w:szCs w:val="21"/>
                <w:highlight w:val="none"/>
              </w:rPr>
              <w:t>四川达州普光经济开发区总体规划（2019-2035）环境影响报告书</w:t>
            </w:r>
            <w:r>
              <w:rPr>
                <w:rFonts w:hint="default" w:ascii="Times New Roman" w:hAnsi="Times New Roman" w:cs="Times New Roman"/>
                <w:color w:val="auto"/>
                <w:kern w:val="0"/>
                <w:szCs w:val="21"/>
                <w:highlight w:val="none"/>
                <w:lang w:val="en-US" w:eastAsia="zh-CN"/>
              </w:rPr>
              <w:t>&gt;审查意见的函》（川环建函</w:t>
            </w:r>
            <w:r>
              <w:rPr>
                <w:rFonts w:hint="default" w:ascii="Times New Roman" w:hAnsi="Times New Roman" w:eastAsia="新宋体" w:cs="Times New Roman"/>
                <w:color w:val="auto"/>
                <w:kern w:val="0"/>
                <w:szCs w:val="21"/>
                <w:highlight w:val="none"/>
                <w:lang w:val="en-US" w:eastAsia="zh-CN"/>
              </w:rPr>
              <w:t>〔</w:t>
            </w:r>
            <w:r>
              <w:rPr>
                <w:rFonts w:hint="default" w:ascii="Times New Roman" w:hAnsi="Times New Roman" w:cs="Times New Roman"/>
                <w:color w:val="auto"/>
                <w:kern w:val="0"/>
                <w:szCs w:val="21"/>
                <w:highlight w:val="none"/>
                <w:lang w:val="en-US" w:eastAsia="zh-CN"/>
              </w:rPr>
              <w:t>2021</w:t>
            </w:r>
            <w:r>
              <w:rPr>
                <w:rFonts w:hint="default" w:ascii="Times New Roman" w:hAnsi="Times New Roman" w:eastAsia="新宋体" w:cs="Times New Roman"/>
                <w:color w:val="auto"/>
                <w:kern w:val="0"/>
                <w:szCs w:val="21"/>
                <w:highlight w:val="none"/>
                <w:lang w:val="en-US" w:eastAsia="zh-CN"/>
              </w:rPr>
              <w:t>〕</w:t>
            </w:r>
            <w:r>
              <w:rPr>
                <w:rFonts w:hint="default" w:ascii="Times New Roman" w:hAnsi="Times New Roman" w:cs="Times New Roman"/>
                <w:color w:val="auto"/>
                <w:kern w:val="0"/>
                <w:szCs w:val="21"/>
                <w:highlight w:val="none"/>
                <w:lang w:val="en-US" w:eastAsia="zh-CN"/>
              </w:rPr>
              <w:t>9号）。</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项目与</w:t>
            </w:r>
            <w:r>
              <w:rPr>
                <w:rFonts w:hint="default" w:ascii="Times New Roman" w:hAnsi="Times New Roman" w:cs="Times New Roman"/>
                <w:color w:val="auto"/>
                <w:kern w:val="0"/>
                <w:szCs w:val="21"/>
                <w:highlight w:val="none"/>
              </w:rPr>
              <w:t>《四川达州普光经济开发区总体规划（2019-2035）环境影响报告书》及其</w:t>
            </w:r>
            <w:r>
              <w:rPr>
                <w:rFonts w:hint="default" w:ascii="Times New Roman" w:hAnsi="Times New Roman" w:cs="Times New Roman"/>
                <w:color w:val="auto"/>
                <w:kern w:val="0"/>
                <w:szCs w:val="21"/>
                <w:highlight w:val="none"/>
                <w:lang w:val="en-US" w:eastAsia="zh-CN"/>
              </w:rPr>
              <w:t>审查</w:t>
            </w:r>
            <w:r>
              <w:rPr>
                <w:rFonts w:hint="default" w:ascii="Times New Roman" w:hAnsi="Times New Roman" w:cs="Times New Roman"/>
                <w:color w:val="auto"/>
                <w:kern w:val="0"/>
                <w:szCs w:val="21"/>
                <w:highlight w:val="none"/>
              </w:rPr>
              <w:t>意见的符合性分析如下：</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（1）</w:t>
            </w:r>
            <w:r>
              <w:rPr>
                <w:rFonts w:hint="default" w:ascii="Times New Roman" w:hAnsi="Times New Roman" w:cs="Times New Roman"/>
                <w:color w:val="auto"/>
                <w:kern w:val="0"/>
                <w:szCs w:val="21"/>
                <w:highlight w:val="none"/>
                <w:lang w:val="en-US" w:eastAsia="zh-CN"/>
              </w:rPr>
              <w:t>针对</w:t>
            </w:r>
            <w:r>
              <w:rPr>
                <w:rFonts w:hint="default" w:ascii="Times New Roman" w:hAnsi="Times New Roman" w:cs="Times New Roman"/>
                <w:color w:val="auto"/>
                <w:kern w:val="0"/>
                <w:szCs w:val="21"/>
                <w:highlight w:val="none"/>
                <w:lang w:eastAsia="zh-CN"/>
              </w:rPr>
              <w:t>宣汉县PM</w:t>
            </w:r>
            <w:r>
              <w:rPr>
                <w:rFonts w:hint="default" w:ascii="Times New Roman" w:hAnsi="Times New Roman" w:cs="Times New Roman"/>
                <w:color w:val="auto"/>
                <w:kern w:val="0"/>
                <w:sz w:val="21"/>
                <w:szCs w:val="21"/>
                <w:highlight w:val="none"/>
                <w:vertAlign w:val="subscript"/>
                <w:lang w:eastAsia="zh-CN"/>
              </w:rPr>
              <w:t>2.5</w:t>
            </w:r>
            <w:r>
              <w:rPr>
                <w:rFonts w:hint="default" w:ascii="Times New Roman" w:hAnsi="Times New Roman" w:cs="Times New Roman"/>
                <w:color w:val="auto"/>
                <w:kern w:val="0"/>
                <w:szCs w:val="21"/>
                <w:highlight w:val="none"/>
                <w:lang w:eastAsia="zh-CN"/>
              </w:rPr>
              <w:t>保证率日均值超标，</w:t>
            </w:r>
            <w:r>
              <w:rPr>
                <w:rFonts w:hint="default" w:ascii="Times New Roman" w:hAnsi="Times New Roman" w:cs="Times New Roman"/>
                <w:color w:val="auto"/>
                <w:kern w:val="0"/>
                <w:szCs w:val="21"/>
                <w:highlight w:val="none"/>
                <w:lang w:val="en-US" w:eastAsia="zh-CN"/>
              </w:rPr>
              <w:t>①应</w:t>
            </w:r>
            <w:r>
              <w:rPr>
                <w:rFonts w:hint="default" w:ascii="Times New Roman" w:hAnsi="Times New Roman" w:cs="Times New Roman"/>
                <w:color w:val="auto"/>
                <w:kern w:val="0"/>
                <w:szCs w:val="21"/>
                <w:highlight w:val="none"/>
                <w:lang w:eastAsia="zh-CN"/>
              </w:rPr>
              <w:t>严格落实《达州市大气环境质量限期达标规划（2018-2030年）》相关措施，完成达标任务。</w:t>
            </w:r>
            <w:r>
              <w:rPr>
                <w:rFonts w:hint="default" w:ascii="Times New Roman" w:hAnsi="Times New Roman" w:cs="Times New Roman"/>
                <w:color w:val="auto"/>
                <w:kern w:val="0"/>
                <w:szCs w:val="21"/>
                <w:highlight w:val="none"/>
                <w:lang w:val="en-US" w:eastAsia="zh-CN"/>
              </w:rPr>
              <w:t>②</w:t>
            </w:r>
            <w:r>
              <w:rPr>
                <w:rFonts w:hint="default" w:ascii="Times New Roman" w:hAnsi="Times New Roman" w:cs="Times New Roman"/>
                <w:color w:val="auto"/>
                <w:kern w:val="0"/>
                <w:szCs w:val="21"/>
                <w:highlight w:val="none"/>
                <w:lang w:eastAsia="zh-CN"/>
              </w:rPr>
              <w:t>新建企业以天然气或电为能源，不使用燃煤等高污染燃料；现有企业应采取严格的脱硫、除尘、脱硝等治理措施，现有燃煤锅炉适时实施煤改气。</w:t>
            </w:r>
            <w:r>
              <w:rPr>
                <w:rFonts w:hint="default" w:ascii="Times New Roman" w:hAnsi="Times New Roman" w:cs="Times New Roman"/>
                <w:color w:val="auto"/>
                <w:kern w:val="0"/>
                <w:szCs w:val="21"/>
                <w:highlight w:val="none"/>
                <w:lang w:val="en-US" w:eastAsia="zh-CN"/>
              </w:rPr>
              <w:t>③</w:t>
            </w:r>
            <w:r>
              <w:rPr>
                <w:rFonts w:hint="default" w:ascii="Times New Roman" w:hAnsi="Times New Roman" w:cs="Times New Roman"/>
                <w:color w:val="auto"/>
                <w:kern w:val="0"/>
                <w:szCs w:val="21"/>
                <w:highlight w:val="none"/>
                <w:lang w:eastAsia="zh-CN"/>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eastAsia="zh-CN"/>
              </w:rPr>
              <w:t>（2）</w:t>
            </w:r>
            <w:r>
              <w:rPr>
                <w:rFonts w:hint="default" w:ascii="Times New Roman" w:hAnsi="Times New Roman" w:cs="Times New Roman"/>
                <w:color w:val="auto"/>
                <w:kern w:val="0"/>
                <w:szCs w:val="21"/>
                <w:highlight w:val="none"/>
                <w:lang w:val="en-US" w:eastAsia="zh-CN"/>
              </w:rPr>
              <w:t>柳池功能区</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①禁止引入以原矿为原料的有色金属冶炼、印染、皮革鞣制、制浆造纸、印制电路板、专业电镀、化工项目。</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②园区中部涉及部分倒班用房，建议根据园区发展情况逐步拆除或转变功能；柳池场镇不再扩大规模，靠近柳池场镇的工业用地应留出足够的防护距离。</w:t>
            </w:r>
          </w:p>
          <w:p>
            <w:pPr>
              <w:autoSpaceDE w:val="0"/>
              <w:autoSpaceDN w:val="0"/>
              <w:adjustRightInd w:val="0"/>
              <w:snapToGrid w:val="0"/>
              <w:spacing w:line="400" w:lineRule="exact"/>
              <w:ind w:firstLine="420" w:firstLineChars="200"/>
              <w:jc w:val="both"/>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根据达州市生态环境局官方网站2023年1月18日发布的《202</w:t>
            </w:r>
            <w:r>
              <w:rPr>
                <w:rFonts w:hint="eastAsia" w:cs="Times New Roman"/>
                <w:color w:val="auto"/>
                <w:kern w:val="0"/>
                <w:szCs w:val="21"/>
                <w:highlight w:val="none"/>
                <w:lang w:val="en-US" w:eastAsia="zh-CN"/>
              </w:rPr>
              <w:t>2</w:t>
            </w:r>
            <w:r>
              <w:rPr>
                <w:rFonts w:hint="default" w:ascii="Times New Roman" w:hAnsi="Times New Roman" w:cs="Times New Roman"/>
                <w:color w:val="auto"/>
                <w:kern w:val="0"/>
                <w:szCs w:val="21"/>
                <w:highlight w:val="none"/>
                <w:lang w:val="en-US" w:eastAsia="zh-CN"/>
              </w:rPr>
              <w:t>年达州市生态环境状况公报》，</w:t>
            </w:r>
            <w:r>
              <w:rPr>
                <w:rFonts w:hint="default" w:ascii="Times New Roman" w:hAnsi="Times New Roman" w:cs="Times New Roman"/>
                <w:color w:val="auto"/>
                <w:kern w:val="0"/>
                <w:szCs w:val="21"/>
              </w:rPr>
              <w:t>宣汉县SO</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、NO</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、PM</w:t>
            </w:r>
            <w:r>
              <w:rPr>
                <w:rFonts w:hint="default" w:ascii="Times New Roman" w:hAnsi="Times New Roman" w:cs="Times New Roman"/>
                <w:color w:val="auto"/>
                <w:kern w:val="0"/>
                <w:szCs w:val="21"/>
                <w:vertAlign w:val="subscript"/>
              </w:rPr>
              <w:t>10</w:t>
            </w:r>
            <w:r>
              <w:rPr>
                <w:rFonts w:hint="default" w:ascii="Times New Roman" w:hAnsi="Times New Roman" w:cs="Times New Roman"/>
                <w:color w:val="auto"/>
                <w:kern w:val="0"/>
                <w:szCs w:val="21"/>
              </w:rPr>
              <w:t>、CO、O</w:t>
            </w:r>
            <w:r>
              <w:rPr>
                <w:rFonts w:hint="default" w:ascii="Times New Roman" w:hAnsi="Times New Roman" w:cs="Times New Roman"/>
                <w:color w:val="auto"/>
                <w:kern w:val="0"/>
                <w:szCs w:val="21"/>
                <w:vertAlign w:val="subscript"/>
              </w:rPr>
              <w:t>3</w:t>
            </w:r>
            <w:r>
              <w:rPr>
                <w:rFonts w:hint="default" w:ascii="Times New Roman" w:hAnsi="Times New Roman" w:cs="Times New Roman"/>
                <w:color w:val="auto"/>
                <w:kern w:val="0"/>
                <w:szCs w:val="21"/>
              </w:rPr>
              <w:t>和PM</w:t>
            </w:r>
            <w:r>
              <w:rPr>
                <w:rFonts w:hint="default" w:ascii="Times New Roman" w:hAnsi="Times New Roman" w:cs="Times New Roman"/>
                <w:color w:val="auto"/>
                <w:kern w:val="0"/>
                <w:szCs w:val="21"/>
                <w:vertAlign w:val="subscript"/>
              </w:rPr>
              <w:t>2.5</w:t>
            </w:r>
            <w:r>
              <w:rPr>
                <w:rFonts w:hint="default" w:ascii="Times New Roman" w:hAnsi="Times New Roman" w:cs="Times New Roman"/>
                <w:color w:val="auto"/>
                <w:kern w:val="0"/>
                <w:szCs w:val="21"/>
              </w:rPr>
              <w:t>年评价结果均达标</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空气质量达标率为9</w:t>
            </w:r>
            <w:r>
              <w:rPr>
                <w:rFonts w:hint="eastAsia" w:cs="Times New Roman"/>
                <w:color w:val="auto"/>
                <w:kern w:val="0"/>
                <w:szCs w:val="21"/>
                <w:lang w:val="en-US" w:eastAsia="zh-CN"/>
              </w:rPr>
              <w:t>7.3</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highlight w:val="none"/>
                <w:lang w:val="en-US" w:eastAsia="zh-CN"/>
              </w:rPr>
              <w:t>区域大气环境质量已完成限期达标的任务，项目建设符合上述要求。</w:t>
            </w:r>
            <w:r>
              <w:rPr>
                <w:rFonts w:hint="default" w:ascii="Times New Roman" w:hAnsi="Times New Roman" w:cs="Times New Roman"/>
                <w:color w:val="auto"/>
                <w:kern w:val="0"/>
                <w:szCs w:val="21"/>
                <w:lang w:val="en-US" w:eastAsia="zh-CN"/>
              </w:rPr>
              <w:t>本项目为废矿物油收集储存项目，不属于禁止引入行业，同时</w:t>
            </w:r>
            <w:r>
              <w:rPr>
                <w:rFonts w:hint="default" w:ascii="Times New Roman" w:hAnsi="Times New Roman" w:cs="Times New Roman"/>
                <w:color w:val="auto"/>
                <w:kern w:val="0"/>
                <w:szCs w:val="21"/>
                <w:highlight w:val="none"/>
                <w:lang w:eastAsia="zh-CN"/>
              </w:rPr>
              <w:t>不使用燃煤等高污染燃料。</w:t>
            </w:r>
            <w:r>
              <w:rPr>
                <w:rFonts w:hint="default" w:ascii="Times New Roman" w:hAnsi="Times New Roman" w:cs="Times New Roman"/>
                <w:color w:val="auto"/>
                <w:kern w:val="0"/>
                <w:szCs w:val="21"/>
                <w:highlight w:val="none"/>
                <w:lang w:val="en-US" w:eastAsia="zh-CN"/>
              </w:rPr>
              <w:t xml:space="preserve">项目与园区环境管控要求和生态环境准入清单的符合性见下表。 </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zh-CN" w:eastAsia="zh-CN"/>
              </w:rPr>
              <w:t>与园区环境管控要求和生态环境准入清单的符合性</w:t>
            </w:r>
            <w:r>
              <w:rPr>
                <w:rFonts w:hint="default" w:ascii="Times New Roman" w:hAnsi="Times New Roman" w:eastAsia="黑体" w:cs="Times New Roman"/>
                <w:color w:val="auto"/>
                <w:kern w:val="0"/>
                <w:sz w:val="20"/>
                <w:szCs w:val="20"/>
                <w:lang w:val="en-US" w:eastAsia="zh-CN"/>
              </w:rPr>
              <w:t>分析</w:t>
            </w:r>
          </w:p>
          <w:tbl>
            <w:tblPr>
              <w:tblStyle w:val="17"/>
              <w:tblW w:w="7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765"/>
              <w:gridCol w:w="3766"/>
              <w:gridCol w:w="1951"/>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blHeader/>
                <w:jc w:val="center"/>
              </w:trPr>
              <w:tc>
                <w:tcPr>
                  <w:tcW w:w="638"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功能区</w:t>
                  </w:r>
                </w:p>
              </w:tc>
              <w:tc>
                <w:tcPr>
                  <w:tcW w:w="765" w:type="dxa"/>
                  <w:shd w:val="clear" w:color="auto" w:fill="auto"/>
                  <w:noWrap w:val="0"/>
                  <w:vAlign w:val="top"/>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类别</w:t>
                  </w:r>
                </w:p>
              </w:tc>
              <w:tc>
                <w:tcPr>
                  <w:tcW w:w="3766"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禁止准入</w:t>
                  </w:r>
                </w:p>
              </w:tc>
              <w:tc>
                <w:tcPr>
                  <w:tcW w:w="195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本项目</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638" w:type="dxa"/>
                  <w:vMerge w:val="restart"/>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总体管控要求及准入清单</w:t>
                  </w:r>
                </w:p>
              </w:tc>
              <w:tc>
                <w:tcPr>
                  <w:tcW w:w="765"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空间布局约束</w:t>
                  </w:r>
                </w:p>
              </w:tc>
              <w:tc>
                <w:tcPr>
                  <w:tcW w:w="3766"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1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①</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经开区生产生活、开发建设活动应当遵守长江保护相关法律法规的要求；</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2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②</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禁止引入与功能区主导产业相禁忌、容易形成交叉影响的项目。</w:t>
                  </w:r>
                </w:p>
              </w:tc>
              <w:tc>
                <w:tcPr>
                  <w:tcW w:w="195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①符合长江保护相关法律法规的要求；②不与功能区主导产业相禁忌、不容易形成交叉影响</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3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65"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污染物排放管控</w:t>
                  </w:r>
                </w:p>
              </w:tc>
              <w:tc>
                <w:tcPr>
                  <w:tcW w:w="3766"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1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①</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禁止引入不符合国家、省、市重金属污染防治规划相关要求的项目；</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2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②</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tc>
              <w:tc>
                <w:tcPr>
                  <w:tcW w:w="195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①不属于禁止引入项目；②执行大气污染物特别排放限值</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3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65"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环境风险防控</w:t>
                  </w:r>
                </w:p>
              </w:tc>
              <w:tc>
                <w:tcPr>
                  <w:tcW w:w="3766"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1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①</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风险源与环境敏感目标保持符合规范要求的安全距离，切实做好危险化学品贮运、使用过程中的安全防范措施，最大程度降低环境风险事故发生的几率；</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2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②</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制定切实可行的环境风险应急预案，定期开展环境风险应急演练，建立与敏感目标的环境风险应急联动机制。</w:t>
                  </w:r>
                </w:p>
              </w:tc>
              <w:tc>
                <w:tcPr>
                  <w:tcW w:w="195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本项目与周围环境敏感目标的距离符合规范要求，运行中将制定环境风险应急预案，定期进行应急演练。</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3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65"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资源开发利用要求</w:t>
                  </w:r>
                </w:p>
              </w:tc>
              <w:tc>
                <w:tcPr>
                  <w:tcW w:w="3766"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1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①</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禁止引入不符合国家产业政策、行业准入条件以及国家和地方明令禁止的项目；</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②禁止引入清洁生产水平达不到行业清洁生产水平二级标准或低于全国同类企业平均清洁生产水平的项目。</w:t>
                  </w:r>
                </w:p>
              </w:tc>
              <w:tc>
                <w:tcPr>
                  <w:tcW w:w="195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①符合国家产业政策、行业准入条件；②清洁生产水平能够达到行业清洁生产水平二级标准</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38" w:type="dxa"/>
                  <w:vMerge w:val="restart"/>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柳池功能区</w:t>
                  </w:r>
                </w:p>
              </w:tc>
              <w:tc>
                <w:tcPr>
                  <w:tcW w:w="765"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空间布局约束</w:t>
                  </w:r>
                </w:p>
              </w:tc>
              <w:tc>
                <w:tcPr>
                  <w:tcW w:w="3766"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禁止引入以原矿为原料的有色金属冶炼、印染、皮革鞣制、制浆造纸、印制电路板、专业电镀、化工项目；</w:t>
                  </w:r>
                </w:p>
              </w:tc>
              <w:tc>
                <w:tcPr>
                  <w:tcW w:w="195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kern w:val="0"/>
                      <w:sz w:val="18"/>
                      <w:szCs w:val="18"/>
                      <w:highlight w:val="none"/>
                      <w:lang w:val="en-US" w:eastAsia="zh-CN"/>
                    </w:rPr>
                    <w:t>不属于禁止引入行业</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3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65"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污染物排放管控</w:t>
                  </w:r>
                </w:p>
              </w:tc>
              <w:tc>
                <w:tcPr>
                  <w:tcW w:w="3766"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执行“总体管控要求及准入清单”。</w:t>
                  </w:r>
                </w:p>
              </w:tc>
              <w:tc>
                <w:tcPr>
                  <w:tcW w:w="195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满足</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3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65"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环境风险防控</w:t>
                  </w:r>
                </w:p>
              </w:tc>
              <w:tc>
                <w:tcPr>
                  <w:tcW w:w="3766"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执行“总体管控要求及准入清单”。</w:t>
                  </w:r>
                </w:p>
              </w:tc>
              <w:tc>
                <w:tcPr>
                  <w:tcW w:w="1951"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满足</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3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65"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资源开发利用要求</w:t>
                  </w:r>
                </w:p>
              </w:tc>
              <w:tc>
                <w:tcPr>
                  <w:tcW w:w="3766"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执行“总体管控要求及准入清单”。</w:t>
                  </w:r>
                </w:p>
              </w:tc>
              <w:tc>
                <w:tcPr>
                  <w:tcW w:w="1951"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满足</w:t>
                  </w:r>
                </w:p>
              </w:tc>
              <w:tc>
                <w:tcPr>
                  <w:tcW w:w="617"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符合</w:t>
                  </w:r>
                </w:p>
              </w:tc>
            </w:tr>
          </w:tbl>
          <w:p>
            <w:pPr>
              <w:autoSpaceDE w:val="0"/>
              <w:autoSpaceDN w:val="0"/>
              <w:adjustRightInd w:val="0"/>
              <w:snapToGrid w:val="0"/>
              <w:spacing w:line="400" w:lineRule="exact"/>
              <w:ind w:firstLine="420" w:firstLineChars="200"/>
              <w:jc w:val="left"/>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由上表可知，项目满足四川达州普光经济开发区总体管控要求、柳池功能区管控要求及准入清单的要求。</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szCs w:val="21"/>
                <w:highlight w:val="none"/>
                <w:lang w:val="en-US" w:eastAsia="zh-CN"/>
              </w:rPr>
              <w:t>因此，本项目与《四川达州普光经济开发区总体规划（2019-2035）环境影响报告书》及其审查意见是相符的。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lang w:eastAsia="zh-CN"/>
              </w:rPr>
            </w:pPr>
          </w:p>
        </w:tc>
        <w:tc>
          <w:tcPr>
            <w:tcW w:w="7969" w:type="dxa"/>
            <w:gridSpan w:val="4"/>
            <w:noWrap w:val="0"/>
            <w:vAlign w:val="center"/>
          </w:tcPr>
          <w:p>
            <w:pPr>
              <w:numPr>
                <w:ilvl w:val="0"/>
                <w:numId w:val="3"/>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eastAsia="zh-CN"/>
              </w:rPr>
            </w:pPr>
            <w:r>
              <w:rPr>
                <w:rFonts w:hint="default" w:ascii="Times New Roman" w:hAnsi="Times New Roman" w:eastAsia="黑体" w:cs="Times New Roman"/>
                <w:color w:val="auto"/>
                <w:kern w:val="0"/>
                <w:sz w:val="22"/>
                <w:szCs w:val="22"/>
                <w:lang w:val="zh-CN" w:eastAsia="zh-CN"/>
              </w:rPr>
              <w:t>产业政策符合性分析</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szCs w:val="21"/>
                <w:highlight w:val="yellow"/>
                <w:lang w:val="en-US" w:eastAsia="zh-CN"/>
              </w:rPr>
            </w:pPr>
            <w:r>
              <w:rPr>
                <w:rFonts w:hint="default" w:ascii="Times New Roman" w:hAnsi="Times New Roman" w:cs="Times New Roman"/>
                <w:color w:val="auto"/>
                <w:szCs w:val="21"/>
                <w:lang w:val="zh-CN" w:eastAsia="zh-CN"/>
              </w:rPr>
              <w:t>本项目为</w:t>
            </w:r>
            <w:r>
              <w:rPr>
                <w:rFonts w:hint="default" w:ascii="Times New Roman" w:hAnsi="Times New Roman" w:cs="Times New Roman"/>
                <w:color w:val="auto"/>
                <w:szCs w:val="21"/>
                <w:lang w:val="en-US" w:eastAsia="zh-CN"/>
              </w:rPr>
              <w:t>废矿物油收集、储存项目</w:t>
            </w:r>
            <w:r>
              <w:rPr>
                <w:rFonts w:hint="default" w:ascii="Times New Roman" w:hAnsi="Times New Roman" w:cs="Times New Roman"/>
                <w:color w:val="auto"/>
                <w:szCs w:val="21"/>
                <w:lang w:val="zh-CN" w:eastAsia="zh-CN"/>
              </w:rPr>
              <w:t>，</w:t>
            </w:r>
            <w:r>
              <w:rPr>
                <w:rFonts w:hint="default" w:ascii="Times New Roman" w:hAnsi="Times New Roman" w:cs="Times New Roman"/>
                <w:color w:val="auto"/>
                <w:szCs w:val="21"/>
                <w:lang w:val="en-US" w:eastAsia="zh-CN"/>
              </w:rPr>
              <w:t>根据</w:t>
            </w:r>
            <w:r>
              <w:rPr>
                <w:rFonts w:hint="default" w:ascii="Times New Roman" w:hAnsi="Times New Roman" w:cs="Times New Roman"/>
                <w:color w:val="auto"/>
                <w:szCs w:val="21"/>
                <w:lang w:val="zh-CN" w:eastAsia="zh-CN"/>
              </w:rPr>
              <w:t>《产业结构调整指导目录（201</w:t>
            </w:r>
            <w:r>
              <w:rPr>
                <w:rFonts w:hint="default" w:ascii="Times New Roman" w:hAnsi="Times New Roman" w:cs="Times New Roman"/>
                <w:color w:val="auto"/>
                <w:szCs w:val="21"/>
                <w:lang w:val="en-US" w:eastAsia="zh-CN"/>
              </w:rPr>
              <w:t>9</w:t>
            </w:r>
            <w:r>
              <w:rPr>
                <w:rFonts w:hint="default" w:ascii="Times New Roman" w:hAnsi="Times New Roman" w:cs="Times New Roman"/>
                <w:color w:val="auto"/>
                <w:szCs w:val="21"/>
                <w:lang w:val="zh-CN" w:eastAsia="zh-CN"/>
              </w:rPr>
              <w:t>年本）》，本项目产品、工艺及设备均不属于鼓励类、淘汰类和限制类的产业，项目属于允许类建设项目。</w:t>
            </w:r>
            <w:r>
              <w:rPr>
                <w:rFonts w:hint="default" w:ascii="Times New Roman" w:hAnsi="Times New Roman" w:cs="Times New Roman"/>
                <w:color w:val="auto"/>
                <w:szCs w:val="21"/>
                <w:highlight w:val="none"/>
                <w:lang w:val="en-US" w:eastAsia="zh-CN"/>
              </w:rPr>
              <w:t>项目</w:t>
            </w:r>
            <w:r>
              <w:rPr>
                <w:rFonts w:hint="default" w:ascii="Times New Roman" w:hAnsi="Times New Roman" w:cs="Times New Roman"/>
                <w:color w:val="auto"/>
                <w:szCs w:val="21"/>
                <w:highlight w:val="none"/>
                <w:lang w:val="zh-CN" w:eastAsia="zh-CN"/>
              </w:rPr>
              <w:t>已</w:t>
            </w:r>
            <w:r>
              <w:rPr>
                <w:rFonts w:hint="default" w:ascii="Times New Roman" w:hAnsi="Times New Roman" w:cs="Times New Roman"/>
                <w:color w:val="auto"/>
                <w:szCs w:val="21"/>
                <w:highlight w:val="none"/>
                <w:lang w:val="en-US" w:eastAsia="zh-CN"/>
              </w:rPr>
              <w:t>完成备案，备案号：川投资备【2204-511722-04-01-844127】FGQB-0160号。因此，本项目符合现行相关产业政策。</w:t>
            </w:r>
          </w:p>
          <w:p>
            <w:pPr>
              <w:numPr>
                <w:ilvl w:val="0"/>
                <w:numId w:val="3"/>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en-US" w:eastAsia="zh-CN"/>
              </w:rPr>
            </w:pPr>
            <w:r>
              <w:rPr>
                <w:rFonts w:hint="default" w:ascii="Times New Roman" w:hAnsi="Times New Roman" w:eastAsia="黑体" w:cs="Times New Roman"/>
                <w:color w:val="auto"/>
                <w:kern w:val="0"/>
                <w:sz w:val="22"/>
                <w:szCs w:val="22"/>
                <w:lang w:val="en-US" w:eastAsia="zh-CN"/>
              </w:rPr>
              <w:t>与饮用水源</w:t>
            </w:r>
            <w:r>
              <w:rPr>
                <w:rFonts w:hint="eastAsia" w:eastAsia="黑体" w:cs="Times New Roman"/>
                <w:color w:val="auto"/>
                <w:kern w:val="0"/>
                <w:sz w:val="22"/>
                <w:szCs w:val="22"/>
                <w:lang w:val="en-US" w:eastAsia="zh-CN"/>
              </w:rPr>
              <w:t>保护区</w:t>
            </w:r>
            <w:r>
              <w:rPr>
                <w:rFonts w:hint="default" w:ascii="Times New Roman" w:hAnsi="Times New Roman" w:eastAsia="黑体" w:cs="Times New Roman"/>
                <w:color w:val="auto"/>
                <w:kern w:val="0"/>
                <w:sz w:val="22"/>
                <w:szCs w:val="22"/>
                <w:lang w:val="en-US" w:eastAsia="zh-CN"/>
              </w:rPr>
              <w:t>的关系</w:t>
            </w:r>
          </w:p>
          <w:p>
            <w:pPr>
              <w:autoSpaceDE w:val="0"/>
              <w:autoSpaceDN w:val="0"/>
              <w:adjustRightInd w:val="0"/>
              <w:snapToGrid w:val="0"/>
              <w:spacing w:line="400" w:lineRule="exact"/>
              <w:ind w:left="-31" w:leftChars="-15" w:right="-31" w:rightChars="-15"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zh-CN"/>
              </w:rPr>
              <w:t>（</w:t>
            </w:r>
            <w:r>
              <w:rPr>
                <w:rFonts w:hint="default" w:ascii="Times New Roman" w:hAnsi="Times New Roman" w:cs="Times New Roman"/>
                <w:b/>
                <w:color w:val="auto"/>
                <w:szCs w:val="21"/>
                <w:lang w:val="en-US" w:eastAsia="zh-CN"/>
              </w:rPr>
              <w:t>1</w:t>
            </w:r>
            <w:r>
              <w:rPr>
                <w:rFonts w:hint="default" w:ascii="Times New Roman" w:hAnsi="Times New Roman" w:cs="Times New Roman"/>
                <w:b/>
                <w:color w:val="auto"/>
                <w:szCs w:val="21"/>
                <w:lang w:val="zh-CN"/>
              </w:rPr>
              <w:t>）</w:t>
            </w:r>
            <w:r>
              <w:rPr>
                <w:rFonts w:hint="default" w:ascii="Times New Roman" w:hAnsi="Times New Roman" w:cs="Times New Roman"/>
                <w:b/>
                <w:color w:val="auto"/>
                <w:szCs w:val="21"/>
                <w:lang w:val="en-US" w:eastAsia="zh-CN"/>
              </w:rPr>
              <w:t>宣汉县后河徐家坡水源地</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本项目位于</w:t>
            </w:r>
            <w:r>
              <w:rPr>
                <w:rFonts w:hint="default" w:ascii="Times New Roman" w:hAnsi="Times New Roman" w:cs="Times New Roman"/>
                <w:color w:val="auto"/>
                <w:szCs w:val="21"/>
                <w:lang w:eastAsia="zh-CN"/>
              </w:rPr>
              <w:t>达州市宣汉县普光经济开发区柳池工业园</w:t>
            </w:r>
            <w:r>
              <w:rPr>
                <w:rFonts w:hint="eastAsia" w:cs="Times New Roman"/>
                <w:color w:val="auto"/>
                <w:szCs w:val="21"/>
                <w:lang w:eastAsia="zh-CN"/>
              </w:rPr>
              <w:t>四川君璜建材有限公司内</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根据四川省人民政府</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关于同意划定、调整、撤销部分城市集中式饮用水水源保护区的批复</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川府函</w:t>
            </w:r>
            <w:r>
              <w:rPr>
                <w:rFonts w:hint="default" w:ascii="Times New Roman" w:hAnsi="Times New Roman" w:eastAsia="宋体" w:cs="Times New Roman"/>
                <w:color w:val="auto"/>
                <w:szCs w:val="21"/>
              </w:rPr>
              <w:t>〔</w:t>
            </w:r>
            <w:r>
              <w:rPr>
                <w:rFonts w:hint="default" w:ascii="Times New Roman" w:hAnsi="Times New Roman" w:cs="Times New Roman"/>
                <w:color w:val="auto"/>
                <w:szCs w:val="21"/>
              </w:rPr>
              <w:t>2018</w:t>
            </w:r>
            <w:r>
              <w:rPr>
                <w:rFonts w:hint="default" w:ascii="Times New Roman" w:hAnsi="Times New Roman" w:eastAsia="宋体" w:cs="Times New Roman"/>
                <w:color w:val="auto"/>
                <w:szCs w:val="21"/>
              </w:rPr>
              <w:t>〕</w:t>
            </w:r>
            <w:r>
              <w:rPr>
                <w:rFonts w:hint="default" w:ascii="Times New Roman" w:hAnsi="Times New Roman" w:cs="Times New Roman"/>
                <w:color w:val="auto"/>
                <w:szCs w:val="21"/>
              </w:rPr>
              <w:t>144号</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，项目所在</w:t>
            </w:r>
            <w:r>
              <w:rPr>
                <w:rFonts w:hint="default" w:ascii="Times New Roman" w:hAnsi="Times New Roman" w:cs="Times New Roman"/>
                <w:color w:val="auto"/>
                <w:szCs w:val="21"/>
                <w:lang w:val="en-US" w:eastAsia="zh-CN"/>
              </w:rPr>
              <w:t>地距离宣汉县后河徐家坡水源地（河流型）取水点约7.</w:t>
            </w:r>
            <w:r>
              <w:rPr>
                <w:rFonts w:hint="eastAsia" w:cs="Times New Roman"/>
                <w:color w:val="auto"/>
                <w:szCs w:val="21"/>
                <w:lang w:val="en-US" w:eastAsia="zh-CN"/>
              </w:rPr>
              <w:t>7</w:t>
            </w:r>
            <w:r>
              <w:rPr>
                <w:rFonts w:hint="default" w:ascii="Times New Roman" w:hAnsi="Times New Roman" w:cs="Times New Roman"/>
                <w:color w:val="auto"/>
                <w:szCs w:val="21"/>
                <w:lang w:val="en-US" w:eastAsia="zh-CN"/>
              </w:rPr>
              <w:t>km，</w:t>
            </w:r>
            <w:r>
              <w:rPr>
                <w:rFonts w:hint="default" w:ascii="Times New Roman" w:hAnsi="Times New Roman" w:cs="Times New Roman"/>
                <w:color w:val="auto"/>
                <w:szCs w:val="21"/>
              </w:rPr>
              <w:t>取水水源为</w:t>
            </w:r>
            <w:r>
              <w:rPr>
                <w:rFonts w:hint="default" w:ascii="Times New Roman" w:hAnsi="Times New Roman" w:cs="Times New Roman"/>
                <w:color w:val="auto"/>
                <w:szCs w:val="21"/>
                <w:lang w:val="en-US" w:eastAsia="zh-CN"/>
              </w:rPr>
              <w:t>后河</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取水口位于</w:t>
            </w:r>
            <w:r>
              <w:rPr>
                <w:rFonts w:hint="default" w:ascii="Times New Roman" w:hAnsi="Times New Roman" w:cs="Times New Roman"/>
                <w:color w:val="auto"/>
                <w:szCs w:val="21"/>
                <w:lang w:val="en-US" w:eastAsia="zh-CN"/>
              </w:rPr>
              <w:t>宣汉县东乡镇后河右岸徐家坡</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项目与</w:t>
            </w:r>
            <w:r>
              <w:rPr>
                <w:rFonts w:hint="default" w:ascii="Times New Roman" w:hAnsi="Times New Roman" w:cs="Times New Roman"/>
                <w:color w:val="auto"/>
                <w:szCs w:val="21"/>
                <w:lang w:val="en-US" w:eastAsia="zh-CN"/>
              </w:rPr>
              <w:t>所在区域</w:t>
            </w:r>
            <w:r>
              <w:rPr>
                <w:rFonts w:hint="default" w:ascii="Times New Roman" w:hAnsi="Times New Roman" w:cs="Times New Roman"/>
                <w:color w:val="auto"/>
                <w:szCs w:val="21"/>
              </w:rPr>
              <w:t>饮用水取水点关系见下表。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zh-CN" w:eastAsia="zh-CN"/>
              </w:rPr>
              <w:t>项目</w:t>
            </w:r>
            <w:r>
              <w:rPr>
                <w:rFonts w:hint="default" w:ascii="Times New Roman" w:hAnsi="Times New Roman" w:eastAsia="黑体" w:cs="Times New Roman"/>
                <w:color w:val="auto"/>
                <w:kern w:val="0"/>
                <w:sz w:val="20"/>
                <w:szCs w:val="20"/>
                <w:lang w:val="en-US" w:eastAsia="zh-CN"/>
              </w:rPr>
              <w:t>与所在区域</w:t>
            </w:r>
            <w:r>
              <w:rPr>
                <w:rFonts w:hint="default" w:ascii="Times New Roman" w:hAnsi="Times New Roman" w:eastAsia="黑体" w:cs="Times New Roman"/>
                <w:color w:val="auto"/>
                <w:kern w:val="0"/>
                <w:sz w:val="20"/>
                <w:szCs w:val="20"/>
                <w:lang w:val="zh-CN" w:eastAsia="zh-CN"/>
              </w:rPr>
              <w:t>饮用水取水点关系表</w:t>
            </w:r>
          </w:p>
          <w:tbl>
            <w:tblPr>
              <w:tblStyle w:val="18"/>
              <w:tblW w:w="7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703"/>
              <w:gridCol w:w="592"/>
              <w:gridCol w:w="3972"/>
              <w:gridCol w:w="1097"/>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水源地名称</w:t>
                  </w:r>
                </w:p>
              </w:tc>
              <w:tc>
                <w:tcPr>
                  <w:tcW w:w="703"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取水口信息</w:t>
                  </w:r>
                </w:p>
              </w:tc>
              <w:tc>
                <w:tcPr>
                  <w:tcW w:w="4564" w:type="dxa"/>
                  <w:gridSpan w:val="2"/>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保护范围</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与项目区相对位置</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是否涉及保护区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96"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后河徐家坡水源地</w:t>
                  </w:r>
                </w:p>
              </w:tc>
              <w:tc>
                <w:tcPr>
                  <w:tcW w:w="703"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宣汉县东乡镇后河右岸徐家坡</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p>
              </w:tc>
              <w:tc>
                <w:tcPr>
                  <w:tcW w:w="592"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一级</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保护区</w:t>
                  </w:r>
                </w:p>
              </w:tc>
              <w:tc>
                <w:tcPr>
                  <w:tcW w:w="397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水域</w:t>
                  </w:r>
                  <w:r>
                    <w:rPr>
                      <w:rFonts w:hint="default" w:ascii="Times New Roman" w:hAnsi="Times New Roman" w:cs="Times New Roman"/>
                      <w:color w:val="auto"/>
                      <w:kern w:val="0"/>
                      <w:sz w:val="18"/>
                      <w:szCs w:val="18"/>
                      <w:highlight w:val="none"/>
                    </w:rPr>
                    <w:t>：航道除外，取水口下游500米处至取水口上</w:t>
                  </w:r>
                  <w:r>
                    <w:rPr>
                      <w:rFonts w:hint="default" w:ascii="Times New Roman" w:hAnsi="Times New Roman" w:cs="Times New Roman"/>
                      <w:color w:val="auto"/>
                      <w:spacing w:val="-6"/>
                      <w:kern w:val="0"/>
                      <w:sz w:val="18"/>
                      <w:szCs w:val="18"/>
                      <w:highlight w:val="none"/>
                    </w:rPr>
                    <w:t>游1000米，多年平均水位对应的高程线下的水域范围。</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东南面(下游)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7.</w:t>
                  </w:r>
                  <w:r>
                    <w:rPr>
                      <w:rFonts w:hint="eastAsia" w:cs="Times New Roman"/>
                      <w:color w:val="auto"/>
                      <w:kern w:val="0"/>
                      <w:sz w:val="18"/>
                      <w:szCs w:val="18"/>
                      <w:highlight w:val="none"/>
                      <w:lang w:val="en-US" w:eastAsia="zh-CN"/>
                    </w:rPr>
                    <w:t>5</w:t>
                  </w:r>
                  <w:r>
                    <w:rPr>
                      <w:rFonts w:hint="default" w:ascii="Times New Roman" w:hAnsi="Times New Roman" w:cs="Times New Roman"/>
                      <w:color w:val="auto"/>
                      <w:kern w:val="0"/>
                      <w:sz w:val="18"/>
                      <w:szCs w:val="18"/>
                      <w:highlight w:val="none"/>
                      <w:lang w:val="en-US" w:eastAsia="zh-CN"/>
                    </w:rPr>
                    <w:t>km</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9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703"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592"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397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陆域</w:t>
                  </w:r>
                  <w:r>
                    <w:rPr>
                      <w:rFonts w:hint="default" w:ascii="Times New Roman" w:hAnsi="Times New Roman" w:cs="Times New Roman"/>
                      <w:color w:val="auto"/>
                      <w:kern w:val="0"/>
                      <w:sz w:val="18"/>
                      <w:szCs w:val="18"/>
                      <w:highlight w:val="none"/>
                    </w:rPr>
                    <w:t>：正常水位线以上一级保护区水域边界右岸纵深200米，左岸纵深至宣清路临河侧防撞墙的陆域范围。</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东南面(下游)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7.3</w:t>
                  </w:r>
                  <w:r>
                    <w:rPr>
                      <w:rFonts w:hint="default" w:ascii="Times New Roman" w:hAnsi="Times New Roman" w:cs="Times New Roman"/>
                      <w:color w:val="auto"/>
                      <w:kern w:val="0"/>
                      <w:sz w:val="18"/>
                      <w:szCs w:val="18"/>
                      <w:highlight w:val="none"/>
                      <w:lang w:val="en-US" w:eastAsia="zh-CN"/>
                    </w:rPr>
                    <w:t>km</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9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703"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592"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二级</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保护区</w:t>
                  </w:r>
                </w:p>
              </w:tc>
              <w:tc>
                <w:tcPr>
                  <w:tcW w:w="397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水域</w:t>
                  </w:r>
                  <w:r>
                    <w:rPr>
                      <w:rFonts w:hint="default" w:ascii="Times New Roman" w:hAnsi="Times New Roman" w:cs="Times New Roman"/>
                      <w:color w:val="auto"/>
                      <w:kern w:val="0"/>
                      <w:sz w:val="18"/>
                      <w:szCs w:val="18"/>
                      <w:highlight w:val="none"/>
                    </w:rPr>
                    <w:t>：航道除外，取水口下游800米的梨湾溪入后河口下游侧至取水口上游3000米，多年平均水位对应的高程线下的水域范围。</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东南面(下游)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7.1</w:t>
                  </w:r>
                  <w:r>
                    <w:rPr>
                      <w:rFonts w:hint="default" w:ascii="Times New Roman" w:hAnsi="Times New Roman" w:cs="Times New Roman"/>
                      <w:color w:val="auto"/>
                      <w:kern w:val="0"/>
                      <w:sz w:val="18"/>
                      <w:szCs w:val="18"/>
                      <w:highlight w:val="none"/>
                      <w:lang w:val="en-US" w:eastAsia="zh-CN"/>
                    </w:rPr>
                    <w:t>km</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9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703"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592"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397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both"/>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b/>
                      <w:bCs/>
                      <w:color w:val="auto"/>
                      <w:kern w:val="0"/>
                      <w:sz w:val="18"/>
                      <w:szCs w:val="18"/>
                      <w:highlight w:val="none"/>
                    </w:rPr>
                    <w:t>陆域</w:t>
                  </w:r>
                  <w:r>
                    <w:rPr>
                      <w:rFonts w:hint="default" w:ascii="Times New Roman" w:hAnsi="Times New Roman" w:cs="Times New Roman"/>
                      <w:color w:val="auto"/>
                      <w:kern w:val="0"/>
                      <w:sz w:val="18"/>
                      <w:szCs w:val="18"/>
                      <w:highlight w:val="none"/>
                    </w:rPr>
                    <w:t>：一、二级保护区水域边界沿两岸纵深至第一重山脊线的除一级保护区外的陆域范围</w:t>
                  </w:r>
                  <w:r>
                    <w:rPr>
                      <w:rFonts w:hint="default" w:ascii="Times New Roman" w:hAnsi="Times New Roman" w:cs="Times New Roman"/>
                      <w:color w:val="auto"/>
                      <w:kern w:val="0"/>
                      <w:sz w:val="18"/>
                      <w:szCs w:val="18"/>
                      <w:highlight w:val="none"/>
                      <w:lang w:eastAsia="zh-CN"/>
                    </w:rPr>
                    <w:t>。</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东南面(下游)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6.0</w:t>
                  </w:r>
                  <w:r>
                    <w:rPr>
                      <w:rFonts w:hint="default" w:ascii="Times New Roman" w:hAnsi="Times New Roman" w:cs="Times New Roman"/>
                      <w:color w:val="auto"/>
                      <w:kern w:val="0"/>
                      <w:sz w:val="18"/>
                      <w:szCs w:val="18"/>
                      <w:highlight w:val="none"/>
                      <w:lang w:val="en-US" w:eastAsia="zh-CN"/>
                    </w:rPr>
                    <w:t>km</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9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703"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592"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准保护区</w:t>
                  </w:r>
                </w:p>
              </w:tc>
              <w:tc>
                <w:tcPr>
                  <w:tcW w:w="397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水域</w:t>
                  </w:r>
                  <w:r>
                    <w:rPr>
                      <w:rFonts w:hint="default" w:ascii="Times New Roman" w:hAnsi="Times New Roman" w:cs="Times New Roman"/>
                      <w:color w:val="auto"/>
                      <w:kern w:val="0"/>
                      <w:sz w:val="18"/>
                      <w:szCs w:val="18"/>
                      <w:highlight w:val="none"/>
                    </w:rPr>
                    <w:t>：后河二级保护区上边界上溯2000米，多年平均水位对应的高程线下的水域范围，以及梨湾溪集水范围内的全部水域范围。</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东南面(下游)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4.</w:t>
                  </w:r>
                  <w:r>
                    <w:rPr>
                      <w:rFonts w:hint="eastAsia" w:cs="Times New Roman"/>
                      <w:color w:val="auto"/>
                      <w:kern w:val="0"/>
                      <w:sz w:val="18"/>
                      <w:szCs w:val="18"/>
                      <w:highlight w:val="none"/>
                      <w:lang w:val="en-US" w:eastAsia="zh-CN"/>
                    </w:rPr>
                    <w:t>8</w:t>
                  </w:r>
                  <w:r>
                    <w:rPr>
                      <w:rFonts w:hint="default" w:ascii="Times New Roman" w:hAnsi="Times New Roman" w:cs="Times New Roman"/>
                      <w:color w:val="auto"/>
                      <w:kern w:val="0"/>
                      <w:sz w:val="18"/>
                      <w:szCs w:val="18"/>
                      <w:highlight w:val="none"/>
                      <w:lang w:val="en-US" w:eastAsia="zh-CN"/>
                    </w:rPr>
                    <w:t>km</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703"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592"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397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both"/>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b/>
                      <w:bCs/>
                      <w:color w:val="auto"/>
                      <w:kern w:val="0"/>
                      <w:sz w:val="18"/>
                      <w:szCs w:val="18"/>
                      <w:highlight w:val="none"/>
                    </w:rPr>
                    <w:t>陆域</w:t>
                  </w:r>
                  <w:r>
                    <w:rPr>
                      <w:rFonts w:hint="default" w:ascii="Times New Roman" w:hAnsi="Times New Roman" w:cs="Times New Roman"/>
                      <w:color w:val="auto"/>
                      <w:kern w:val="0"/>
                      <w:sz w:val="18"/>
                      <w:szCs w:val="18"/>
                      <w:highlight w:val="none"/>
                    </w:rPr>
                    <w:t>：准保护区水域边界沿两岸纵深至流域分水岭的陆域，以及梨湾溪集水范围内的全部陆域范围</w:t>
                  </w:r>
                  <w:r>
                    <w:rPr>
                      <w:rFonts w:hint="default" w:ascii="Times New Roman" w:hAnsi="Times New Roman" w:cs="Times New Roman"/>
                      <w:color w:val="auto"/>
                      <w:kern w:val="0"/>
                      <w:sz w:val="18"/>
                      <w:szCs w:val="18"/>
                      <w:highlight w:val="none"/>
                      <w:lang w:eastAsia="zh-CN"/>
                    </w:rPr>
                    <w:t>。</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东南面(下游)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35</w:t>
                  </w:r>
                  <w:r>
                    <w:rPr>
                      <w:rFonts w:hint="default" w:ascii="Times New Roman" w:hAnsi="Times New Roman" w:cs="Times New Roman"/>
                      <w:color w:val="auto"/>
                      <w:kern w:val="0"/>
                      <w:sz w:val="18"/>
                      <w:szCs w:val="18"/>
                      <w:highlight w:val="none"/>
                      <w:lang w:val="en-US" w:eastAsia="zh-CN"/>
                    </w:rPr>
                    <w:t>0m</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bl>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由上表可知，本项目</w:t>
            </w:r>
            <w:r>
              <w:rPr>
                <w:rFonts w:hint="default" w:ascii="Times New Roman" w:hAnsi="Times New Roman" w:cs="Times New Roman"/>
                <w:color w:val="auto"/>
                <w:szCs w:val="21"/>
                <w:lang w:val="en-US" w:eastAsia="zh-CN"/>
              </w:rPr>
              <w:t>用地范围</w:t>
            </w:r>
            <w:r>
              <w:rPr>
                <w:rFonts w:hint="default" w:ascii="Times New Roman" w:hAnsi="Times New Roman" w:cs="Times New Roman"/>
                <w:color w:val="auto"/>
                <w:szCs w:val="21"/>
              </w:rPr>
              <w:t>不在</w:t>
            </w:r>
            <w:r>
              <w:rPr>
                <w:rFonts w:hint="default" w:ascii="Times New Roman" w:hAnsi="Times New Roman" w:cs="Times New Roman"/>
                <w:color w:val="auto"/>
                <w:szCs w:val="21"/>
                <w:lang w:val="en-US" w:eastAsia="zh-CN"/>
              </w:rPr>
              <w:t>宣汉县后河徐家坡水源地</w:t>
            </w:r>
            <w:r>
              <w:rPr>
                <w:rFonts w:hint="default" w:ascii="Times New Roman" w:hAnsi="Times New Roman" w:cs="Times New Roman"/>
                <w:color w:val="auto"/>
                <w:szCs w:val="21"/>
              </w:rPr>
              <w:t>取水点</w:t>
            </w:r>
            <w:r>
              <w:rPr>
                <w:rFonts w:hint="default" w:ascii="Times New Roman" w:hAnsi="Times New Roman" w:cs="Times New Roman"/>
                <w:color w:val="auto"/>
                <w:szCs w:val="21"/>
                <w:lang w:val="en-US" w:eastAsia="zh-CN"/>
              </w:rPr>
              <w:t>及其</w:t>
            </w:r>
            <w:r>
              <w:rPr>
                <w:rFonts w:hint="default" w:ascii="Times New Roman" w:hAnsi="Times New Roman" w:cs="Times New Roman"/>
                <w:color w:val="auto"/>
                <w:szCs w:val="21"/>
              </w:rPr>
              <w:t>一级、二级</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准</w:t>
            </w:r>
            <w:r>
              <w:rPr>
                <w:rFonts w:hint="default" w:ascii="Times New Roman" w:hAnsi="Times New Roman" w:cs="Times New Roman"/>
                <w:color w:val="auto"/>
                <w:szCs w:val="21"/>
              </w:rPr>
              <w:t>保护区内</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项目与饮用水源位置关系见附图</w:t>
            </w:r>
            <w:r>
              <w:rPr>
                <w:rFonts w:hint="default" w:ascii="Times New Roman" w:hAnsi="Times New Roman" w:cs="Times New Roman"/>
                <w:color w:val="auto"/>
                <w:szCs w:val="21"/>
              </w:rPr>
              <w:t>。</w:t>
            </w:r>
          </w:p>
          <w:p>
            <w:pPr>
              <w:autoSpaceDE w:val="0"/>
              <w:autoSpaceDN w:val="0"/>
              <w:adjustRightInd w:val="0"/>
              <w:snapToGrid w:val="0"/>
              <w:spacing w:line="400" w:lineRule="exact"/>
              <w:ind w:left="-31" w:leftChars="-15" w:right="-31" w:rightChars="-15"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zh-CN"/>
              </w:rPr>
              <w:t>（</w:t>
            </w:r>
            <w:r>
              <w:rPr>
                <w:rFonts w:hint="default" w:ascii="Times New Roman" w:hAnsi="Times New Roman" w:cs="Times New Roman"/>
                <w:b/>
                <w:color w:val="auto"/>
                <w:szCs w:val="21"/>
                <w:lang w:val="en-US" w:eastAsia="zh-CN"/>
              </w:rPr>
              <w:t>2</w:t>
            </w:r>
            <w:r>
              <w:rPr>
                <w:rFonts w:hint="default" w:ascii="Times New Roman" w:hAnsi="Times New Roman" w:cs="Times New Roman"/>
                <w:b/>
                <w:color w:val="auto"/>
                <w:szCs w:val="21"/>
                <w:lang w:val="zh-CN"/>
              </w:rPr>
              <w:t>）</w:t>
            </w:r>
            <w:r>
              <w:rPr>
                <w:rFonts w:hint="default" w:ascii="Times New Roman" w:hAnsi="Times New Roman" w:cs="Times New Roman"/>
                <w:b/>
                <w:color w:val="auto"/>
                <w:szCs w:val="21"/>
                <w:lang w:val="en-US" w:eastAsia="zh-CN"/>
              </w:rPr>
              <w:t>凉水井水库</w:t>
            </w:r>
            <w:r>
              <w:rPr>
                <w:rFonts w:hint="eastAsia" w:cs="Times New Roman"/>
                <w:b/>
                <w:color w:val="auto"/>
                <w:szCs w:val="21"/>
                <w:lang w:val="en-US" w:eastAsia="zh-CN"/>
              </w:rPr>
              <w:t>（</w:t>
            </w:r>
            <w:r>
              <w:rPr>
                <w:rFonts w:hint="default" w:ascii="Times New Roman" w:hAnsi="Times New Roman" w:cs="Times New Roman"/>
                <w:b/>
                <w:color w:val="auto"/>
                <w:szCs w:val="21"/>
                <w:lang w:val="en-US" w:eastAsia="zh-CN"/>
              </w:rPr>
              <w:t>村级</w:t>
            </w:r>
            <w:r>
              <w:rPr>
                <w:rFonts w:hint="eastAsia" w:cs="Times New Roman"/>
                <w:b/>
                <w:color w:val="auto"/>
                <w:szCs w:val="21"/>
                <w:lang w:val="en-US" w:eastAsia="zh-CN"/>
              </w:rPr>
              <w:t>）</w:t>
            </w:r>
            <w:r>
              <w:rPr>
                <w:rFonts w:hint="default" w:ascii="Times New Roman" w:hAnsi="Times New Roman" w:cs="Times New Roman"/>
                <w:b/>
                <w:color w:val="auto"/>
                <w:szCs w:val="21"/>
                <w:lang w:val="en-US" w:eastAsia="zh-CN"/>
              </w:rPr>
              <w:t>集中式饮用水水源地</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本项目位于</w:t>
            </w:r>
            <w:r>
              <w:rPr>
                <w:rFonts w:hint="default" w:ascii="Times New Roman" w:hAnsi="Times New Roman" w:cs="Times New Roman"/>
                <w:color w:val="auto"/>
                <w:szCs w:val="21"/>
                <w:lang w:eastAsia="zh-CN"/>
              </w:rPr>
              <w:t>达州市宣汉县普光经济开发区柳池工业园</w:t>
            </w:r>
            <w:r>
              <w:rPr>
                <w:rFonts w:hint="eastAsia" w:cs="Times New Roman"/>
                <w:color w:val="auto"/>
                <w:szCs w:val="21"/>
                <w:lang w:eastAsia="zh-CN"/>
              </w:rPr>
              <w:t>四川君璜建材有限公司内</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根据达州市人民政府《关于划定</w:t>
            </w:r>
            <w:r>
              <w:rPr>
                <w:rFonts w:hint="default" w:ascii="Times New Roman" w:hAnsi="Times New Roman" w:cs="Times New Roman"/>
                <w:color w:val="auto"/>
                <w:szCs w:val="21"/>
                <w:lang w:val="en-US" w:eastAsia="zh-CN"/>
              </w:rPr>
              <w:t>万源市、宣汉县和大竹县</w:t>
            </w:r>
            <w:r>
              <w:rPr>
                <w:rFonts w:hint="default" w:ascii="Times New Roman" w:hAnsi="Times New Roman" w:cs="Times New Roman"/>
                <w:color w:val="auto"/>
                <w:szCs w:val="21"/>
              </w:rPr>
              <w:t>乡镇</w:t>
            </w:r>
            <w:r>
              <w:rPr>
                <w:rFonts w:hint="default" w:ascii="Times New Roman" w:hAnsi="Times New Roman" w:cs="Times New Roman"/>
                <w:color w:val="auto"/>
                <w:szCs w:val="21"/>
                <w:lang w:val="en-US" w:eastAsia="zh-CN"/>
              </w:rPr>
              <w:t>及以下</w:t>
            </w:r>
            <w:r>
              <w:rPr>
                <w:rFonts w:hint="default" w:ascii="Times New Roman" w:hAnsi="Times New Roman" w:cs="Times New Roman"/>
                <w:color w:val="auto"/>
                <w:szCs w:val="21"/>
              </w:rPr>
              <w:t>集中式饮用水水源保护</w:t>
            </w:r>
            <w:r>
              <w:rPr>
                <w:rFonts w:hint="default" w:ascii="Times New Roman" w:hAnsi="Times New Roman" w:cs="Times New Roman"/>
                <w:color w:val="auto"/>
                <w:szCs w:val="21"/>
                <w:lang w:val="en-US" w:eastAsia="zh-CN"/>
              </w:rPr>
              <w:t>地保护区</w:t>
            </w:r>
            <w:r>
              <w:rPr>
                <w:rFonts w:hint="default" w:ascii="Times New Roman" w:hAnsi="Times New Roman" w:cs="Times New Roman"/>
                <w:color w:val="auto"/>
                <w:szCs w:val="21"/>
              </w:rPr>
              <w:t>的批复》（达市府函</w:t>
            </w:r>
            <w:r>
              <w:rPr>
                <w:rFonts w:hint="eastAsia" w:cs="Times New Roman"/>
                <w:color w:val="auto"/>
                <w:szCs w:val="21"/>
                <w:lang w:eastAsia="zh-CN"/>
              </w:rPr>
              <w:t>〔</w:t>
            </w:r>
            <w:r>
              <w:rPr>
                <w:rFonts w:hint="default" w:ascii="Times New Roman" w:hAnsi="Times New Roman" w:cs="Times New Roman"/>
                <w:color w:val="auto"/>
                <w:szCs w:val="21"/>
                <w:lang w:val="en-US" w:eastAsia="zh-CN"/>
              </w:rPr>
              <w:t>2020</w:t>
            </w:r>
            <w:r>
              <w:rPr>
                <w:rFonts w:hint="eastAsia" w:cs="Times New Roman"/>
                <w:color w:val="auto"/>
                <w:szCs w:val="21"/>
                <w:lang w:val="en-US" w:eastAsia="zh-CN"/>
              </w:rPr>
              <w:t>〕</w:t>
            </w: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24</w:t>
            </w:r>
            <w:r>
              <w:rPr>
                <w:rFonts w:hint="default" w:ascii="Times New Roman" w:hAnsi="Times New Roman" w:cs="Times New Roman"/>
                <w:color w:val="auto"/>
                <w:szCs w:val="21"/>
              </w:rPr>
              <w:t>号），项目所在区域</w:t>
            </w:r>
            <w:r>
              <w:rPr>
                <w:rFonts w:hint="eastAsia" w:cs="Times New Roman"/>
                <w:color w:val="auto"/>
                <w:szCs w:val="21"/>
                <w:lang w:val="en-US" w:eastAsia="zh-CN"/>
              </w:rPr>
              <w:t>东南</w:t>
            </w:r>
            <w:r>
              <w:rPr>
                <w:rFonts w:hint="default" w:ascii="Times New Roman" w:hAnsi="Times New Roman" w:cs="Times New Roman"/>
                <w:color w:val="auto"/>
                <w:szCs w:val="21"/>
                <w:lang w:val="en-US" w:eastAsia="zh-CN"/>
              </w:rPr>
              <w:t>面约</w:t>
            </w:r>
            <w:r>
              <w:rPr>
                <w:rFonts w:hint="eastAsia" w:cs="Times New Roman"/>
                <w:color w:val="auto"/>
                <w:szCs w:val="21"/>
                <w:lang w:val="en-US" w:eastAsia="zh-CN"/>
              </w:rPr>
              <w:t>1.2k</w:t>
            </w:r>
            <w:r>
              <w:rPr>
                <w:rFonts w:hint="default" w:ascii="Times New Roman" w:hAnsi="Times New Roman" w:cs="Times New Roman"/>
                <w:color w:val="auto"/>
                <w:szCs w:val="21"/>
                <w:lang w:val="en-US" w:eastAsia="zh-CN"/>
              </w:rPr>
              <w:t>m的凉水井水库为宣汉县蒲江街道凉水井水库(村级)集中式饮用水水源地（湖库型）。供水水厂</w:t>
            </w:r>
            <w:r>
              <w:rPr>
                <w:rFonts w:hint="default" w:ascii="Times New Roman" w:hAnsi="Times New Roman" w:cs="Times New Roman"/>
                <w:color w:val="auto"/>
                <w:szCs w:val="21"/>
              </w:rPr>
              <w:t>为</w:t>
            </w:r>
            <w:r>
              <w:rPr>
                <w:rFonts w:hint="default" w:ascii="Times New Roman" w:hAnsi="Times New Roman" w:cs="Times New Roman"/>
                <w:color w:val="auto"/>
                <w:szCs w:val="21"/>
                <w:lang w:val="en-US" w:eastAsia="zh-CN"/>
              </w:rPr>
              <w:t>宣汉县星源水利建设管理站凉水井供水站</w:t>
            </w:r>
            <w:r>
              <w:rPr>
                <w:rFonts w:hint="default" w:ascii="Times New Roman" w:hAnsi="Times New Roman" w:cs="Times New Roman"/>
                <w:color w:val="auto"/>
                <w:szCs w:val="21"/>
              </w:rPr>
              <w:t>，供水规模为</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00吨/天，供水范围为</w:t>
            </w:r>
            <w:r>
              <w:rPr>
                <w:rFonts w:hint="default" w:ascii="Times New Roman" w:hAnsi="Times New Roman" w:cs="Times New Roman"/>
                <w:color w:val="auto"/>
                <w:szCs w:val="21"/>
                <w:lang w:val="en-US" w:eastAsia="zh-CN"/>
              </w:rPr>
              <w:t>蒲江街道永安村、茅岭村、双河村，官渡村，兴隆村等5个村；</w:t>
            </w:r>
            <w:r>
              <w:rPr>
                <w:rFonts w:hint="default" w:ascii="Times New Roman" w:hAnsi="Times New Roman" w:cs="Times New Roman"/>
                <w:color w:val="auto"/>
                <w:szCs w:val="21"/>
              </w:rPr>
              <w:t>水厂取水水源为</w:t>
            </w:r>
            <w:r>
              <w:rPr>
                <w:rFonts w:hint="default" w:ascii="Times New Roman" w:hAnsi="Times New Roman" w:cs="Times New Roman"/>
                <w:color w:val="auto"/>
                <w:szCs w:val="21"/>
                <w:lang w:val="en-US" w:eastAsia="zh-CN"/>
              </w:rPr>
              <w:t>凉水井水库</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取水口位于</w:t>
            </w:r>
            <w:r>
              <w:rPr>
                <w:rFonts w:hint="default" w:ascii="Times New Roman" w:hAnsi="Times New Roman" w:cs="Times New Roman"/>
                <w:color w:val="auto"/>
                <w:szCs w:val="21"/>
                <w:lang w:val="en-US" w:eastAsia="zh-CN"/>
              </w:rPr>
              <w:t>普光镇柳坪村11组</w:t>
            </w:r>
            <w:r>
              <w:rPr>
                <w:rFonts w:hint="default" w:ascii="Times New Roman" w:hAnsi="Times New Roman" w:cs="Times New Roman"/>
                <w:color w:val="auto"/>
                <w:szCs w:val="21"/>
              </w:rPr>
              <w:t>（经度：E</w:t>
            </w:r>
            <w:r>
              <w:rPr>
                <w:rFonts w:hint="default" w:ascii="Times New Roman" w:hAnsi="Times New Roman" w:cs="Times New Roman"/>
                <w:color w:val="auto"/>
                <w:szCs w:val="21"/>
                <w:lang w:val="en-US" w:eastAsia="zh-CN"/>
              </w:rPr>
              <w:t>107°41′13.137″</w:t>
            </w:r>
            <w:r>
              <w:rPr>
                <w:rFonts w:hint="default" w:ascii="Times New Roman" w:hAnsi="Times New Roman" w:cs="Times New Roman"/>
                <w:color w:val="auto"/>
                <w:szCs w:val="21"/>
              </w:rPr>
              <w:t>，纬度：N</w:t>
            </w:r>
            <w:r>
              <w:rPr>
                <w:rFonts w:hint="default" w:ascii="Times New Roman" w:hAnsi="Times New Roman" w:cs="Times New Roman"/>
                <w:color w:val="auto"/>
                <w:szCs w:val="21"/>
                <w:lang w:val="en-US" w:eastAsia="zh-CN"/>
              </w:rPr>
              <w:t>31°225′28.86″</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项目与</w:t>
            </w:r>
            <w:r>
              <w:rPr>
                <w:rFonts w:hint="default" w:ascii="Times New Roman" w:hAnsi="Times New Roman" w:cs="Times New Roman"/>
                <w:color w:val="auto"/>
                <w:szCs w:val="21"/>
                <w:lang w:val="en-US" w:eastAsia="zh-CN"/>
              </w:rPr>
              <w:t>所在区域</w:t>
            </w:r>
            <w:r>
              <w:rPr>
                <w:rFonts w:hint="default" w:ascii="Times New Roman" w:hAnsi="Times New Roman" w:cs="Times New Roman"/>
                <w:color w:val="auto"/>
                <w:szCs w:val="21"/>
              </w:rPr>
              <w:t>饮用水取水点关系见下表。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zh-CN" w:eastAsia="zh-CN"/>
              </w:rPr>
              <w:t>项目</w:t>
            </w:r>
            <w:r>
              <w:rPr>
                <w:rFonts w:hint="default" w:ascii="Times New Roman" w:hAnsi="Times New Roman" w:eastAsia="黑体" w:cs="Times New Roman"/>
                <w:color w:val="auto"/>
                <w:kern w:val="0"/>
                <w:sz w:val="20"/>
                <w:szCs w:val="20"/>
                <w:lang w:val="en-US" w:eastAsia="zh-CN"/>
              </w:rPr>
              <w:t>与所在区域</w:t>
            </w:r>
            <w:r>
              <w:rPr>
                <w:rFonts w:hint="default" w:ascii="Times New Roman" w:hAnsi="Times New Roman" w:eastAsia="黑体" w:cs="Times New Roman"/>
                <w:color w:val="auto"/>
                <w:kern w:val="0"/>
                <w:sz w:val="20"/>
                <w:szCs w:val="20"/>
                <w:lang w:val="zh-CN" w:eastAsia="zh-CN"/>
              </w:rPr>
              <w:t>饮用水取水点关系表</w:t>
            </w:r>
          </w:p>
          <w:tbl>
            <w:tblPr>
              <w:tblStyle w:val="18"/>
              <w:tblW w:w="7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526"/>
              <w:gridCol w:w="756"/>
              <w:gridCol w:w="446"/>
              <w:gridCol w:w="2470"/>
              <w:gridCol w:w="934"/>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7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水源地</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名称</w:t>
                  </w:r>
                </w:p>
              </w:tc>
              <w:tc>
                <w:tcPr>
                  <w:tcW w:w="152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水厂信息</w:t>
                  </w:r>
                </w:p>
              </w:tc>
              <w:tc>
                <w:tcPr>
                  <w:tcW w:w="75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取水口</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信息</w:t>
                  </w:r>
                </w:p>
              </w:tc>
              <w:tc>
                <w:tcPr>
                  <w:tcW w:w="2916" w:type="dxa"/>
                  <w:gridSpan w:val="2"/>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保护范围</w:t>
                  </w:r>
                </w:p>
              </w:tc>
              <w:tc>
                <w:tcPr>
                  <w:tcW w:w="934"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与项目区相对位置</w:t>
                  </w:r>
                </w:p>
              </w:tc>
              <w:tc>
                <w:tcPr>
                  <w:tcW w:w="76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是否涉及保护区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877"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宣汉县蒲江街道凉水井水库(村级)集中式饮用水水源地（湖库型）</w:t>
                  </w:r>
                </w:p>
              </w:tc>
              <w:tc>
                <w:tcPr>
                  <w:tcW w:w="1526"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both"/>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水厂名称</w:t>
                  </w:r>
                  <w:r>
                    <w:rPr>
                      <w:rFonts w:hint="default" w:ascii="Times New Roman" w:hAnsi="Times New Roman" w:cs="Times New Roman"/>
                      <w:color w:val="auto"/>
                      <w:kern w:val="0"/>
                      <w:sz w:val="18"/>
                      <w:szCs w:val="18"/>
                      <w:highlight w:val="none"/>
                      <w:lang w:val="en-US" w:eastAsia="zh-CN"/>
                    </w:rPr>
                    <w:t>：宣汉县星源水利建设管理站凉水井供水站</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both"/>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供水规模</w:t>
                  </w:r>
                  <w:r>
                    <w:rPr>
                      <w:rFonts w:hint="default" w:ascii="Times New Roman" w:hAnsi="Times New Roman" w:cs="Times New Roman"/>
                      <w:color w:val="auto"/>
                      <w:kern w:val="0"/>
                      <w:sz w:val="18"/>
                      <w:szCs w:val="18"/>
                      <w:highlight w:val="none"/>
                      <w:lang w:val="en-US" w:eastAsia="zh-CN"/>
                    </w:rPr>
                    <w:t>：500t/d</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both"/>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服务范围</w:t>
                  </w:r>
                  <w:r>
                    <w:rPr>
                      <w:rFonts w:hint="default" w:ascii="Times New Roman" w:hAnsi="Times New Roman" w:cs="Times New Roman"/>
                      <w:color w:val="auto"/>
                      <w:kern w:val="0"/>
                      <w:sz w:val="18"/>
                      <w:szCs w:val="18"/>
                      <w:highlight w:val="none"/>
                      <w:lang w:val="en-US" w:eastAsia="zh-CN"/>
                    </w:rPr>
                    <w:t>：蒲江街道永安村、茅岭村、双河村，官渡村，兴隆村等5个村</w:t>
                  </w:r>
                </w:p>
              </w:tc>
              <w:tc>
                <w:tcPr>
                  <w:tcW w:w="756"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普光镇柳坪村11组</w:t>
                  </w:r>
                </w:p>
                <w:p>
                  <w:pPr>
                    <w:pStyle w:val="12"/>
                    <w:keepNext w:val="0"/>
                    <w:keepLines w:val="0"/>
                    <w:pageBreakBefore w:val="0"/>
                    <w:widowControl w:val="0"/>
                    <w:kinsoku/>
                    <w:wordWrap/>
                    <w:overflowPunct/>
                    <w:topLinePunct w:val="0"/>
                    <w:bidi w:val="0"/>
                    <w:snapToGrid/>
                    <w:spacing w:line="260" w:lineRule="exact"/>
                    <w:textAlignment w:val="auto"/>
                    <w:rPr>
                      <w:rFonts w:hint="default" w:ascii="Times New Roman" w:hAnsi="Times New Roman" w:cs="Times New Roman"/>
                      <w:color w:val="auto"/>
                      <w:lang w:val="en-US" w:eastAsia="zh-CN"/>
                    </w:rPr>
                  </w:pP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E107°41′13.137″</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N31°225′28.86″</w:t>
                  </w:r>
                </w:p>
              </w:tc>
              <w:tc>
                <w:tcPr>
                  <w:tcW w:w="446"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一级</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保护区</w:t>
                  </w:r>
                </w:p>
              </w:tc>
              <w:tc>
                <w:tcPr>
                  <w:tcW w:w="2470"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水域</w:t>
                  </w:r>
                  <w:r>
                    <w:rPr>
                      <w:rFonts w:hint="default" w:ascii="Times New Roman" w:hAnsi="Times New Roman" w:cs="Times New Roman"/>
                      <w:color w:val="auto"/>
                      <w:kern w:val="0"/>
                      <w:sz w:val="18"/>
                      <w:szCs w:val="18"/>
                      <w:highlight w:val="none"/>
                    </w:rPr>
                    <w:t>：凉水井水库多年平均水位对应的高程线(64</w:t>
                  </w:r>
                  <w:r>
                    <w:rPr>
                      <w:rFonts w:hint="default" w:ascii="Times New Roman" w:hAnsi="Times New Roman" w:cs="Times New Roman"/>
                      <w:color w:val="auto"/>
                      <w:kern w:val="0"/>
                      <w:sz w:val="18"/>
                      <w:szCs w:val="18"/>
                      <w:highlight w:val="none"/>
                      <w:lang w:val="en-US" w:eastAsia="zh-CN"/>
                    </w:rPr>
                    <w:t>1.</w:t>
                  </w:r>
                  <w:r>
                    <w:rPr>
                      <w:rFonts w:hint="default" w:ascii="Times New Roman" w:hAnsi="Times New Roman" w:cs="Times New Roman"/>
                      <w:color w:val="auto"/>
                      <w:kern w:val="0"/>
                      <w:sz w:val="18"/>
                      <w:szCs w:val="18"/>
                      <w:highlight w:val="none"/>
                    </w:rPr>
                    <w:t>9米)以下的全部水域范围。</w:t>
                  </w:r>
                </w:p>
              </w:tc>
              <w:tc>
                <w:tcPr>
                  <w:tcW w:w="934"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南</w:t>
                  </w:r>
                  <w:r>
                    <w:rPr>
                      <w:rFonts w:hint="default" w:ascii="Times New Roman" w:hAnsi="Times New Roman" w:cs="Times New Roman"/>
                      <w:color w:val="auto"/>
                      <w:kern w:val="0"/>
                      <w:sz w:val="18"/>
                      <w:szCs w:val="18"/>
                      <w:highlight w:val="none"/>
                      <w:lang w:val="en-US" w:eastAsia="zh-CN"/>
                    </w:rPr>
                    <w:t>面(上游)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1.1k</w:t>
                  </w:r>
                  <w:r>
                    <w:rPr>
                      <w:rFonts w:hint="default" w:ascii="Times New Roman" w:hAnsi="Times New Roman" w:cs="Times New Roman"/>
                      <w:color w:val="auto"/>
                      <w:kern w:val="0"/>
                      <w:sz w:val="18"/>
                      <w:szCs w:val="18"/>
                      <w:highlight w:val="none"/>
                      <w:lang w:val="en-US" w:eastAsia="zh-CN"/>
                    </w:rPr>
                    <w:t>m</w:t>
                  </w:r>
                </w:p>
              </w:tc>
              <w:tc>
                <w:tcPr>
                  <w:tcW w:w="76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877"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152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5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44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2470"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陆域</w:t>
                  </w:r>
                  <w:r>
                    <w:rPr>
                      <w:rFonts w:hint="default" w:ascii="Times New Roman" w:hAnsi="Times New Roman" w:cs="Times New Roman"/>
                      <w:color w:val="auto"/>
                      <w:kern w:val="0"/>
                      <w:sz w:val="18"/>
                      <w:szCs w:val="18"/>
                      <w:highlight w:val="none"/>
                    </w:rPr>
                    <w:t>：凉水井水库一级保护区水域外200米范围内</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rPr>
                    <w:t>但不超过分水岭的全部陆域范围。</w:t>
                  </w:r>
                </w:p>
              </w:tc>
              <w:tc>
                <w:tcPr>
                  <w:tcW w:w="934"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南面(上游)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1.0k</w:t>
                  </w:r>
                  <w:r>
                    <w:rPr>
                      <w:rFonts w:hint="default" w:ascii="Times New Roman" w:hAnsi="Times New Roman" w:cs="Times New Roman"/>
                      <w:color w:val="auto"/>
                      <w:kern w:val="0"/>
                      <w:sz w:val="18"/>
                      <w:szCs w:val="18"/>
                      <w:highlight w:val="none"/>
                      <w:lang w:val="en-US" w:eastAsia="zh-CN"/>
                    </w:rPr>
                    <w:t>m</w:t>
                  </w:r>
                </w:p>
              </w:tc>
              <w:tc>
                <w:tcPr>
                  <w:tcW w:w="76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77"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152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5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44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二级</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保护区</w:t>
                  </w:r>
                </w:p>
              </w:tc>
              <w:tc>
                <w:tcPr>
                  <w:tcW w:w="2470"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除一级保护区外，凉水井水库坝顶以上汇水范围内的全部水域陆域范围。</w:t>
                  </w:r>
                </w:p>
              </w:tc>
              <w:tc>
                <w:tcPr>
                  <w:tcW w:w="934"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南面(上游)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1.6k</w:t>
                  </w:r>
                  <w:r>
                    <w:rPr>
                      <w:rFonts w:hint="default" w:ascii="Times New Roman" w:hAnsi="Times New Roman" w:cs="Times New Roman"/>
                      <w:color w:val="auto"/>
                      <w:kern w:val="0"/>
                      <w:sz w:val="18"/>
                      <w:szCs w:val="18"/>
                      <w:highlight w:val="none"/>
                      <w:lang w:val="en-US" w:eastAsia="zh-CN"/>
                    </w:rPr>
                    <w:t>m</w:t>
                  </w:r>
                </w:p>
              </w:tc>
              <w:tc>
                <w:tcPr>
                  <w:tcW w:w="76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bl>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由上表可知，项目</w:t>
            </w:r>
            <w:r>
              <w:rPr>
                <w:rFonts w:hint="default" w:ascii="Times New Roman" w:hAnsi="Times New Roman" w:cs="Times New Roman"/>
                <w:color w:val="auto"/>
                <w:szCs w:val="21"/>
                <w:lang w:val="en-US" w:eastAsia="zh-CN"/>
              </w:rPr>
              <w:t>用地</w:t>
            </w:r>
            <w:r>
              <w:rPr>
                <w:rFonts w:hint="default" w:ascii="Times New Roman" w:hAnsi="Times New Roman" w:cs="Times New Roman"/>
                <w:color w:val="auto"/>
                <w:szCs w:val="21"/>
              </w:rPr>
              <w:t>不在</w:t>
            </w:r>
            <w:r>
              <w:rPr>
                <w:rFonts w:hint="default" w:ascii="Times New Roman" w:hAnsi="Times New Roman" w:cs="Times New Roman"/>
                <w:color w:val="auto"/>
                <w:szCs w:val="21"/>
                <w:lang w:val="en-US" w:eastAsia="zh-CN"/>
              </w:rPr>
              <w:t>宣汉县蒲江街道凉水井水库(村级)集中式饮用水水源地</w:t>
            </w:r>
            <w:r>
              <w:rPr>
                <w:rFonts w:hint="default" w:ascii="Times New Roman" w:hAnsi="Times New Roman" w:cs="Times New Roman"/>
                <w:color w:val="auto"/>
                <w:szCs w:val="21"/>
              </w:rPr>
              <w:t>取水点</w:t>
            </w:r>
            <w:r>
              <w:rPr>
                <w:rFonts w:hint="default" w:ascii="Times New Roman" w:hAnsi="Times New Roman" w:cs="Times New Roman"/>
                <w:color w:val="auto"/>
                <w:szCs w:val="21"/>
                <w:lang w:val="en-US" w:eastAsia="zh-CN"/>
              </w:rPr>
              <w:t>及其</w:t>
            </w:r>
            <w:r>
              <w:rPr>
                <w:rFonts w:hint="default" w:ascii="Times New Roman" w:hAnsi="Times New Roman" w:cs="Times New Roman"/>
                <w:color w:val="auto"/>
                <w:szCs w:val="21"/>
              </w:rPr>
              <w:t>一、二级保护区内</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项目与饮用水源位置关系见附图</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 xml:space="preserve">根据《达州市集中式饮用水水源保护管理条例》，集中式饮用水水源保护区内，禁止设置排污口。根据调查分析，本项目不涉及集中式饮用水源保护区。同时，项目不在凉水井水库的地下水补给和径流补给范围，项目对凉水井水库(村级)集中式饮用水水源地无影响。 </w:t>
            </w:r>
          </w:p>
          <w:p>
            <w:pPr>
              <w:numPr>
                <w:ilvl w:val="0"/>
                <w:numId w:val="3"/>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与“三线一单”的符合性分析</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2" w:firstLineChars="200"/>
              <w:jc w:val="left"/>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w:t>
            </w:r>
            <w:r>
              <w:rPr>
                <w:rFonts w:hint="default" w:ascii="Times New Roman" w:hAnsi="Times New Roman" w:eastAsia="宋体" w:cs="Times New Roman"/>
                <w:b/>
                <w:bCs/>
                <w:color w:val="auto"/>
                <w:kern w:val="0"/>
                <w:szCs w:val="21"/>
                <w:lang w:val="en-US" w:eastAsia="zh-CN"/>
              </w:rPr>
              <w:t>1</w:t>
            </w:r>
            <w:r>
              <w:rPr>
                <w:rFonts w:hint="default" w:ascii="Times New Roman" w:hAnsi="Times New Roman" w:eastAsia="宋体" w:cs="Times New Roman"/>
                <w:b/>
                <w:bCs/>
                <w:color w:val="auto"/>
                <w:kern w:val="0"/>
                <w:szCs w:val="21"/>
              </w:rPr>
              <w:t>）分析结构</w:t>
            </w:r>
          </w:p>
          <w:p>
            <w:pPr>
              <w:keepNext w:val="0"/>
              <w:keepLines w:val="0"/>
              <w:pageBreakBefore w:val="0"/>
              <w:widowControl w:val="0"/>
              <w:kinsoku/>
              <w:wordWrap/>
              <w:overflowPunct/>
              <w:topLinePunct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zh-CN" w:eastAsia="zh-CN"/>
              </w:rPr>
              <w:t>根据四川省生态环境厅“三线一单”应用平台导出的《四川省“三线一单”符合性分析报告》，并结合据四川省生态环境厅办公室关于印发《产业园区规划环评“三线一单”符合性分析技术要点（试行）》和《项目环评“三线一单”符合性分析技术要点（试行）》的通知（川环办函〔2021〕469号）要求，本项目属于污染影响型项目，且位于四川达州普光经济开发区总体规划（2019-2035）园区内，且园区规划环境影响评价中已经开展了园区与“三线一单”符合性分析，因此本项目环评只需分析与四川达州普光经济开发区总体规划环评生态环境准入要求的符合性分析。</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2" w:firstLineChars="200"/>
              <w:jc w:val="left"/>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zh-CN"/>
              </w:rPr>
              <w:t>（</w:t>
            </w:r>
            <w:r>
              <w:rPr>
                <w:rFonts w:hint="default" w:ascii="Times New Roman" w:hAnsi="Times New Roman" w:eastAsia="宋体" w:cs="Times New Roman"/>
                <w:b/>
                <w:bCs/>
                <w:color w:val="auto"/>
                <w:kern w:val="0"/>
                <w:szCs w:val="21"/>
                <w:lang w:val="en-US" w:eastAsia="zh-CN"/>
              </w:rPr>
              <w:t>2</w:t>
            </w:r>
            <w:r>
              <w:rPr>
                <w:rFonts w:hint="default" w:ascii="Times New Roman" w:hAnsi="Times New Roman" w:eastAsia="宋体" w:cs="Times New Roman"/>
                <w:b/>
                <w:bCs/>
                <w:color w:val="auto"/>
                <w:kern w:val="0"/>
                <w:szCs w:val="21"/>
                <w:lang w:val="zh-CN"/>
              </w:rPr>
              <w:t>）</w:t>
            </w:r>
            <w:r>
              <w:rPr>
                <w:rFonts w:hint="default" w:ascii="Times New Roman" w:hAnsi="Times New Roman" w:eastAsia="宋体" w:cs="Times New Roman"/>
                <w:b/>
                <w:bCs/>
                <w:color w:val="auto"/>
                <w:kern w:val="0"/>
                <w:szCs w:val="21"/>
                <w:lang w:val="en-US" w:eastAsia="zh-CN"/>
              </w:rPr>
              <w:t>分析要点</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2" w:firstLineChars="200"/>
              <w:jc w:val="left"/>
              <w:textAlignment w:val="auto"/>
              <w:rPr>
                <w:rFonts w:hint="default" w:ascii="Times New Roman" w:hAnsi="Times New Roman" w:eastAsia="宋体" w:cs="Times New Roman"/>
                <w:b/>
                <w:bCs/>
                <w:color w:val="auto"/>
                <w:kern w:val="0"/>
                <w:szCs w:val="21"/>
                <w:lang w:val="en-US"/>
              </w:rPr>
            </w:pPr>
            <w:r>
              <w:rPr>
                <w:rFonts w:hint="default" w:ascii="Times New Roman" w:hAnsi="Times New Roman" w:eastAsia="宋体" w:cs="Times New Roman"/>
                <w:b/>
                <w:bCs/>
                <w:color w:val="auto"/>
                <w:kern w:val="0"/>
                <w:szCs w:val="21"/>
                <w:lang w:val="en-US" w:eastAsia="zh-CN"/>
              </w:rPr>
              <w:t>①管控单元类别</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0" w:firstLineChars="200"/>
              <w:textAlignment w:val="auto"/>
              <w:rPr>
                <w:rFonts w:hint="default" w:ascii="Times New Roman" w:hAnsi="Times New Roman" w:eastAsia="宋体" w:cs="Times New Roman"/>
                <w:color w:val="auto"/>
                <w:kern w:val="0"/>
                <w:szCs w:val="21"/>
                <w:lang w:val="zh-CN"/>
              </w:rPr>
            </w:pPr>
            <w:r>
              <w:rPr>
                <w:rFonts w:hint="default" w:ascii="Times New Roman" w:hAnsi="Times New Roman" w:eastAsia="宋体" w:cs="Times New Roman"/>
                <w:color w:val="auto"/>
                <w:kern w:val="0"/>
                <w:szCs w:val="21"/>
                <w:lang w:val="zh-CN"/>
              </w:rPr>
              <w:t>根据达州市人民政府《关于落实生态保护红线、环境质量底线、资源利用上线制定生态环境准入清单实施生态环境分区管控的通知》（达市府发〔2021〕17号），全市行政区域从生态环境保护角度划分为优先保护、重点管控和一般管控三类环境管控单元，全市共划定46个综合环境管控单元。</w:t>
            </w:r>
          </w:p>
          <w:p>
            <w:pPr>
              <w:autoSpaceDE w:val="0"/>
              <w:autoSpaceDN w:val="0"/>
              <w:adjustRightInd w:val="0"/>
              <w:snapToGrid w:val="0"/>
              <w:spacing w:line="404" w:lineRule="exact"/>
              <w:ind w:firstLine="422"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b/>
                <w:color w:val="auto"/>
                <w:kern w:val="0"/>
                <w:szCs w:val="21"/>
                <w:lang w:val="zh-CN"/>
              </w:rPr>
              <w:t>优先保护单元。</w:t>
            </w:r>
            <w:r>
              <w:rPr>
                <w:rFonts w:hint="default" w:ascii="Times New Roman" w:hAnsi="Times New Roman" w:cs="Times New Roman"/>
                <w:color w:val="auto"/>
                <w:kern w:val="0"/>
                <w:szCs w:val="21"/>
                <w:lang w:val="zh-CN"/>
              </w:rPr>
              <w:t>以生态环境保护为主的区域，全市划分优先保护单元17个，主要包括生态保护红线、自然保护地、饮用水水源保护区等。</w:t>
            </w:r>
          </w:p>
          <w:p>
            <w:pPr>
              <w:autoSpaceDE w:val="0"/>
              <w:autoSpaceDN w:val="0"/>
              <w:adjustRightInd w:val="0"/>
              <w:snapToGrid w:val="0"/>
              <w:spacing w:line="404" w:lineRule="exact"/>
              <w:ind w:firstLine="422"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b/>
                <w:color w:val="auto"/>
                <w:kern w:val="0"/>
                <w:szCs w:val="21"/>
                <w:lang w:val="zh-CN"/>
              </w:rPr>
              <w:t>重点管控单元。</w:t>
            </w:r>
            <w:r>
              <w:rPr>
                <w:rFonts w:hint="default" w:ascii="Times New Roman" w:hAnsi="Times New Roman" w:cs="Times New Roman"/>
                <w:color w:val="auto"/>
                <w:kern w:val="0"/>
                <w:szCs w:val="21"/>
                <w:lang w:val="zh-CN"/>
              </w:rPr>
              <w:t>涉及水、大气、土壤、自然资源等资源环境要素重点管控的区域，全市划分重点管控单元22个，主要包括人口密集的城镇规划区和产业集聚的工业园区（工业集聚区）等。</w:t>
            </w:r>
          </w:p>
          <w:p>
            <w:pPr>
              <w:autoSpaceDE w:val="0"/>
              <w:autoSpaceDN w:val="0"/>
              <w:adjustRightInd w:val="0"/>
              <w:snapToGrid w:val="0"/>
              <w:spacing w:line="400" w:lineRule="exact"/>
              <w:ind w:firstLine="422" w:firstLineChars="200"/>
              <w:rPr>
                <w:rFonts w:hint="default" w:ascii="Times New Roman" w:hAnsi="Times New Roman" w:cs="Times New Roman"/>
                <w:color w:val="auto"/>
                <w:kern w:val="0"/>
                <w:szCs w:val="21"/>
                <w:lang w:val="zh-CN"/>
              </w:rPr>
            </w:pPr>
            <w:r>
              <w:rPr>
                <w:rFonts w:hint="default" w:ascii="Times New Roman" w:hAnsi="Times New Roman" w:cs="Times New Roman"/>
                <w:b/>
                <w:color w:val="auto"/>
                <w:kern w:val="0"/>
                <w:szCs w:val="21"/>
                <w:lang w:val="zh-CN"/>
              </w:rPr>
              <w:t>一般管控单元。</w:t>
            </w:r>
            <w:r>
              <w:rPr>
                <w:rFonts w:hint="default" w:ascii="Times New Roman" w:hAnsi="Times New Roman" w:cs="Times New Roman"/>
                <w:color w:val="auto"/>
                <w:kern w:val="0"/>
                <w:szCs w:val="21"/>
                <w:lang w:val="zh-CN"/>
              </w:rPr>
              <w:t>除优先保护单元和重点管控单元之外的其他区域，全市共划分一般管控单元7个。</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color w:val="auto"/>
                <w:kern w:val="0"/>
                <w:szCs w:val="21"/>
                <w:highlight w:val="none"/>
                <w:lang w:val="zh-CN" w:eastAsia="zh-CN"/>
              </w:rPr>
              <w:t>本项目</w:t>
            </w:r>
            <w:r>
              <w:rPr>
                <w:rFonts w:hint="eastAsia" w:cs="Times New Roman"/>
                <w:color w:val="auto"/>
                <w:kern w:val="0"/>
                <w:szCs w:val="21"/>
                <w:highlight w:val="none"/>
                <w:lang w:val="en-US" w:eastAsia="zh-CN"/>
              </w:rPr>
              <w:t>位于宣汉县普光经济开发区柳池工业园四川君璜建材有限公司内，</w:t>
            </w:r>
            <w:r>
              <w:rPr>
                <w:rFonts w:hint="default" w:ascii="Times New Roman" w:hAnsi="Times New Roman" w:cs="Times New Roman"/>
                <w:color w:val="auto"/>
                <w:kern w:val="0"/>
                <w:szCs w:val="21"/>
                <w:highlight w:val="none"/>
                <w:lang w:val="en-US" w:eastAsia="zh-CN"/>
              </w:rPr>
              <w:t>根据查询</w:t>
            </w:r>
            <w:r>
              <w:rPr>
                <w:rFonts w:hint="default" w:ascii="Times New Roman" w:hAnsi="Times New Roman" w:cs="Times New Roman"/>
                <w:color w:val="auto"/>
                <w:kern w:val="0"/>
                <w:szCs w:val="21"/>
                <w:highlight w:val="none"/>
              </w:rPr>
              <w:t>四川政务服务网—四川省生态环境厅“三线一单”应用平台</w:t>
            </w:r>
            <w:r>
              <w:rPr>
                <w:rFonts w:hint="default" w:ascii="Times New Roman" w:hAnsi="Times New Roman" w:cs="Times New Roman"/>
                <w:color w:val="auto"/>
                <w:kern w:val="0"/>
                <w:szCs w:val="21"/>
                <w:highlight w:val="none"/>
                <w:lang w:eastAsia="zh-CN"/>
              </w:rPr>
              <w:t>“http://103.203.219.138:8083/gis2/n_index.html”，</w:t>
            </w:r>
            <w:r>
              <w:rPr>
                <w:rFonts w:hint="default" w:ascii="Times New Roman" w:hAnsi="Times New Roman" w:cs="Times New Roman"/>
                <w:color w:val="auto"/>
                <w:szCs w:val="21"/>
                <w:highlight w:val="none"/>
                <w:lang w:eastAsia="zh-CN"/>
              </w:rPr>
              <w:t>项目</w:t>
            </w:r>
            <w:r>
              <w:rPr>
                <w:rFonts w:hint="eastAsia" w:cs="Times New Roman"/>
                <w:color w:val="auto"/>
                <w:szCs w:val="21"/>
                <w:highlight w:val="none"/>
                <w:lang w:val="en-US" w:eastAsia="zh-CN"/>
              </w:rPr>
              <w:t>位于达州市宣汉县环境综合管控单元工业重点管控单元（管控单元名称：四川达州普光经济开发区（含锂钾综合开发产业园），管控单元编号：ZH51172220002）</w:t>
            </w:r>
            <w:r>
              <w:rPr>
                <w:rFonts w:hint="default" w:ascii="Times New Roman" w:hAnsi="Times New Roman" w:cs="Times New Roman"/>
                <w:color w:val="auto"/>
                <w:szCs w:val="21"/>
                <w:highlight w:val="none"/>
                <w:lang w:eastAsia="zh-CN"/>
              </w:rPr>
              <w:t>。</w:t>
            </w:r>
          </w:p>
          <w:p>
            <w:pPr>
              <w:keepNext w:val="0"/>
              <w:keepLines w:val="0"/>
              <w:pageBreakBefore w:val="0"/>
              <w:widowControl w:val="0"/>
              <w:numPr>
                <w:ilvl w:val="0"/>
                <w:numId w:val="0"/>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240" w:lineRule="auto"/>
              <w:ind w:leftChars="0" w:right="0" w:rightChars="0"/>
              <w:jc w:val="center"/>
              <w:textAlignment w:val="auto"/>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drawing>
                <wp:inline distT="0" distB="0" distL="114300" distR="114300">
                  <wp:extent cx="4671695" cy="3472815"/>
                  <wp:effectExtent l="0" t="0" r="14605" b="13335"/>
                  <wp:docPr id="60" name="图片 1" descr="三线一单 查询（闽通迁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三线一单 查询（闽通迁建）"/>
                          <pic:cNvPicPr>
                            <a:picLocks noChangeAspect="1"/>
                          </pic:cNvPicPr>
                        </pic:nvPicPr>
                        <pic:blipFill>
                          <a:blip r:embed="rId14"/>
                          <a:stretch>
                            <a:fillRect/>
                          </a:stretch>
                        </pic:blipFill>
                        <pic:spPr>
                          <a:xfrm>
                            <a:off x="0" y="0"/>
                            <a:ext cx="4671695" cy="3472815"/>
                          </a:xfrm>
                          <a:prstGeom prst="rect">
                            <a:avLst/>
                          </a:prstGeom>
                          <a:noFill/>
                          <a:ln>
                            <a:noFill/>
                          </a:ln>
                        </pic:spPr>
                      </pic:pic>
                    </a:graphicData>
                  </a:graphic>
                </wp:inline>
              </w:drawing>
            </w: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en-US" w:eastAsia="zh-CN"/>
              </w:rPr>
              <w:t>项目“三线一单”冲突性分析查询截图</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eastAsia="黑体" w:cs="Times New Roman"/>
                <w:color w:val="auto"/>
                <w:kern w:val="0"/>
                <w:sz w:val="20"/>
                <w:szCs w:val="20"/>
                <w:highlight w:val="none"/>
                <w:lang w:val="en-US"/>
              </w:rPr>
            </w:pPr>
            <w:r>
              <w:rPr>
                <w:rFonts w:hint="default" w:ascii="Times New Roman" w:hAnsi="Times New Roman" w:cs="Times New Roman"/>
                <w:color w:val="auto"/>
                <w:szCs w:val="21"/>
                <w:highlight w:val="none"/>
                <w:lang w:val="en-US" w:eastAsia="zh-CN"/>
              </w:rPr>
              <w:t>项目涉及的环境管控单元见下表。</w:t>
            </w:r>
            <w:r>
              <w:rPr>
                <w:rFonts w:hint="eastAsia" w:cs="Times New Roman"/>
                <w:color w:val="auto"/>
                <w:szCs w:val="21"/>
                <w:highlight w:val="none"/>
                <w:lang w:val="en-US" w:eastAsia="zh-CN"/>
              </w:rPr>
              <w:t xml:space="preserve"> </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highlight w:val="none"/>
                <w:lang w:val="zh-CN" w:eastAsia="zh-CN"/>
              </w:rPr>
              <w:t>项目涉及管控单元</w:t>
            </w:r>
            <w:r>
              <w:rPr>
                <w:rFonts w:hint="default" w:ascii="Times New Roman" w:hAnsi="Times New Roman" w:eastAsia="黑体" w:cs="Times New Roman"/>
                <w:color w:val="auto"/>
                <w:kern w:val="0"/>
                <w:sz w:val="20"/>
                <w:szCs w:val="20"/>
                <w:highlight w:val="none"/>
                <w:lang w:val="en-US" w:eastAsia="zh-CN"/>
              </w:rPr>
              <w:t>一览</w:t>
            </w:r>
            <w:r>
              <w:rPr>
                <w:rFonts w:hint="default" w:ascii="Times New Roman" w:hAnsi="Times New Roman" w:eastAsia="黑体" w:cs="Times New Roman"/>
                <w:color w:val="auto"/>
                <w:kern w:val="0"/>
                <w:sz w:val="20"/>
                <w:szCs w:val="20"/>
                <w:lang w:val="zh-CN" w:eastAsia="zh-CN"/>
              </w:rPr>
              <w:t>表</w:t>
            </w:r>
          </w:p>
          <w:tbl>
            <w:tblPr>
              <w:tblStyle w:val="17"/>
              <w:tblW w:w="7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2271"/>
              <w:gridCol w:w="712"/>
              <w:gridCol w:w="125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1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bCs/>
                      <w:color w:val="auto"/>
                      <w:spacing w:val="-1"/>
                      <w:sz w:val="15"/>
                      <w:szCs w:val="15"/>
                    </w:rPr>
                  </w:pPr>
                  <w:r>
                    <w:rPr>
                      <w:rFonts w:hint="default" w:ascii="Times New Roman" w:hAnsi="Times New Roman" w:eastAsia="宋体" w:cs="Times New Roman"/>
                      <w:b/>
                      <w:bCs/>
                      <w:color w:val="auto"/>
                      <w:spacing w:val="-1"/>
                      <w:sz w:val="15"/>
                      <w:szCs w:val="15"/>
                    </w:rPr>
                    <w:t>环境管控单元编码</w:t>
                  </w:r>
                </w:p>
              </w:tc>
              <w:tc>
                <w:tcPr>
                  <w:tcW w:w="227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bCs/>
                      <w:color w:val="auto"/>
                      <w:spacing w:val="-1"/>
                      <w:sz w:val="15"/>
                      <w:szCs w:val="15"/>
                    </w:rPr>
                  </w:pPr>
                  <w:r>
                    <w:rPr>
                      <w:rFonts w:hint="default" w:ascii="Times New Roman" w:hAnsi="Times New Roman" w:eastAsia="宋体" w:cs="Times New Roman"/>
                      <w:b/>
                      <w:bCs/>
                      <w:color w:val="auto"/>
                      <w:spacing w:val="-1"/>
                      <w:sz w:val="15"/>
                      <w:szCs w:val="15"/>
                    </w:rPr>
                    <w:t>环境管控单元名称</w:t>
                  </w:r>
                </w:p>
              </w:tc>
              <w:tc>
                <w:tcPr>
                  <w:tcW w:w="71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bCs/>
                      <w:color w:val="auto"/>
                      <w:spacing w:val="-1"/>
                      <w:sz w:val="15"/>
                      <w:szCs w:val="15"/>
                    </w:rPr>
                  </w:pPr>
                  <w:r>
                    <w:rPr>
                      <w:rFonts w:hint="default" w:ascii="Times New Roman" w:hAnsi="Times New Roman" w:eastAsia="宋体" w:cs="Times New Roman"/>
                      <w:b/>
                      <w:bCs/>
                      <w:color w:val="auto"/>
                      <w:spacing w:val="-1"/>
                      <w:sz w:val="15"/>
                      <w:szCs w:val="15"/>
                    </w:rPr>
                    <w:t>所属区县</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bCs/>
                      <w:color w:val="auto"/>
                      <w:spacing w:val="-1"/>
                      <w:sz w:val="15"/>
                      <w:szCs w:val="15"/>
                    </w:rPr>
                  </w:pPr>
                  <w:r>
                    <w:rPr>
                      <w:rFonts w:hint="default" w:ascii="Times New Roman" w:hAnsi="Times New Roman" w:eastAsia="宋体" w:cs="Times New Roman"/>
                      <w:b/>
                      <w:bCs/>
                      <w:color w:val="auto"/>
                      <w:spacing w:val="-1"/>
                      <w:sz w:val="15"/>
                      <w:szCs w:val="15"/>
                    </w:rPr>
                    <w:t>准入清单类型</w:t>
                  </w:r>
                </w:p>
              </w:tc>
              <w:tc>
                <w:tcPr>
                  <w:tcW w:w="199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bCs/>
                      <w:color w:val="auto"/>
                      <w:spacing w:val="-1"/>
                      <w:sz w:val="15"/>
                      <w:szCs w:val="15"/>
                    </w:rPr>
                  </w:pPr>
                  <w:r>
                    <w:rPr>
                      <w:rFonts w:hint="default" w:ascii="Times New Roman" w:hAnsi="Times New Roman" w:eastAsia="宋体" w:cs="Times New Roman"/>
                      <w:b/>
                      <w:bCs/>
                      <w:color w:val="auto"/>
                      <w:spacing w:val="-1"/>
                      <w:sz w:val="15"/>
                      <w:szCs w:val="15"/>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blHeader/>
                <w:jc w:val="center"/>
              </w:trPr>
              <w:tc>
                <w:tcPr>
                  <w:tcW w:w="1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ZH51172220002</w:t>
                  </w:r>
                </w:p>
              </w:tc>
              <w:tc>
                <w:tcPr>
                  <w:tcW w:w="227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四川达州普光经济开发区（含锂钾综合开发产业园）</w:t>
                  </w:r>
                </w:p>
              </w:tc>
              <w:tc>
                <w:tcPr>
                  <w:tcW w:w="71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宣汉县</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环境管控单元</w:t>
                  </w:r>
                </w:p>
              </w:tc>
              <w:tc>
                <w:tcPr>
                  <w:tcW w:w="199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blHeader/>
                <w:jc w:val="center"/>
              </w:trPr>
              <w:tc>
                <w:tcPr>
                  <w:tcW w:w="1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YS5117222210001</w:t>
                  </w:r>
                </w:p>
              </w:tc>
              <w:tc>
                <w:tcPr>
                  <w:tcW w:w="227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州河宣汉县张鼓坪控制单元</w:t>
                  </w:r>
                </w:p>
              </w:tc>
              <w:tc>
                <w:tcPr>
                  <w:tcW w:w="71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宣汉县</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水环境管控分区</w:t>
                  </w:r>
                </w:p>
              </w:tc>
              <w:tc>
                <w:tcPr>
                  <w:tcW w:w="199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tblHeader/>
                <w:jc w:val="center"/>
              </w:trPr>
              <w:tc>
                <w:tcPr>
                  <w:tcW w:w="1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YS5117222310001</w:t>
                  </w:r>
                </w:p>
              </w:tc>
              <w:tc>
                <w:tcPr>
                  <w:tcW w:w="227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四川达州普光经济开发区（含锂钾综合开发产业园）</w:t>
                  </w:r>
                </w:p>
              </w:tc>
              <w:tc>
                <w:tcPr>
                  <w:tcW w:w="71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宣汉县</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大气环境管控分区</w:t>
                  </w:r>
                </w:p>
              </w:tc>
              <w:tc>
                <w:tcPr>
                  <w:tcW w:w="199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b w:val="0"/>
                      <w:bCs w:val="0"/>
                      <w:color w:val="auto"/>
                      <w:spacing w:val="-1"/>
                      <w:sz w:val="15"/>
                      <w:szCs w:val="15"/>
                      <w:lang w:val="en-US" w:eastAsia="zh-CN"/>
                    </w:rPr>
                  </w:pPr>
                  <w:r>
                    <w:rPr>
                      <w:rFonts w:hint="eastAsia" w:ascii="Times New Roman" w:hAnsi="Times New Roman" w:eastAsia="宋体" w:cs="Times New Roman"/>
                      <w:b w:val="0"/>
                      <w:bCs w:val="0"/>
                      <w:color w:val="auto"/>
                      <w:spacing w:val="-1"/>
                      <w:sz w:val="15"/>
                      <w:szCs w:val="15"/>
                      <w:lang w:val="en-US" w:eastAsia="zh-CN"/>
                    </w:rPr>
                    <w:t>大气环境高排放重点管控区</w:t>
                  </w:r>
                </w:p>
              </w:tc>
            </w:tr>
          </w:tbl>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项目</w:t>
            </w:r>
            <w:r>
              <w:rPr>
                <w:rFonts w:hint="default" w:ascii="Times New Roman" w:hAnsi="Times New Roman" w:cs="Times New Roman"/>
                <w:color w:val="auto"/>
                <w:szCs w:val="21"/>
                <w:highlight w:val="none"/>
              </w:rPr>
              <w:t>与管控单元相对位置如下图所示</w:t>
            </w:r>
            <w:r>
              <w:rPr>
                <w:rFonts w:hint="default" w:ascii="Times New Roman" w:hAnsi="Times New Roman" w:cs="Times New Roman"/>
                <w:color w:val="auto"/>
                <w:szCs w:val="21"/>
                <w:highlight w:val="none"/>
                <w:lang w:eastAsia="zh-CN"/>
              </w:rPr>
              <w:t>。</w:t>
            </w:r>
          </w:p>
          <w:p>
            <w:pPr>
              <w:keepNext w:val="0"/>
              <w:keepLines w:val="0"/>
              <w:pageBreakBefore w:val="0"/>
              <w:widowControl w:val="0"/>
              <w:numPr>
                <w:ilvl w:val="0"/>
                <w:numId w:val="0"/>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240" w:lineRule="auto"/>
              <w:ind w:leftChars="0" w:right="0" w:right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drawing>
                <wp:inline distT="0" distB="0" distL="114300" distR="114300">
                  <wp:extent cx="4655820" cy="2793365"/>
                  <wp:effectExtent l="9525" t="9525" r="20955" b="16510"/>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15"/>
                          <a:stretch>
                            <a:fillRect/>
                          </a:stretch>
                        </pic:blipFill>
                        <pic:spPr>
                          <a:xfrm>
                            <a:off x="0" y="0"/>
                            <a:ext cx="4655820" cy="2793365"/>
                          </a:xfrm>
                          <a:prstGeom prst="rect">
                            <a:avLst/>
                          </a:prstGeom>
                          <a:noFill/>
                          <a:ln w="6350"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320" w:lineRule="exact"/>
              <w:ind w:left="425" w:leftChars="0" w:right="0" w:rightChars="0" w:hanging="425" w:firstLineChars="0"/>
              <w:jc w:val="center"/>
              <w:textAlignment w:val="auto"/>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en-US" w:eastAsia="zh-CN"/>
              </w:rPr>
              <w:t>达州市环境管控单元图</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kern w:val="0"/>
                <w:szCs w:val="21"/>
                <w:highlight w:val="none"/>
                <w:lang w:val="zh-CN"/>
              </w:rPr>
            </w:pPr>
            <w:r>
              <w:rPr>
                <w:rFonts w:hint="default" w:ascii="Times New Roman" w:hAnsi="Times New Roman" w:cs="Times New Roman"/>
                <w:color w:val="auto"/>
                <w:kern w:val="0"/>
                <w:szCs w:val="21"/>
                <w:highlight w:val="none"/>
                <w:lang w:val="en-US" w:eastAsia="zh-CN"/>
              </w:rPr>
              <w:t>针对重点管控单元</w:t>
            </w:r>
            <w:r>
              <w:rPr>
                <w:rFonts w:hint="default" w:ascii="Times New Roman" w:hAnsi="Times New Roman" w:cs="Times New Roman"/>
                <w:color w:val="auto"/>
                <w:kern w:val="0"/>
                <w:szCs w:val="21"/>
                <w:highlight w:val="none"/>
                <w:lang w:val="zh-CN"/>
              </w:rPr>
              <w:t>，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kern w:val="0"/>
                <w:szCs w:val="21"/>
                <w:highlight w:val="none"/>
                <w:lang w:val="zh-CN"/>
              </w:rPr>
            </w:pPr>
            <w:r>
              <w:rPr>
                <w:rFonts w:hint="default" w:ascii="Times New Roman" w:hAnsi="Times New Roman" w:cs="Times New Roman"/>
                <w:color w:val="auto"/>
                <w:kern w:val="0"/>
                <w:szCs w:val="21"/>
                <w:highlight w:val="none"/>
                <w:lang w:val="zh-CN"/>
              </w:rPr>
              <w:t>本项目</w:t>
            </w:r>
            <w:r>
              <w:rPr>
                <w:rFonts w:hint="eastAsia" w:cs="Times New Roman"/>
                <w:color w:val="auto"/>
                <w:kern w:val="0"/>
                <w:szCs w:val="21"/>
                <w:highlight w:val="none"/>
                <w:lang w:val="en-US" w:eastAsia="zh-CN"/>
              </w:rPr>
              <w:t>所在区域为达标区，报告中</w:t>
            </w:r>
            <w:r>
              <w:rPr>
                <w:rFonts w:hint="default" w:ascii="Times New Roman" w:hAnsi="Times New Roman" w:cs="Times New Roman"/>
                <w:color w:val="auto"/>
                <w:kern w:val="0"/>
                <w:szCs w:val="21"/>
                <w:highlight w:val="none"/>
                <w:lang w:val="zh-CN"/>
              </w:rPr>
              <w:t>提出了污染物排放建议指标</w:t>
            </w:r>
            <w:r>
              <w:rPr>
                <w:rFonts w:hint="eastAsia" w:ascii="Times New Roman" w:hAnsi="Times New Roman" w:cs="Times New Roman"/>
                <w:color w:val="auto"/>
                <w:kern w:val="0"/>
                <w:szCs w:val="21"/>
                <w:highlight w:val="none"/>
                <w:lang w:val="zh-CN"/>
              </w:rPr>
              <w:t>。</w:t>
            </w:r>
            <w:r>
              <w:rPr>
                <w:rFonts w:hint="default" w:ascii="Times New Roman" w:hAnsi="Times New Roman" w:cs="Times New Roman"/>
                <w:color w:val="auto"/>
                <w:kern w:val="0"/>
                <w:szCs w:val="21"/>
                <w:highlight w:val="none"/>
                <w:lang w:val="zh-CN"/>
              </w:rPr>
              <w:t>通过采取有针对性的污染治理措施及生态保护措施，不会改变区域环境功能类别</w:t>
            </w:r>
            <w:r>
              <w:rPr>
                <w:rFonts w:hint="eastAsia" w:ascii="Times New Roman" w:hAnsi="Times New Roman" w:cs="Times New Roman"/>
                <w:color w:val="auto"/>
                <w:kern w:val="0"/>
                <w:szCs w:val="21"/>
                <w:highlight w:val="none"/>
                <w:lang w:val="zh-CN"/>
              </w:rPr>
              <w:t>，</w:t>
            </w:r>
            <w:r>
              <w:rPr>
                <w:rFonts w:hint="default" w:ascii="Times New Roman" w:hAnsi="Times New Roman" w:cs="Times New Roman"/>
                <w:color w:val="auto"/>
                <w:kern w:val="0"/>
                <w:szCs w:val="21"/>
                <w:highlight w:val="none"/>
                <w:lang w:val="zh-CN"/>
              </w:rPr>
              <w:t>能够守住建设区域的环境质量底线。</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2" w:firstLineChars="200"/>
              <w:jc w:val="left"/>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②与生态红线、生态空间及自然保护地的位置关系</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0" w:leftChars="0" w:right="0" w:rightChars="0" w:firstLine="420" w:firstLineChars="200"/>
              <w:jc w:val="both"/>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kern w:val="0"/>
                <w:szCs w:val="21"/>
                <w:lang w:val="zh-CN"/>
              </w:rPr>
              <w:t>根据《长江经济带战略环境评价四川省达州市“三线一单”生态环境分区管控优化完善研究报告》，达州市生态保护红线主要分布在大巴山和盆地区域，涉及大巴山生物多样性维护—水源涵养生态保护红线、盆中城市饮用水源—水土保持生态保护红线。</w:t>
            </w:r>
            <w:r>
              <w:rPr>
                <w:rFonts w:hint="default" w:ascii="Times New Roman" w:hAnsi="Times New Roman" w:eastAsia="宋体" w:cs="Times New Roman"/>
                <w:color w:val="auto"/>
                <w:kern w:val="0"/>
                <w:szCs w:val="21"/>
                <w:highlight w:val="none"/>
              </w:rPr>
              <w:t>达州市生态保护红线面积1214.56km</w:t>
            </w:r>
            <w:r>
              <w:rPr>
                <w:rFonts w:hint="default" w:ascii="Times New Roman" w:hAnsi="Times New Roman" w:eastAsia="宋体" w:cs="Times New Roman"/>
                <w:color w:val="auto"/>
                <w:kern w:val="0"/>
                <w:szCs w:val="21"/>
                <w:highlight w:val="none"/>
                <w:vertAlign w:val="superscript"/>
              </w:rPr>
              <w:t>2</w:t>
            </w:r>
            <w:r>
              <w:rPr>
                <w:rFonts w:hint="default" w:ascii="Times New Roman" w:hAnsi="Times New Roman" w:eastAsia="宋体" w:cs="Times New Roman"/>
                <w:color w:val="auto"/>
                <w:kern w:val="0"/>
                <w:szCs w:val="21"/>
                <w:highlight w:val="none"/>
              </w:rPr>
              <w:t>，占达州市国土面积比例的7.33%</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lang w:val="en-US" w:eastAsia="zh-CN"/>
              </w:rPr>
              <w:t>达州市的生态空间类型主要包括评估区域（生态功能重要区、生态环境敏感区）、自然保护区、风景名胜区、饮用水源地、湿地自然公园、森林自然公园、地质自然公园、其他重要生态保护区域等，</w:t>
            </w:r>
            <w:r>
              <w:rPr>
                <w:rFonts w:hint="default" w:ascii="Times New Roman" w:hAnsi="Times New Roman" w:eastAsia="宋体" w:cs="Times New Roman"/>
                <w:color w:val="auto"/>
                <w:kern w:val="0"/>
                <w:szCs w:val="21"/>
                <w:highlight w:val="none"/>
              </w:rPr>
              <w:t>面积</w:t>
            </w:r>
            <w:r>
              <w:rPr>
                <w:rFonts w:hint="default" w:ascii="Times New Roman" w:hAnsi="Times New Roman" w:eastAsia="宋体" w:cs="Times New Roman"/>
                <w:color w:val="auto"/>
                <w:kern w:val="0"/>
                <w:szCs w:val="21"/>
                <w:highlight w:val="none"/>
                <w:lang w:val="en-US" w:eastAsia="zh-CN"/>
              </w:rPr>
              <w:t>7308.21</w:t>
            </w:r>
            <w:r>
              <w:rPr>
                <w:rFonts w:hint="default" w:ascii="Times New Roman" w:hAnsi="Times New Roman" w:eastAsia="宋体" w:cs="Times New Roman"/>
                <w:color w:val="auto"/>
                <w:kern w:val="0"/>
                <w:szCs w:val="21"/>
                <w:highlight w:val="none"/>
              </w:rPr>
              <w:t>km</w:t>
            </w:r>
            <w:r>
              <w:rPr>
                <w:rFonts w:hint="default" w:ascii="Times New Roman" w:hAnsi="Times New Roman" w:eastAsia="宋体" w:cs="Times New Roman"/>
                <w:color w:val="auto"/>
                <w:kern w:val="0"/>
                <w:szCs w:val="21"/>
                <w:highlight w:val="none"/>
                <w:vertAlign w:val="superscript"/>
              </w:rPr>
              <w:t>2</w:t>
            </w:r>
            <w:r>
              <w:rPr>
                <w:rFonts w:hint="default" w:ascii="Times New Roman" w:hAnsi="Times New Roman" w:eastAsia="宋体" w:cs="Times New Roman"/>
                <w:color w:val="auto"/>
                <w:kern w:val="0"/>
                <w:szCs w:val="21"/>
                <w:highlight w:val="none"/>
              </w:rPr>
              <w:t>，占达州市国土面积比例的</w:t>
            </w:r>
            <w:r>
              <w:rPr>
                <w:rFonts w:hint="default" w:ascii="Times New Roman" w:hAnsi="Times New Roman" w:eastAsia="宋体" w:cs="Times New Roman"/>
                <w:color w:val="auto"/>
                <w:kern w:val="0"/>
                <w:szCs w:val="21"/>
                <w:highlight w:val="none"/>
                <w:lang w:val="en-US" w:eastAsia="zh-CN"/>
              </w:rPr>
              <w:t>44.05</w:t>
            </w:r>
            <w:r>
              <w:rPr>
                <w:rFonts w:hint="default" w:ascii="Times New Roman" w:hAnsi="Times New Roman" w:eastAsia="宋体" w:cs="Times New Roman"/>
                <w:color w:val="auto"/>
                <w:kern w:val="0"/>
                <w:szCs w:val="21"/>
                <w:highlight w:val="none"/>
              </w:rPr>
              <w:t>%</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lang w:val="en-US" w:eastAsia="zh-CN"/>
              </w:rPr>
              <w:t>其中自然保护区有3处，分别为四川花萼山国家级自然保护区、四川蜂桶山省级自然保护区、四川宣汉县百里峡自然保护区，其边界与项目边界距离分别约为</w:t>
            </w:r>
            <w:r>
              <w:rPr>
                <w:rFonts w:hint="eastAsia" w:cs="Times New Roman"/>
                <w:color w:val="auto"/>
                <w:kern w:val="0"/>
                <w:szCs w:val="21"/>
                <w:highlight w:val="none"/>
                <w:lang w:val="en-US" w:eastAsia="zh-CN"/>
              </w:rPr>
              <w:t>75</w:t>
            </w:r>
            <w:r>
              <w:rPr>
                <w:rFonts w:hint="default" w:ascii="Times New Roman" w:hAnsi="Times New Roman" w:eastAsia="宋体" w:cs="Times New Roman"/>
                <w:color w:val="auto"/>
                <w:kern w:val="0"/>
                <w:szCs w:val="21"/>
                <w:highlight w:val="none"/>
                <w:lang w:val="en-US" w:eastAsia="zh-CN"/>
              </w:rPr>
              <w:t>km、</w:t>
            </w:r>
            <w:r>
              <w:rPr>
                <w:rFonts w:hint="eastAsia" w:cs="Times New Roman"/>
                <w:color w:val="auto"/>
                <w:kern w:val="0"/>
                <w:szCs w:val="21"/>
                <w:highlight w:val="none"/>
                <w:lang w:val="en-US" w:eastAsia="zh-CN"/>
              </w:rPr>
              <w:t>67</w:t>
            </w:r>
            <w:r>
              <w:rPr>
                <w:rFonts w:hint="default" w:ascii="Times New Roman" w:hAnsi="Times New Roman" w:eastAsia="宋体" w:cs="Times New Roman"/>
                <w:color w:val="auto"/>
                <w:kern w:val="0"/>
                <w:szCs w:val="21"/>
                <w:highlight w:val="none"/>
                <w:lang w:val="en-US" w:eastAsia="zh-CN"/>
              </w:rPr>
              <w:t>km、</w:t>
            </w:r>
            <w:r>
              <w:rPr>
                <w:rFonts w:hint="eastAsia" w:cs="Times New Roman"/>
                <w:color w:val="auto"/>
                <w:kern w:val="0"/>
                <w:szCs w:val="21"/>
                <w:highlight w:val="none"/>
                <w:lang w:val="en-US" w:eastAsia="zh-CN"/>
              </w:rPr>
              <w:t>60</w:t>
            </w:r>
            <w:r>
              <w:rPr>
                <w:rFonts w:hint="default" w:ascii="Times New Roman" w:hAnsi="Times New Roman" w:eastAsia="宋体" w:cs="Times New Roman"/>
                <w:color w:val="auto"/>
                <w:kern w:val="0"/>
                <w:szCs w:val="21"/>
                <w:highlight w:val="none"/>
                <w:lang w:val="en-US" w:eastAsia="zh-CN"/>
              </w:rPr>
              <w:t>km。</w:t>
            </w:r>
            <w:r>
              <w:rPr>
                <w:rFonts w:hint="default" w:ascii="Times New Roman" w:hAnsi="Times New Roman" w:cs="Times New Roman"/>
                <w:color w:val="auto"/>
                <w:kern w:val="0"/>
                <w:szCs w:val="21"/>
                <w:highlight w:val="none"/>
                <w:lang w:val="en-US" w:eastAsia="zh-CN"/>
              </w:rPr>
              <w:t>达州市生态保护红线分布图</w:t>
            </w:r>
            <w:r>
              <w:rPr>
                <w:rFonts w:hint="default" w:ascii="Times New Roman" w:hAnsi="Times New Roman" w:cs="Times New Roman"/>
                <w:color w:val="auto"/>
                <w:kern w:val="0"/>
                <w:szCs w:val="21"/>
                <w:highlight w:val="none"/>
                <w:lang w:eastAsia="zh-CN"/>
              </w:rPr>
              <w:t>如下。</w:t>
            </w:r>
            <w:r>
              <w:rPr>
                <w:rFonts w:hint="default" w:ascii="Times New Roman" w:hAnsi="Times New Roman" w:cs="Times New Roman"/>
                <w:color w:val="auto"/>
                <w:kern w:val="0"/>
                <w:szCs w:val="21"/>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240" w:lineRule="auto"/>
              <w:ind w:right="-31" w:rightChars="-15"/>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 w:val="21"/>
              </w:rPr>
              <mc:AlternateContent>
                <mc:Choice Requires="wpg">
                  <w:drawing>
                    <wp:inline distT="0" distB="0" distL="114300" distR="114300">
                      <wp:extent cx="4923155" cy="3136265"/>
                      <wp:effectExtent l="0" t="0" r="10795" b="6985"/>
                      <wp:docPr id="5" name="组合 73"/>
                      <wp:cNvGraphicFramePr/>
                      <a:graphic xmlns:a="http://schemas.openxmlformats.org/drawingml/2006/main">
                        <a:graphicData uri="http://schemas.microsoft.com/office/word/2010/wordprocessingGroup">
                          <wpg:wgp>
                            <wpg:cNvGrpSpPr/>
                            <wpg:grpSpPr>
                              <a:xfrm>
                                <a:off x="0" y="0"/>
                                <a:ext cx="4923155" cy="3136265"/>
                                <a:chOff x="2548" y="89256"/>
                                <a:chExt cx="7901" cy="5083"/>
                              </a:xfrm>
                            </wpg:grpSpPr>
                            <pic:pic xmlns:pic="http://schemas.openxmlformats.org/drawingml/2006/picture">
                              <pic:nvPicPr>
                                <pic:cNvPr id="1" name="图片 65" descr="G:\1\达州成果\现阶段成果\达州5月出图\生态保护红线.jpg"/>
                                <pic:cNvPicPr>
                                  <a:picLocks noChangeAspect="1"/>
                                </pic:cNvPicPr>
                              </pic:nvPicPr>
                              <pic:blipFill>
                                <a:blip r:embed="rId16"/>
                                <a:srcRect t="4436" r="777" b="4152"/>
                                <a:stretch>
                                  <a:fillRect/>
                                </a:stretch>
                              </pic:blipFill>
                              <pic:spPr>
                                <a:xfrm>
                                  <a:off x="2548" y="89256"/>
                                  <a:ext cx="7901" cy="5083"/>
                                </a:xfrm>
                                <a:prstGeom prst="rect">
                                  <a:avLst/>
                                </a:prstGeom>
                                <a:noFill/>
                                <a:ln>
                                  <a:noFill/>
                                </a:ln>
                              </pic:spPr>
                            </pic:pic>
                            <wpg:grpSp>
                              <wpg:cNvPr id="4" name="组合 66"/>
                              <wpg:cNvGrpSpPr/>
                              <wpg:grpSpPr>
                                <a:xfrm>
                                  <a:off x="4184" y="90632"/>
                                  <a:ext cx="1532" cy="1150"/>
                                  <a:chOff x="11103" y="77554"/>
                                  <a:chExt cx="1354" cy="993"/>
                                </a:xfrm>
                              </wpg:grpSpPr>
                              <wps:wsp>
                                <wps:cNvPr id="2" name="自选图形 67"/>
                                <wps:cNvSpPr/>
                                <wps:spPr>
                                  <a:xfrm>
                                    <a:off x="12380" y="78472"/>
                                    <a:ext cx="77" cy="75"/>
                                  </a:xfrm>
                                  <a:custGeom>
                                    <a:avLst/>
                                    <a:gdLst>
                                      <a:gd name="txL" fmla="*/ 0 w 137"/>
                                      <a:gd name="txT" fmla="*/ 0 h 123"/>
                                      <a:gd name="txR" fmla="*/ 137 w 137"/>
                                      <a:gd name="txB" fmla="*/ 123 h 123"/>
                                    </a:gdLst>
                                    <a:ahLst/>
                                    <a:cxnLst>
                                      <a:cxn ang="16187392">
                                        <a:pos x="68" y="0"/>
                                      </a:cxn>
                                      <a:cxn ang="10747904">
                                        <a:pos x="0" y="46"/>
                                      </a:cxn>
                                      <a:cxn ang="5373952">
                                        <a:pos x="26" y="122"/>
                                      </a:cxn>
                                      <a:cxn ang="5373952">
                                        <a:pos x="110" y="122"/>
                                      </a:cxn>
                                      <a:cxn ang="0">
                                        <a:pos x="136" y="46"/>
                                      </a:cxn>
                                    </a:cxnLst>
                                    <a:rect l="txL" t="txT" r="txR" b="txB"/>
                                    <a:pathLst>
                                      <a:path w="137" h="123">
                                        <a:moveTo>
                                          <a:pt x="0" y="46"/>
                                        </a:moveTo>
                                        <a:lnTo>
                                          <a:pt x="52" y="46"/>
                                        </a:lnTo>
                                        <a:lnTo>
                                          <a:pt x="68" y="0"/>
                                        </a:lnTo>
                                        <a:lnTo>
                                          <a:pt x="84" y="46"/>
                                        </a:lnTo>
                                        <a:lnTo>
                                          <a:pt x="136" y="46"/>
                                        </a:lnTo>
                                        <a:lnTo>
                                          <a:pt x="94" y="76"/>
                                        </a:lnTo>
                                        <a:lnTo>
                                          <a:pt x="110" y="122"/>
                                        </a:lnTo>
                                        <a:lnTo>
                                          <a:pt x="68" y="93"/>
                                        </a:lnTo>
                                        <a:lnTo>
                                          <a:pt x="26" y="122"/>
                                        </a:lnTo>
                                        <a:lnTo>
                                          <a:pt x="42" y="76"/>
                                        </a:lnTo>
                                        <a:close/>
                                      </a:path>
                                    </a:pathLst>
                                  </a:custGeom>
                                  <a:solidFill>
                                    <a:srgbClr val="FF0000">
                                      <a:alpha val="29999"/>
                                    </a:srgbClr>
                                  </a:solidFill>
                                  <a:ln w="9525" cap="flat" cmpd="sng">
                                    <a:solidFill>
                                      <a:srgbClr val="FF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00</w:t>
                                      </w:r>
                                    </w:p>
                                  </w:txbxContent>
                                </wps:txbx>
                                <wps:bodyPr upright="1"/>
                              </wps:wsp>
                              <wps:wsp>
                                <wps:cNvPr id="3" name="自选图形 68"/>
                                <wps:cNvSpPr/>
                                <wps:spPr>
                                  <a:xfrm>
                                    <a:off x="11103" y="77554"/>
                                    <a:ext cx="936" cy="218"/>
                                  </a:xfrm>
                                  <a:prstGeom prst="wedgeRectCallout">
                                    <a:avLst>
                                      <a:gd name="adj1" fmla="val 89764"/>
                                      <a:gd name="adj2" fmla="val 384287"/>
                                    </a:avLst>
                                  </a:prstGeom>
                                  <a:solidFill>
                                    <a:srgbClr val="FDEADA">
                                      <a:alpha val="29999"/>
                                    </a:srgbClr>
                                  </a:solidFill>
                                  <a:ln w="3175" cap="flat" cmpd="sng">
                                    <a:solidFill>
                                      <a:srgbClr val="000000"/>
                                    </a:solidFill>
                                    <a:prstDash val="solid"/>
                                    <a:miter/>
                                    <a:headEnd type="none" w="med" len="med"/>
                                    <a:tailEnd type="none" w="med" len="med"/>
                                  </a:ln>
                                </wps:spPr>
                                <wps:txbx>
                                  <w:txbxContent>
                                    <w:p>
                                      <w:pPr>
                                        <w:jc w:val="center"/>
                                        <w:rPr>
                                          <w:rFonts w:hint="default" w:eastAsia="宋体"/>
                                          <w:b/>
                                          <w:bCs/>
                                          <w:sz w:val="18"/>
                                          <w:szCs w:val="21"/>
                                          <w:lang w:val="en-US" w:eastAsia="zh-CN"/>
                                        </w:rPr>
                                      </w:pPr>
                                      <w:r>
                                        <w:rPr>
                                          <w:rFonts w:hint="eastAsia"/>
                                          <w:b/>
                                          <w:bCs/>
                                          <w:sz w:val="18"/>
                                          <w:szCs w:val="21"/>
                                          <w:lang w:val="en-US" w:eastAsia="zh-CN"/>
                                        </w:rPr>
                                        <w:t>项目所在地</w:t>
                                      </w:r>
                                    </w:p>
                                  </w:txbxContent>
                                </wps:txbx>
                                <wps:bodyPr lIns="0" tIns="0" rIns="0" bIns="0" upright="1"/>
                              </wps:wsp>
                            </wpg:grpSp>
                          </wpg:wgp>
                        </a:graphicData>
                      </a:graphic>
                    </wp:inline>
                  </w:drawing>
                </mc:Choice>
                <mc:Fallback>
                  <w:pict>
                    <v:group id="组合 73" o:spid="_x0000_s1026" o:spt="203" style="height:246.95pt;width:387.65pt;" coordorigin="2548,89256" coordsize="7901,5083" o:gfxdata="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">
                      <o:lock v:ext="edit" aspectratio="f"/>
                      <v:shape id="图片 65" o:spid="_x0000_s1026" o:spt="75" alt="G:\1\达州成果\现阶段成果\达州5月出图\生态保护红线.jpg" type="#_x0000_t75" style="position:absolute;left:2548;top:89256;height:5083;width:7901;" filled="f" o:preferrelative="t" stroked="f" coordsize="21600,21600" o:gfxdata="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ZufL4A&#10;AADaAAAADwAAAAAAAAABACAAAAAiAAAAZHJzL2Rvd25yZXYueG1sUEsBAhQAFAAAAAgAh07iQDMv&#10;BZ47AAAAOQAAABAAAAAAAAAAAQAgAAAADQEAAGRycy9zaGFwZXhtbC54bWxQSwUGAAAAAAYABgBb&#10;AQAAtwMAAAAA&#10;">
                        <v:fill on="f" focussize="0,0"/>
                        <v:stroke on="f"/>
                        <v:imagedata r:id="rId16" croptop="2907f" cropright="509f" cropbottom="2721f" o:title="G:\1\达州成果\现阶段成果\达州5月出图\生态保护红线.jpg"/>
                        <o:lock v:ext="edit" aspectratio="t"/>
                      </v:shape>
                      <v:group id="组合 66" o:spid="_x0000_s1026" o:spt="203" style="position:absolute;left:4184;top:90632;height:1150;width:1532;" coordorigin="11103,77554" coordsize="1354,993"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自选图形 67" o:spid="_x0000_s1026" o:spt="100" style="position:absolute;left:12380;top:78472;height:75;width:77;" fillcolor="#FF0000" filled="t" stroked="t" coordsize="137,123" o:gfxdata="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Bn67sAAADa&#10;AAAADwAAAAAAAAABACAAAAAiAAAAZHJzL2Rvd25yZXYueG1sUEsBAhQAFAAAAAgAh07iQDMvBZ47&#10;AAAAOQAAABAAAAAAAAAAAQAgAAAACgEAAGRycy9zaGFwZXhtbC54bWxQSwUGAAAAAAYABgBbAQAA&#10;tAMAAAAA&#10;" path="m0,46l52,46,68,0,84,46,136,46,94,76,110,122,68,93,26,122,42,76xe">
                          <v:path textboxrect="0,0,137,123" o:connectlocs="68,0;0,46;26,122;110,122;136,46" o:connectangles="247,164,82,82,0"/>
                          <v:fill on="t" opacity="19660f" focussize="0,0"/>
                          <v:stroke color="#FF0000" joinstyle="miter"/>
                          <v:imagedata o:title=""/>
                          <o:lock v:ext="edit" aspectratio="f"/>
                          <v:textbox>
                            <w:txbxContent>
                              <w:p>
                                <w:pPr>
                                  <w:rPr>
                                    <w:rFonts w:hint="default" w:eastAsia="宋体"/>
                                    <w:lang w:val="en-US" w:eastAsia="zh-CN"/>
                                  </w:rPr>
                                </w:pPr>
                                <w:r>
                                  <w:rPr>
                                    <w:rFonts w:hint="eastAsia"/>
                                    <w:lang w:val="en-US" w:eastAsia="zh-CN"/>
                                  </w:rPr>
                                  <w:t>00</w:t>
                                </w:r>
                              </w:p>
                            </w:txbxContent>
                          </v:textbox>
                        </v:shape>
                        <v:shape id="自选图形 68" o:spid="_x0000_s1026" o:spt="61" type="#_x0000_t61" style="position:absolute;left:11103;top:77554;height:218;width:936;" fillcolor="#FDEADA" filled="t" stroked="t" coordsize="21600,21600" o:gfxdata="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dyfrugAAANoA&#10;AAAPAAAAAAAAAAEAIAAAACIAAABkcnMvZG93bnJldi54bWxQSwECFAAUAAAACACHTuJAMy8FnjsA&#10;AAA5AAAAEAAAAAAAAAABACAAAAAJAQAAZHJzL3NoYXBleG1sLnhtbFBLBQYAAAAABgAGAFsBAACz&#10;AwAAAAA=&#10;" adj="30189,93806">
                          <v:fill on="t" opacity="19660f" focussize="0,0"/>
                          <v:stroke weight="0.25pt" color="#000000" joinstyle="miter"/>
                          <v:imagedata o:title=""/>
                          <o:lock v:ext="edit" aspectratio="f"/>
                          <v:textbox inset="0mm,0mm,0mm,0mm">
                            <w:txbxContent>
                              <w:p>
                                <w:pPr>
                                  <w:jc w:val="center"/>
                                  <w:rPr>
                                    <w:rFonts w:hint="default" w:eastAsia="宋体"/>
                                    <w:b/>
                                    <w:bCs/>
                                    <w:sz w:val="18"/>
                                    <w:szCs w:val="21"/>
                                    <w:lang w:val="en-US" w:eastAsia="zh-CN"/>
                                  </w:rPr>
                                </w:pPr>
                                <w:r>
                                  <w:rPr>
                                    <w:rFonts w:hint="eastAsia"/>
                                    <w:b/>
                                    <w:bCs/>
                                    <w:sz w:val="18"/>
                                    <w:szCs w:val="21"/>
                                    <w:lang w:val="en-US" w:eastAsia="zh-CN"/>
                                  </w:rPr>
                                  <w:t>项目所在地</w:t>
                                </w:r>
                              </w:p>
                            </w:txbxContent>
                          </v:textbox>
                        </v:shape>
                      </v:group>
                      <w10:wrap type="none"/>
                      <w10:anchorlock/>
                    </v:group>
                  </w:pict>
                </mc:Fallback>
              </mc:AlternateContent>
            </w: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en-US" w:eastAsia="zh-CN"/>
              </w:rPr>
              <w:t>达州市生态保护红线分布图</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0" w:leftChars="0" w:right="0" w:rightChars="0" w:firstLine="420" w:firstLineChars="200"/>
              <w:jc w:val="both"/>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达州市生态空间分布图如下。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53" w:rightChars="25"/>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mc:AlternateContent>
                <mc:Choice Requires="wpg">
                  <w:drawing>
                    <wp:inline distT="0" distB="0" distL="114300" distR="114300">
                      <wp:extent cx="4969510" cy="3201035"/>
                      <wp:effectExtent l="0" t="0" r="2540" b="18415"/>
                      <wp:docPr id="10" name="组合 76"/>
                      <wp:cNvGraphicFramePr/>
                      <a:graphic xmlns:a="http://schemas.openxmlformats.org/drawingml/2006/main">
                        <a:graphicData uri="http://schemas.microsoft.com/office/word/2010/wordprocessingGroup">
                          <wpg:wgp>
                            <wpg:cNvGrpSpPr/>
                            <wpg:grpSpPr>
                              <a:xfrm>
                                <a:off x="0" y="0"/>
                                <a:ext cx="4969510" cy="3201035"/>
                                <a:chOff x="2656" y="94941"/>
                                <a:chExt cx="7814" cy="5428"/>
                              </a:xfrm>
                            </wpg:grpSpPr>
                            <pic:pic xmlns:pic="http://schemas.openxmlformats.org/drawingml/2006/picture">
                              <pic:nvPicPr>
                                <pic:cNvPr id="6" name="图片 10330" descr="G:\1\达州成果\现阶段成果\达州5月出图\生态空间.jpg"/>
                                <pic:cNvPicPr>
                                  <a:picLocks noChangeAspect="1"/>
                                </pic:cNvPicPr>
                              </pic:nvPicPr>
                              <pic:blipFill>
                                <a:blip r:embed="rId17"/>
                                <a:srcRect t="3888" r="700" b="3442"/>
                                <a:stretch>
                                  <a:fillRect/>
                                </a:stretch>
                              </pic:blipFill>
                              <pic:spPr>
                                <a:xfrm>
                                  <a:off x="2656" y="94941"/>
                                  <a:ext cx="7814" cy="5428"/>
                                </a:xfrm>
                                <a:prstGeom prst="rect">
                                  <a:avLst/>
                                </a:prstGeom>
                                <a:noFill/>
                                <a:ln>
                                  <a:noFill/>
                                </a:ln>
                              </pic:spPr>
                            </pic:pic>
                            <wpg:grpSp>
                              <wpg:cNvPr id="9" name="组合 78"/>
                              <wpg:cNvGrpSpPr/>
                              <wpg:grpSpPr>
                                <a:xfrm>
                                  <a:off x="5705" y="97611"/>
                                  <a:ext cx="1404" cy="1148"/>
                                  <a:chOff x="5366" y="97750"/>
                                  <a:chExt cx="1404" cy="1148"/>
                                </a:xfrm>
                              </wpg:grpSpPr>
                              <wps:wsp>
                                <wps:cNvPr id="7" name="圆角矩形标注 48"/>
                                <wps:cNvSpPr/>
                                <wps:spPr>
                                  <a:xfrm>
                                    <a:off x="5617" y="98573"/>
                                    <a:ext cx="1153" cy="325"/>
                                  </a:xfrm>
                                  <a:prstGeom prst="wedgeRoundRectCallout">
                                    <a:avLst>
                                      <a:gd name="adj1" fmla="val -68847"/>
                                      <a:gd name="adj2" fmla="val -291153"/>
                                      <a:gd name="adj3" fmla="val 16667"/>
                                    </a:avLst>
                                  </a:prstGeom>
                                  <a:noFill/>
                                  <a:ln w="9525" cap="flat" cmpd="sng">
                                    <a:solidFill>
                                      <a:srgbClr val="FF0000"/>
                                    </a:solidFill>
                                    <a:prstDash val="solid"/>
                                    <a:miter/>
                                    <a:headEnd type="none" w="med" len="med"/>
                                    <a:tailEnd type="none" w="med" len="med"/>
                                  </a:ln>
                                </wps:spPr>
                                <wps:txbx>
                                  <w:txbxContent>
                                    <w:p>
                                      <w:pPr>
                                        <w:spacing w:line="240" w:lineRule="exact"/>
                                        <w:ind w:left="-105" w:leftChars="-50" w:right="-105" w:rightChars="-50"/>
                                        <w:jc w:val="center"/>
                                        <w:rPr>
                                          <w:rFonts w:hint="eastAsia" w:ascii="Times New Roman" w:hAnsi="Times New Roman" w:eastAsia="宋体" w:cs="Times New Roman"/>
                                          <w:b/>
                                          <w:color w:val="FF0000"/>
                                          <w:sz w:val="20"/>
                                          <w:szCs w:val="22"/>
                                          <w:lang w:eastAsia="zh-CN"/>
                                        </w:rPr>
                                      </w:pPr>
                                      <w:r>
                                        <w:rPr>
                                          <w:rFonts w:ascii="Times New Roman" w:hAnsi="Times New Roman" w:eastAsia="宋体" w:cs="Times New Roman"/>
                                          <w:b/>
                                          <w:color w:val="FF0000"/>
                                          <w:sz w:val="20"/>
                                          <w:szCs w:val="22"/>
                                        </w:rPr>
                                        <w:t>项目所在地</w:t>
                                      </w:r>
                                    </w:p>
                                  </w:txbxContent>
                                </wps:txbx>
                                <wps:bodyPr lIns="0" tIns="0" rIns="0" bIns="0" upright="1"/>
                              </wps:wsp>
                              <wps:wsp>
                                <wps:cNvPr id="8" name="五角星 47"/>
                                <wps:cNvSpPr/>
                                <wps:spPr>
                                  <a:xfrm>
                                    <a:off x="5366" y="97750"/>
                                    <a:ext cx="41" cy="58"/>
                                  </a:xfrm>
                                  <a:custGeom>
                                    <a:avLst/>
                                    <a:gdLst/>
                                    <a:ahLst/>
                                    <a:cxnLst>
                                      <a:cxn ang="16187392">
                                        <a:pos x="28" y="0"/>
                                      </a:cxn>
                                      <a:cxn ang="10747904">
                                        <a:pos x="0" y="21"/>
                                      </a:cxn>
                                      <a:cxn ang="5373952">
                                        <a:pos x="10" y="55"/>
                                      </a:cxn>
                                      <a:cxn ang="5373952">
                                        <a:pos x="45" y="55"/>
                                      </a:cxn>
                                      <a:cxn ang="0">
                                        <a:pos x="55" y="21"/>
                                      </a:cxn>
                                    </a:cxnLst>
                                    <a:pathLst>
                                      <a:path w="56" h="56">
                                        <a:moveTo>
                                          <a:pt x="0" y="21"/>
                                        </a:moveTo>
                                        <a:lnTo>
                                          <a:pt x="21" y="21"/>
                                        </a:lnTo>
                                        <a:lnTo>
                                          <a:pt x="28" y="0"/>
                                        </a:lnTo>
                                        <a:lnTo>
                                          <a:pt x="34" y="21"/>
                                        </a:lnTo>
                                        <a:lnTo>
                                          <a:pt x="55" y="21"/>
                                        </a:lnTo>
                                        <a:lnTo>
                                          <a:pt x="38" y="34"/>
                                        </a:lnTo>
                                        <a:lnTo>
                                          <a:pt x="45" y="55"/>
                                        </a:lnTo>
                                        <a:lnTo>
                                          <a:pt x="28" y="42"/>
                                        </a:lnTo>
                                        <a:lnTo>
                                          <a:pt x="10" y="55"/>
                                        </a:lnTo>
                                        <a:lnTo>
                                          <a:pt x="17" y="34"/>
                                        </a:lnTo>
                                        <a:close/>
                                      </a:path>
                                    </a:pathLst>
                                  </a:custGeom>
                                  <a:solidFill>
                                    <a:srgbClr val="FF0000"/>
                                  </a:solidFill>
                                  <a:ln w="9525" cap="flat" cmpd="sng">
                                    <a:solidFill>
                                      <a:srgbClr val="FF0000"/>
                                    </a:solidFill>
                                    <a:prstDash val="solid"/>
                                    <a:miter/>
                                    <a:headEnd type="none" w="med" len="med"/>
                                    <a:tailEnd type="none" w="med" len="med"/>
                                  </a:ln>
                                </wps:spPr>
                                <wps:bodyPr upright="1"/>
                              </wps:wsp>
                            </wpg:grpSp>
                          </wpg:wgp>
                        </a:graphicData>
                      </a:graphic>
                    </wp:inline>
                  </w:drawing>
                </mc:Choice>
                <mc:Fallback>
                  <w:pict>
                    <v:group id="组合 76" o:spid="_x0000_s1026" o:spt="203" style="height:252.05pt;width:391.3pt;" coordorigin="2656,94941" coordsize="7814,5428" o:gfxdata="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TNGaAF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">
                      <o:lock v:ext="edit" aspectratio="f"/>
                      <v:shape id="图片 10330" o:spid="_x0000_s1026" o:spt="75" alt="G:\1\达州成果\现阶段成果\达州5月出图\生态空间.jpg" type="#_x0000_t75" style="position:absolute;left:2656;top:94941;height:5428;width:7814;" filled="f" o:preferrelative="t" stroked="f" coordsize="21600,21600" o:gfxdata="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ZhXmugAAANoA&#10;AAAPAAAAAAAAAAEAIAAAACIAAABkcnMvZG93bnJldi54bWxQSwECFAAUAAAACACHTuJAMy8FnjsA&#10;AAA5AAAAEAAAAAAAAAABACAAAAAJAQAAZHJzL3NoYXBleG1sLnhtbFBLBQYAAAAABgAGAFsBAACz&#10;AwAAAAA=&#10;">
                        <v:fill on="f" focussize="0,0"/>
                        <v:stroke on="f"/>
                        <v:imagedata r:id="rId17" croptop="2548f" cropright="459f" cropbottom="2256f" o:title="G:\1\达州成果\现阶段成果\达州5月出图\生态空间.jpg"/>
                        <o:lock v:ext="edit" aspectratio="t"/>
                      </v:shape>
                      <v:group id="组合 78" o:spid="_x0000_s1026" o:spt="203" style="position:absolute;left:5705;top:97611;height:1148;width:1404;" coordorigin="5366,97750" coordsize="1404,1148"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圆角矩形标注 48" o:spid="_x0000_s1026" o:spt="62" type="#_x0000_t62" style="position:absolute;left:5617;top:98573;height:325;width:1153;" filled="f" stroked="t" coordsize="21600,21600" o:gfxdata="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FUpOvQAA&#10;ANoAAAAPAAAAAAAAAAEAIAAAACIAAABkcnMvZG93bnJldi54bWxQSwECFAAUAAAACACHTuJAMy8F&#10;njsAAAA5AAAAEAAAAAAAAAABACAAAAAMAQAAZHJzL3NoYXBleG1sLnhtbFBLBQYAAAAABgAGAFsB&#10;AAC2AwAAAAA=&#10;" adj="-4071,-52089,14400">
                          <v:fill on="f" focussize="0,0"/>
                          <v:stroke color="#FF0000" joinstyle="miter"/>
                          <v:imagedata o:title=""/>
                          <o:lock v:ext="edit" aspectratio="f"/>
                          <v:textbox inset="0mm,0mm,0mm,0mm">
                            <w:txbxContent>
                              <w:p>
                                <w:pPr>
                                  <w:spacing w:line="240" w:lineRule="exact"/>
                                  <w:ind w:left="-105" w:leftChars="-50" w:right="-105" w:rightChars="-50"/>
                                  <w:jc w:val="center"/>
                                  <w:rPr>
                                    <w:rFonts w:hint="eastAsia" w:ascii="Times New Roman" w:hAnsi="Times New Roman" w:eastAsia="宋体" w:cs="Times New Roman"/>
                                    <w:b/>
                                    <w:color w:val="FF0000"/>
                                    <w:sz w:val="20"/>
                                    <w:szCs w:val="22"/>
                                    <w:lang w:eastAsia="zh-CN"/>
                                  </w:rPr>
                                </w:pPr>
                                <w:r>
                                  <w:rPr>
                                    <w:rFonts w:ascii="Times New Roman" w:hAnsi="Times New Roman" w:eastAsia="宋体" w:cs="Times New Roman"/>
                                    <w:b/>
                                    <w:color w:val="FF0000"/>
                                    <w:sz w:val="20"/>
                                    <w:szCs w:val="22"/>
                                  </w:rPr>
                                  <w:t>项目所在地</w:t>
                                </w:r>
                              </w:p>
                            </w:txbxContent>
                          </v:textbox>
                        </v:shape>
                        <v:shape id="五角星 47" o:spid="_x0000_s1026" o:spt="100" style="position:absolute;left:5366;top:97750;height:58;width:41;" fillcolor="#FF0000" filled="t" stroked="t" coordsize="56,56" o:gfxdata="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FCwj7sAAADb&#10;AAAADwAAAAAAAAABACAAAAAiAAAAZHJzL2Rvd25yZXYueG1sUEsBAhQAFAAAAAgAh07iQDMvBZ47&#10;AAAAOQAAABAAAAAAAAAAAQAgAAAACgEAAGRycy9zaGFwZXhtbC54bWxQSwUGAAAAAAYABgBbAQAA&#10;tAMAAAAA&#10;" path="m0,21l21,21,28,0,34,21,55,21,38,34,45,55,28,42,10,55,17,34xe">
                          <v:path o:connectlocs="28,0;0,21;10,55;45,55;55,21" o:connectangles="247,164,82,82,0"/>
                          <v:fill on="t" focussize="0,0"/>
                          <v:stroke color="#FF0000" joinstyle="miter"/>
                          <v:imagedata o:title=""/>
                          <o:lock v:ext="edit" aspectratio="f"/>
                        </v:shape>
                      </v:group>
                      <w10:wrap type="none"/>
                      <w10:anchorlock/>
                    </v:group>
                  </w:pict>
                </mc:Fallback>
              </mc:AlternateContent>
            </w: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达州市生态空间分布图</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eastAsia="宋体" w:cs="Times New Roman"/>
                <w:color w:val="auto"/>
                <w:kern w:val="0"/>
                <w:szCs w:val="21"/>
                <w:highlight w:val="none"/>
                <w:lang w:val="zh-CN" w:eastAsia="zh-CN"/>
              </w:rPr>
            </w:pPr>
            <w:r>
              <w:rPr>
                <w:rFonts w:hint="default" w:ascii="Times New Roman" w:hAnsi="Times New Roman" w:eastAsia="宋体" w:cs="Times New Roman"/>
                <w:b w:val="0"/>
                <w:bCs w:val="0"/>
                <w:color w:val="auto"/>
                <w:kern w:val="0"/>
                <w:szCs w:val="21"/>
                <w:highlight w:val="none"/>
                <w:lang w:eastAsia="zh-CN"/>
              </w:rPr>
              <w:t>通过与</w:t>
            </w:r>
            <w:r>
              <w:rPr>
                <w:rFonts w:hint="default" w:ascii="Times New Roman" w:hAnsi="Times New Roman" w:eastAsia="宋体" w:cs="Times New Roman"/>
                <w:b w:val="0"/>
                <w:bCs w:val="0"/>
                <w:color w:val="auto"/>
                <w:kern w:val="0"/>
                <w:szCs w:val="21"/>
                <w:highlight w:val="none"/>
                <w:lang w:val="en-US" w:eastAsia="zh-CN"/>
              </w:rPr>
              <w:t>达州市</w:t>
            </w:r>
            <w:r>
              <w:rPr>
                <w:rFonts w:hint="default" w:ascii="Times New Roman" w:hAnsi="Times New Roman" w:eastAsia="宋体" w:cs="Times New Roman"/>
                <w:b w:val="0"/>
                <w:bCs w:val="0"/>
                <w:color w:val="auto"/>
                <w:kern w:val="0"/>
                <w:szCs w:val="21"/>
                <w:highlight w:val="none"/>
                <w:lang w:eastAsia="zh-CN"/>
              </w:rPr>
              <w:t>生态保护红线图（调整后）对比分析，本项目不涉及</w:t>
            </w:r>
            <w:r>
              <w:rPr>
                <w:rFonts w:hint="default" w:ascii="Times New Roman" w:hAnsi="Times New Roman" w:eastAsia="宋体" w:cs="Times New Roman"/>
                <w:b w:val="0"/>
                <w:bCs w:val="0"/>
                <w:color w:val="auto"/>
                <w:kern w:val="0"/>
                <w:szCs w:val="21"/>
                <w:highlight w:val="none"/>
                <w:lang w:val="en-US" w:eastAsia="zh-CN"/>
              </w:rPr>
              <w:t>达州市</w:t>
            </w:r>
            <w:r>
              <w:rPr>
                <w:rFonts w:hint="default" w:ascii="Times New Roman" w:hAnsi="Times New Roman" w:eastAsia="宋体" w:cs="Times New Roman"/>
                <w:b w:val="0"/>
                <w:bCs w:val="0"/>
                <w:color w:val="auto"/>
                <w:kern w:val="0"/>
                <w:szCs w:val="21"/>
                <w:highlight w:val="none"/>
                <w:lang w:eastAsia="zh-CN"/>
              </w:rPr>
              <w:t>生态保护</w:t>
            </w:r>
            <w:r>
              <w:rPr>
                <w:rFonts w:hint="default" w:ascii="Times New Roman" w:hAnsi="Times New Roman" w:eastAsia="宋体" w:cs="Times New Roman"/>
                <w:color w:val="auto"/>
                <w:kern w:val="0"/>
                <w:szCs w:val="21"/>
                <w:highlight w:val="none"/>
                <w:lang w:val="zh-CN" w:eastAsia="zh-CN"/>
              </w:rPr>
              <w:t>红线、</w:t>
            </w:r>
            <w:r>
              <w:rPr>
                <w:rFonts w:hint="default" w:ascii="Times New Roman" w:hAnsi="Times New Roman" w:eastAsia="宋体" w:cs="Times New Roman"/>
                <w:color w:val="auto"/>
                <w:kern w:val="0"/>
                <w:szCs w:val="21"/>
                <w:highlight w:val="none"/>
                <w:lang w:val="en-US" w:eastAsia="zh-CN"/>
              </w:rPr>
              <w:t>不在生态空间范围内，也不涉及自然保护地</w:t>
            </w:r>
            <w:r>
              <w:rPr>
                <w:rFonts w:hint="default" w:ascii="Times New Roman" w:hAnsi="Times New Roman" w:eastAsia="宋体" w:cs="Times New Roman"/>
                <w:color w:val="auto"/>
                <w:kern w:val="0"/>
                <w:szCs w:val="21"/>
                <w:highlight w:val="none"/>
                <w:lang w:val="zh-CN"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eastAsia="宋体" w:cs="Times New Roman"/>
                <w:b w:val="0"/>
                <w:bCs w:val="0"/>
                <w:color w:val="auto"/>
                <w:kern w:val="0"/>
                <w:szCs w:val="21"/>
                <w:highlight w:val="none"/>
                <w:lang w:val="zh-CN" w:eastAsia="zh-CN"/>
              </w:rPr>
            </w:pPr>
            <w:r>
              <w:rPr>
                <w:rFonts w:hint="default" w:ascii="Times New Roman" w:hAnsi="Times New Roman" w:eastAsia="宋体" w:cs="Times New Roman"/>
                <w:color w:val="auto"/>
                <w:kern w:val="0"/>
                <w:szCs w:val="21"/>
                <w:highlight w:val="none"/>
                <w:lang w:val="zh-CN" w:eastAsia="zh-CN"/>
              </w:rPr>
              <w:t>综上，</w:t>
            </w:r>
            <w:r>
              <w:rPr>
                <w:rFonts w:hint="default" w:ascii="Times New Roman" w:hAnsi="Times New Roman" w:eastAsia="宋体" w:cs="Times New Roman"/>
                <w:b w:val="0"/>
                <w:bCs w:val="0"/>
                <w:color w:val="auto"/>
                <w:kern w:val="0"/>
                <w:szCs w:val="21"/>
                <w:highlight w:val="none"/>
                <w:lang w:val="zh-CN" w:eastAsia="zh-CN"/>
              </w:rPr>
              <w:t>本项目所在区域属于</w:t>
            </w:r>
            <w:r>
              <w:rPr>
                <w:rFonts w:hint="eastAsia" w:cs="Times New Roman"/>
                <w:b w:val="0"/>
                <w:bCs w:val="0"/>
                <w:color w:val="auto"/>
                <w:kern w:val="0"/>
                <w:szCs w:val="21"/>
                <w:highlight w:val="none"/>
                <w:lang w:val="en-US" w:eastAsia="zh-CN"/>
              </w:rPr>
              <w:t>宣汉县工业重点管控单元</w:t>
            </w:r>
            <w:r>
              <w:rPr>
                <w:rFonts w:hint="default" w:ascii="Times New Roman" w:hAnsi="Times New Roman" w:eastAsia="宋体" w:cs="Times New Roman"/>
                <w:b w:val="0"/>
                <w:bCs w:val="0"/>
                <w:color w:val="auto"/>
                <w:kern w:val="0"/>
                <w:szCs w:val="21"/>
                <w:highlight w:val="none"/>
                <w:lang w:val="zh-CN" w:eastAsia="zh-CN"/>
              </w:rPr>
              <w:t>，但项目区不在饮用水源保护区、自然保护区、风景名胜区、湿地公园、地质公园等各类生态保护红线范围内。</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2" w:firstLineChars="200"/>
              <w:textAlignment w:val="auto"/>
              <w:rPr>
                <w:rFonts w:hint="default" w:ascii="Times New Roman" w:hAnsi="Times New Roman" w:cs="Times New Roman"/>
                <w:b/>
                <w:bCs/>
                <w:color w:val="auto"/>
                <w:kern w:val="0"/>
                <w:szCs w:val="21"/>
                <w:highlight w:val="none"/>
                <w:lang w:val="zh-CN" w:eastAsia="zh-CN"/>
              </w:rPr>
            </w:pPr>
            <w:r>
              <w:rPr>
                <w:rFonts w:hint="default" w:ascii="Times New Roman" w:hAnsi="Times New Roman" w:cs="Times New Roman"/>
                <w:b/>
                <w:bCs/>
                <w:color w:val="auto"/>
                <w:kern w:val="0"/>
                <w:szCs w:val="21"/>
                <w:highlight w:val="none"/>
                <w:lang w:val="zh-CN" w:eastAsia="zh-CN"/>
              </w:rPr>
              <w:t>③生态环境准入清单符合性分析</w:t>
            </w:r>
          </w:p>
          <w:p>
            <w:pPr>
              <w:keepNext w:val="0"/>
              <w:keepLines w:val="0"/>
              <w:pageBreakBefore w:val="0"/>
              <w:widowControl w:val="0"/>
              <w:kinsoku/>
              <w:wordWrap/>
              <w:overflowPunct/>
              <w:topLinePunct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highlight w:val="none"/>
                <w:lang w:val="zh-CN" w:eastAsia="zh-CN"/>
              </w:rPr>
            </w:pPr>
            <w:r>
              <w:rPr>
                <w:rFonts w:hint="default" w:ascii="Times New Roman" w:hAnsi="Times New Roman" w:cs="Times New Roman"/>
                <w:color w:val="auto"/>
                <w:szCs w:val="21"/>
                <w:highlight w:val="none"/>
                <w:lang w:val="zh-CN" w:eastAsia="zh-CN"/>
              </w:rPr>
              <w:t>项目所在地生态环境准入清单符合性分析见下表。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zh-CN" w:eastAsia="zh-CN"/>
              </w:rPr>
              <w:t>与园区环境管控要求和生态环境准入清单的符合性</w:t>
            </w:r>
            <w:r>
              <w:rPr>
                <w:rFonts w:hint="default" w:ascii="Times New Roman" w:hAnsi="Times New Roman" w:eastAsia="黑体" w:cs="Times New Roman"/>
                <w:color w:val="auto"/>
                <w:kern w:val="0"/>
                <w:sz w:val="20"/>
                <w:szCs w:val="20"/>
                <w:lang w:val="en-US" w:eastAsia="zh-CN"/>
              </w:rPr>
              <w:t>分析</w:t>
            </w:r>
          </w:p>
          <w:tbl>
            <w:tblPr>
              <w:tblStyle w:val="17"/>
              <w:tblW w:w="7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861"/>
              <w:gridCol w:w="3804"/>
              <w:gridCol w:w="1753"/>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blHeader/>
                <w:jc w:val="center"/>
              </w:trPr>
              <w:tc>
                <w:tcPr>
                  <w:tcW w:w="638"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功能区</w:t>
                  </w:r>
                </w:p>
              </w:tc>
              <w:tc>
                <w:tcPr>
                  <w:tcW w:w="861" w:type="dxa"/>
                  <w:shd w:val="clear" w:color="auto" w:fill="auto"/>
                  <w:noWrap w:val="0"/>
                  <w:vAlign w:val="top"/>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类别</w:t>
                  </w:r>
                </w:p>
              </w:tc>
              <w:tc>
                <w:tcPr>
                  <w:tcW w:w="3804"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禁止准入</w:t>
                  </w:r>
                </w:p>
              </w:tc>
              <w:tc>
                <w:tcPr>
                  <w:tcW w:w="1753"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kern w:val="0"/>
                      <w:sz w:val="18"/>
                      <w:szCs w:val="18"/>
                      <w:highlight w:val="none"/>
                      <w:lang w:val="en-US" w:eastAsia="zh-CN"/>
                    </w:rPr>
                    <w:t>本项目</w:t>
                  </w:r>
                </w:p>
              </w:tc>
              <w:tc>
                <w:tcPr>
                  <w:tcW w:w="68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kern w:val="0"/>
                      <w:sz w:val="18"/>
                      <w:szCs w:val="18"/>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638" w:type="dxa"/>
                  <w:vMerge w:val="restart"/>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总体管控要求及准入清单</w:t>
                  </w:r>
                </w:p>
              </w:tc>
              <w:tc>
                <w:tcPr>
                  <w:tcW w:w="86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空间布局约束</w:t>
                  </w:r>
                </w:p>
              </w:tc>
              <w:tc>
                <w:tcPr>
                  <w:tcW w:w="3804"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fldChar w:fldCharType="begin"/>
                  </w:r>
                  <w:r>
                    <w:rPr>
                      <w:rFonts w:hint="default" w:ascii="Times New Roman" w:hAnsi="Times New Roman" w:eastAsia="宋体" w:cs="Times New Roman"/>
                      <w:color w:val="auto"/>
                      <w:kern w:val="0"/>
                      <w:sz w:val="18"/>
                      <w:szCs w:val="18"/>
                      <w:highlight w:val="none"/>
                    </w:rPr>
                    <w:instrText xml:space="preserve"> = 1 \* GB3 </w:instrText>
                  </w:r>
                  <w:r>
                    <w:rPr>
                      <w:rFonts w:hint="default" w:ascii="Times New Roman" w:hAnsi="Times New Roman" w:eastAsia="宋体" w:cs="Times New Roman"/>
                      <w:color w:val="auto"/>
                      <w:kern w:val="0"/>
                      <w:sz w:val="18"/>
                      <w:szCs w:val="18"/>
                      <w:highlight w:val="none"/>
                    </w:rPr>
                    <w:fldChar w:fldCharType="separate"/>
                  </w:r>
                  <w:r>
                    <w:rPr>
                      <w:rFonts w:hint="default" w:ascii="Times New Roman" w:hAnsi="Times New Roman" w:eastAsia="宋体" w:cs="Times New Roman"/>
                      <w:color w:val="auto"/>
                      <w:kern w:val="0"/>
                      <w:sz w:val="18"/>
                      <w:szCs w:val="18"/>
                      <w:highlight w:val="none"/>
                    </w:rPr>
                    <w:t>①</w:t>
                  </w:r>
                  <w:r>
                    <w:rPr>
                      <w:rFonts w:hint="default" w:ascii="Times New Roman" w:hAnsi="Times New Roman" w:eastAsia="宋体" w:cs="Times New Roman"/>
                      <w:color w:val="auto"/>
                      <w:kern w:val="0"/>
                      <w:sz w:val="18"/>
                      <w:szCs w:val="18"/>
                      <w:highlight w:val="none"/>
                    </w:rPr>
                    <w:fldChar w:fldCharType="end"/>
                  </w:r>
                  <w:r>
                    <w:rPr>
                      <w:rFonts w:hint="default" w:ascii="Times New Roman" w:hAnsi="Times New Roman" w:eastAsia="宋体" w:cs="Times New Roman"/>
                      <w:color w:val="auto"/>
                      <w:kern w:val="0"/>
                      <w:sz w:val="18"/>
                      <w:szCs w:val="18"/>
                      <w:highlight w:val="none"/>
                    </w:rPr>
                    <w:t>经开区生产生活、开发建设活动应当遵守长江保护相关法律法规的要求；</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fldChar w:fldCharType="begin"/>
                  </w:r>
                  <w:r>
                    <w:rPr>
                      <w:rFonts w:hint="default" w:ascii="Times New Roman" w:hAnsi="Times New Roman" w:eastAsia="宋体" w:cs="Times New Roman"/>
                      <w:color w:val="auto"/>
                      <w:kern w:val="0"/>
                      <w:sz w:val="18"/>
                      <w:szCs w:val="18"/>
                      <w:highlight w:val="none"/>
                    </w:rPr>
                    <w:instrText xml:space="preserve"> = 2 \* GB3 </w:instrText>
                  </w:r>
                  <w:r>
                    <w:rPr>
                      <w:rFonts w:hint="default" w:ascii="Times New Roman" w:hAnsi="Times New Roman" w:eastAsia="宋体" w:cs="Times New Roman"/>
                      <w:color w:val="auto"/>
                      <w:kern w:val="0"/>
                      <w:sz w:val="18"/>
                      <w:szCs w:val="18"/>
                      <w:highlight w:val="none"/>
                    </w:rPr>
                    <w:fldChar w:fldCharType="separate"/>
                  </w:r>
                  <w:r>
                    <w:rPr>
                      <w:rFonts w:hint="default" w:ascii="Times New Roman" w:hAnsi="Times New Roman" w:eastAsia="宋体" w:cs="Times New Roman"/>
                      <w:color w:val="auto"/>
                      <w:kern w:val="0"/>
                      <w:sz w:val="18"/>
                      <w:szCs w:val="18"/>
                      <w:highlight w:val="none"/>
                    </w:rPr>
                    <w:t>②</w:t>
                  </w:r>
                  <w:r>
                    <w:rPr>
                      <w:rFonts w:hint="default" w:ascii="Times New Roman" w:hAnsi="Times New Roman" w:eastAsia="宋体" w:cs="Times New Roman"/>
                      <w:color w:val="auto"/>
                      <w:kern w:val="0"/>
                      <w:sz w:val="18"/>
                      <w:szCs w:val="18"/>
                      <w:highlight w:val="none"/>
                    </w:rPr>
                    <w:fldChar w:fldCharType="end"/>
                  </w:r>
                  <w:r>
                    <w:rPr>
                      <w:rFonts w:hint="default" w:ascii="Times New Roman" w:hAnsi="Times New Roman" w:eastAsia="宋体" w:cs="Times New Roman"/>
                      <w:color w:val="auto"/>
                      <w:kern w:val="0"/>
                      <w:sz w:val="18"/>
                      <w:szCs w:val="18"/>
                      <w:highlight w:val="none"/>
                    </w:rPr>
                    <w:t>禁止引入与功能区主导产业相禁忌、容易形成交叉影响的项目。</w:t>
                  </w:r>
                </w:p>
              </w:tc>
              <w:tc>
                <w:tcPr>
                  <w:tcW w:w="1753"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①符合长江保护相关法律法规的要求；②不与功能区主导产业相禁忌、不容易形成交叉影响</w:t>
                  </w:r>
                </w:p>
              </w:tc>
              <w:tc>
                <w:tcPr>
                  <w:tcW w:w="68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jc w:val="center"/>
              </w:trPr>
              <w:tc>
                <w:tcPr>
                  <w:tcW w:w="63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p>
              </w:tc>
              <w:tc>
                <w:tcPr>
                  <w:tcW w:w="86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污染物排放管控</w:t>
                  </w:r>
                </w:p>
              </w:tc>
              <w:tc>
                <w:tcPr>
                  <w:tcW w:w="3804"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fldChar w:fldCharType="begin"/>
                  </w:r>
                  <w:r>
                    <w:rPr>
                      <w:rFonts w:hint="default" w:ascii="Times New Roman" w:hAnsi="Times New Roman" w:eastAsia="宋体" w:cs="Times New Roman"/>
                      <w:color w:val="auto"/>
                      <w:kern w:val="0"/>
                      <w:sz w:val="18"/>
                      <w:szCs w:val="18"/>
                      <w:highlight w:val="none"/>
                    </w:rPr>
                    <w:instrText xml:space="preserve"> = 1 \* GB3 </w:instrText>
                  </w:r>
                  <w:r>
                    <w:rPr>
                      <w:rFonts w:hint="default" w:ascii="Times New Roman" w:hAnsi="Times New Roman" w:eastAsia="宋体" w:cs="Times New Roman"/>
                      <w:color w:val="auto"/>
                      <w:kern w:val="0"/>
                      <w:sz w:val="18"/>
                      <w:szCs w:val="18"/>
                      <w:highlight w:val="none"/>
                    </w:rPr>
                    <w:fldChar w:fldCharType="separate"/>
                  </w:r>
                  <w:r>
                    <w:rPr>
                      <w:rFonts w:hint="default" w:ascii="Times New Roman" w:hAnsi="Times New Roman" w:eastAsia="宋体" w:cs="Times New Roman"/>
                      <w:color w:val="auto"/>
                      <w:kern w:val="0"/>
                      <w:sz w:val="18"/>
                      <w:szCs w:val="18"/>
                      <w:highlight w:val="none"/>
                    </w:rPr>
                    <w:t>①</w:t>
                  </w:r>
                  <w:r>
                    <w:rPr>
                      <w:rFonts w:hint="default" w:ascii="Times New Roman" w:hAnsi="Times New Roman" w:eastAsia="宋体" w:cs="Times New Roman"/>
                      <w:color w:val="auto"/>
                      <w:kern w:val="0"/>
                      <w:sz w:val="18"/>
                      <w:szCs w:val="18"/>
                      <w:highlight w:val="none"/>
                    </w:rPr>
                    <w:fldChar w:fldCharType="end"/>
                  </w:r>
                  <w:r>
                    <w:rPr>
                      <w:rFonts w:hint="default" w:ascii="Times New Roman" w:hAnsi="Times New Roman" w:eastAsia="宋体" w:cs="Times New Roman"/>
                      <w:color w:val="auto"/>
                      <w:kern w:val="0"/>
                      <w:sz w:val="18"/>
                      <w:szCs w:val="18"/>
                      <w:highlight w:val="none"/>
                    </w:rPr>
                    <w:t>禁止引入不符合国家、省、市重金属污染防治规划相关要求的项目；</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fldChar w:fldCharType="begin"/>
                  </w:r>
                  <w:r>
                    <w:rPr>
                      <w:rFonts w:hint="default" w:ascii="Times New Roman" w:hAnsi="Times New Roman" w:eastAsia="宋体" w:cs="Times New Roman"/>
                      <w:color w:val="auto"/>
                      <w:kern w:val="0"/>
                      <w:sz w:val="18"/>
                      <w:szCs w:val="18"/>
                      <w:highlight w:val="none"/>
                    </w:rPr>
                    <w:instrText xml:space="preserve"> = 2 \* GB3 </w:instrText>
                  </w:r>
                  <w:r>
                    <w:rPr>
                      <w:rFonts w:hint="default" w:ascii="Times New Roman" w:hAnsi="Times New Roman" w:eastAsia="宋体" w:cs="Times New Roman"/>
                      <w:color w:val="auto"/>
                      <w:kern w:val="0"/>
                      <w:sz w:val="18"/>
                      <w:szCs w:val="18"/>
                      <w:highlight w:val="none"/>
                    </w:rPr>
                    <w:fldChar w:fldCharType="separate"/>
                  </w:r>
                  <w:r>
                    <w:rPr>
                      <w:rFonts w:hint="default" w:ascii="Times New Roman" w:hAnsi="Times New Roman" w:eastAsia="宋体" w:cs="Times New Roman"/>
                      <w:color w:val="auto"/>
                      <w:kern w:val="0"/>
                      <w:sz w:val="18"/>
                      <w:szCs w:val="18"/>
                      <w:highlight w:val="none"/>
                    </w:rPr>
                    <w:t>②</w:t>
                  </w:r>
                  <w:r>
                    <w:rPr>
                      <w:rFonts w:hint="default" w:ascii="Times New Roman" w:hAnsi="Times New Roman" w:eastAsia="宋体" w:cs="Times New Roman"/>
                      <w:color w:val="auto"/>
                      <w:kern w:val="0"/>
                      <w:sz w:val="18"/>
                      <w:szCs w:val="18"/>
                      <w:highlight w:val="none"/>
                    </w:rPr>
                    <w:fldChar w:fldCharType="end"/>
                  </w:r>
                  <w:r>
                    <w:rPr>
                      <w:rFonts w:hint="default" w:ascii="Times New Roman" w:hAnsi="Times New Roman" w:eastAsia="宋体" w:cs="Times New Roman"/>
                      <w:color w:val="auto"/>
                      <w:kern w:val="0"/>
                      <w:sz w:val="18"/>
                      <w:szCs w:val="18"/>
                      <w:highlight w:val="none"/>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tc>
              <w:tc>
                <w:tcPr>
                  <w:tcW w:w="1753"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①不属于禁止引入项目；②执行大气污染物特别排放限值</w:t>
                  </w:r>
                </w:p>
              </w:tc>
              <w:tc>
                <w:tcPr>
                  <w:tcW w:w="68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p>
              </w:tc>
              <w:tc>
                <w:tcPr>
                  <w:tcW w:w="86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环境风险防控</w:t>
                  </w:r>
                </w:p>
              </w:tc>
              <w:tc>
                <w:tcPr>
                  <w:tcW w:w="3804"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fldChar w:fldCharType="begin"/>
                  </w:r>
                  <w:r>
                    <w:rPr>
                      <w:rFonts w:hint="default" w:ascii="Times New Roman" w:hAnsi="Times New Roman" w:eastAsia="宋体" w:cs="Times New Roman"/>
                      <w:color w:val="auto"/>
                      <w:kern w:val="0"/>
                      <w:sz w:val="18"/>
                      <w:szCs w:val="18"/>
                      <w:highlight w:val="none"/>
                    </w:rPr>
                    <w:instrText xml:space="preserve"> = 1 \* GB3 </w:instrText>
                  </w:r>
                  <w:r>
                    <w:rPr>
                      <w:rFonts w:hint="default" w:ascii="Times New Roman" w:hAnsi="Times New Roman" w:eastAsia="宋体" w:cs="Times New Roman"/>
                      <w:color w:val="auto"/>
                      <w:kern w:val="0"/>
                      <w:sz w:val="18"/>
                      <w:szCs w:val="18"/>
                      <w:highlight w:val="none"/>
                    </w:rPr>
                    <w:fldChar w:fldCharType="separate"/>
                  </w:r>
                  <w:r>
                    <w:rPr>
                      <w:rFonts w:hint="default" w:ascii="Times New Roman" w:hAnsi="Times New Roman" w:eastAsia="宋体" w:cs="Times New Roman"/>
                      <w:color w:val="auto"/>
                      <w:kern w:val="0"/>
                      <w:sz w:val="18"/>
                      <w:szCs w:val="18"/>
                      <w:highlight w:val="none"/>
                    </w:rPr>
                    <w:t>①</w:t>
                  </w:r>
                  <w:r>
                    <w:rPr>
                      <w:rFonts w:hint="default" w:ascii="Times New Roman" w:hAnsi="Times New Roman" w:eastAsia="宋体" w:cs="Times New Roman"/>
                      <w:color w:val="auto"/>
                      <w:kern w:val="0"/>
                      <w:sz w:val="18"/>
                      <w:szCs w:val="18"/>
                      <w:highlight w:val="none"/>
                    </w:rPr>
                    <w:fldChar w:fldCharType="end"/>
                  </w:r>
                  <w:r>
                    <w:rPr>
                      <w:rFonts w:hint="default" w:ascii="Times New Roman" w:hAnsi="Times New Roman" w:eastAsia="宋体" w:cs="Times New Roman"/>
                      <w:color w:val="auto"/>
                      <w:kern w:val="0"/>
                      <w:sz w:val="18"/>
                      <w:szCs w:val="18"/>
                      <w:highlight w:val="none"/>
                    </w:rPr>
                    <w:t>风险源与环境敏感目标保持符合规范要求的安全距离，切实做好危险化学品贮运、使用过程中的安全防范措施，最大程度降低环境风险事故发生的几率；</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fldChar w:fldCharType="begin"/>
                  </w:r>
                  <w:r>
                    <w:rPr>
                      <w:rFonts w:hint="default" w:ascii="Times New Roman" w:hAnsi="Times New Roman" w:eastAsia="宋体" w:cs="Times New Roman"/>
                      <w:color w:val="auto"/>
                      <w:kern w:val="0"/>
                      <w:sz w:val="18"/>
                      <w:szCs w:val="18"/>
                      <w:highlight w:val="none"/>
                    </w:rPr>
                    <w:instrText xml:space="preserve"> = 2 \* GB3 </w:instrText>
                  </w:r>
                  <w:r>
                    <w:rPr>
                      <w:rFonts w:hint="default" w:ascii="Times New Roman" w:hAnsi="Times New Roman" w:eastAsia="宋体" w:cs="Times New Roman"/>
                      <w:color w:val="auto"/>
                      <w:kern w:val="0"/>
                      <w:sz w:val="18"/>
                      <w:szCs w:val="18"/>
                      <w:highlight w:val="none"/>
                    </w:rPr>
                    <w:fldChar w:fldCharType="separate"/>
                  </w:r>
                  <w:r>
                    <w:rPr>
                      <w:rFonts w:hint="default" w:ascii="Times New Roman" w:hAnsi="Times New Roman" w:eastAsia="宋体" w:cs="Times New Roman"/>
                      <w:color w:val="auto"/>
                      <w:kern w:val="0"/>
                      <w:sz w:val="18"/>
                      <w:szCs w:val="18"/>
                      <w:highlight w:val="none"/>
                    </w:rPr>
                    <w:t>②</w:t>
                  </w:r>
                  <w:r>
                    <w:rPr>
                      <w:rFonts w:hint="default" w:ascii="Times New Roman" w:hAnsi="Times New Roman" w:eastAsia="宋体" w:cs="Times New Roman"/>
                      <w:color w:val="auto"/>
                      <w:kern w:val="0"/>
                      <w:sz w:val="18"/>
                      <w:szCs w:val="18"/>
                      <w:highlight w:val="none"/>
                    </w:rPr>
                    <w:fldChar w:fldCharType="end"/>
                  </w:r>
                  <w:r>
                    <w:rPr>
                      <w:rFonts w:hint="default" w:ascii="Times New Roman" w:hAnsi="Times New Roman" w:eastAsia="宋体" w:cs="Times New Roman"/>
                      <w:color w:val="auto"/>
                      <w:kern w:val="0"/>
                      <w:sz w:val="18"/>
                      <w:szCs w:val="18"/>
                      <w:highlight w:val="none"/>
                    </w:rPr>
                    <w:t>制定切实可行的环境风险应急预案，定期开展环境风险应急演练，建立与敏感目标的环境风险应急联动机制。</w:t>
                  </w:r>
                </w:p>
              </w:tc>
              <w:tc>
                <w:tcPr>
                  <w:tcW w:w="1753"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本项目与周围环境敏感目标的距离符合规范要求，运行中将制定环境风险应急预案，定期进行应急演练。</w:t>
                  </w:r>
                </w:p>
              </w:tc>
              <w:tc>
                <w:tcPr>
                  <w:tcW w:w="68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63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p>
              </w:tc>
              <w:tc>
                <w:tcPr>
                  <w:tcW w:w="86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资源开发利用要求</w:t>
                  </w:r>
                </w:p>
              </w:tc>
              <w:tc>
                <w:tcPr>
                  <w:tcW w:w="3804"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fldChar w:fldCharType="begin"/>
                  </w:r>
                  <w:r>
                    <w:rPr>
                      <w:rFonts w:hint="default" w:ascii="Times New Roman" w:hAnsi="Times New Roman" w:eastAsia="宋体" w:cs="Times New Roman"/>
                      <w:color w:val="auto"/>
                      <w:kern w:val="0"/>
                      <w:sz w:val="18"/>
                      <w:szCs w:val="18"/>
                      <w:highlight w:val="none"/>
                    </w:rPr>
                    <w:instrText xml:space="preserve"> = 1 \* GB3 </w:instrText>
                  </w:r>
                  <w:r>
                    <w:rPr>
                      <w:rFonts w:hint="default" w:ascii="Times New Roman" w:hAnsi="Times New Roman" w:eastAsia="宋体" w:cs="Times New Roman"/>
                      <w:color w:val="auto"/>
                      <w:kern w:val="0"/>
                      <w:sz w:val="18"/>
                      <w:szCs w:val="18"/>
                      <w:highlight w:val="none"/>
                    </w:rPr>
                    <w:fldChar w:fldCharType="separate"/>
                  </w:r>
                  <w:r>
                    <w:rPr>
                      <w:rFonts w:hint="default" w:ascii="Times New Roman" w:hAnsi="Times New Roman" w:eastAsia="宋体" w:cs="Times New Roman"/>
                      <w:color w:val="auto"/>
                      <w:kern w:val="0"/>
                      <w:sz w:val="18"/>
                      <w:szCs w:val="18"/>
                      <w:highlight w:val="none"/>
                    </w:rPr>
                    <w:t>①</w:t>
                  </w:r>
                  <w:r>
                    <w:rPr>
                      <w:rFonts w:hint="default" w:ascii="Times New Roman" w:hAnsi="Times New Roman" w:eastAsia="宋体" w:cs="Times New Roman"/>
                      <w:color w:val="auto"/>
                      <w:kern w:val="0"/>
                      <w:sz w:val="18"/>
                      <w:szCs w:val="18"/>
                      <w:highlight w:val="none"/>
                    </w:rPr>
                    <w:fldChar w:fldCharType="end"/>
                  </w:r>
                  <w:r>
                    <w:rPr>
                      <w:rFonts w:hint="default" w:ascii="Times New Roman" w:hAnsi="Times New Roman" w:eastAsia="宋体" w:cs="Times New Roman"/>
                      <w:color w:val="auto"/>
                      <w:kern w:val="0"/>
                      <w:sz w:val="18"/>
                      <w:szCs w:val="18"/>
                      <w:highlight w:val="none"/>
                    </w:rPr>
                    <w:t>禁止引入不符合国家产业政策、行业准入条件以及国家和地方明令禁止的项目；</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②禁止引入清洁生产水平达不到行业清洁生产水平二级标准或低于全国同类企业平均清洁生产水平的项目。</w:t>
                  </w:r>
                </w:p>
              </w:tc>
              <w:tc>
                <w:tcPr>
                  <w:tcW w:w="1753"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①符合国家产业政策、行业准入条件；②清洁生产水平能够达到行业清洁生产水平二级标准</w:t>
                  </w:r>
                </w:p>
              </w:tc>
              <w:tc>
                <w:tcPr>
                  <w:tcW w:w="68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638" w:type="dxa"/>
                  <w:vMerge w:val="restart"/>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柳池功能区</w:t>
                  </w:r>
                </w:p>
              </w:tc>
              <w:tc>
                <w:tcPr>
                  <w:tcW w:w="86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空间布局约束</w:t>
                  </w:r>
                </w:p>
              </w:tc>
              <w:tc>
                <w:tcPr>
                  <w:tcW w:w="3804"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禁止引入以原矿为原料的有色金属冶炼、印染、皮革鞣制、制浆造纸、印制电路板、专业电镀、化工项目；</w:t>
                  </w:r>
                </w:p>
              </w:tc>
              <w:tc>
                <w:tcPr>
                  <w:tcW w:w="1753"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rPr>
                    <w:t>不属于禁止引入行业</w:t>
                  </w:r>
                </w:p>
              </w:tc>
              <w:tc>
                <w:tcPr>
                  <w:tcW w:w="68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3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p>
              </w:tc>
              <w:tc>
                <w:tcPr>
                  <w:tcW w:w="86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污染物排放管控</w:t>
                  </w:r>
                </w:p>
              </w:tc>
              <w:tc>
                <w:tcPr>
                  <w:tcW w:w="3804"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执行“总体管控要求及准入清单”。</w:t>
                  </w:r>
                </w:p>
              </w:tc>
              <w:tc>
                <w:tcPr>
                  <w:tcW w:w="1753"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满足</w:t>
                  </w:r>
                </w:p>
              </w:tc>
              <w:tc>
                <w:tcPr>
                  <w:tcW w:w="68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3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p>
              </w:tc>
              <w:tc>
                <w:tcPr>
                  <w:tcW w:w="86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环境风险防控</w:t>
                  </w:r>
                </w:p>
              </w:tc>
              <w:tc>
                <w:tcPr>
                  <w:tcW w:w="3804"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执行“总体管控要求及准入清单”。</w:t>
                  </w:r>
                </w:p>
              </w:tc>
              <w:tc>
                <w:tcPr>
                  <w:tcW w:w="1753"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rPr>
                    <w:t>满足</w:t>
                  </w:r>
                </w:p>
              </w:tc>
              <w:tc>
                <w:tcPr>
                  <w:tcW w:w="68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38" w:type="dxa"/>
                  <w:vMerge w:val="continue"/>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p>
              </w:tc>
              <w:tc>
                <w:tcPr>
                  <w:tcW w:w="86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资源开发利用要求</w:t>
                  </w:r>
                </w:p>
              </w:tc>
              <w:tc>
                <w:tcPr>
                  <w:tcW w:w="3804"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执行“总体管控要求及准入清单”。</w:t>
                  </w:r>
                </w:p>
              </w:tc>
              <w:tc>
                <w:tcPr>
                  <w:tcW w:w="1753"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rPr>
                    <w:t>满足</w:t>
                  </w:r>
                </w:p>
              </w:tc>
              <w:tc>
                <w:tcPr>
                  <w:tcW w:w="681" w:type="dxa"/>
                  <w:shd w:val="clear" w:color="auto" w:fill="auto"/>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7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符合</w:t>
                  </w:r>
                </w:p>
              </w:tc>
            </w:tr>
          </w:tbl>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由上表可知，项目满足四川达州普光经济开发区总体管控要求、柳池功能区管控要求及准入清单的要求。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42" w:leftChars="20" w:right="42" w:rightChars="20" w:firstLine="42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综上，</w:t>
            </w:r>
            <w:r>
              <w:rPr>
                <w:rFonts w:hint="default" w:ascii="Times New Roman" w:hAnsi="Times New Roman" w:cs="Times New Roman"/>
                <w:color w:val="auto"/>
              </w:rPr>
              <w:t>本项目建设符合“三线一单”管控机制要求，项目建设可行。</w:t>
            </w:r>
          </w:p>
          <w:p>
            <w:pPr>
              <w:numPr>
                <w:ilvl w:val="0"/>
                <w:numId w:val="3"/>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生态环境分区管控</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根据达州市人民政府</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关于落实生态保护红线、环境质量底线、资源利用上线制定生态环境准入清单实施生态环境分区管控的通知</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达市府发〔2021〕17号</w:t>
            </w:r>
            <w:r>
              <w:rPr>
                <w:rFonts w:hint="default" w:ascii="Times New Roman" w:hAnsi="Times New Roman" w:cs="Times New Roman"/>
                <w:color w:val="auto"/>
                <w:kern w:val="0"/>
                <w:szCs w:val="21"/>
                <w:lang w:eastAsia="zh-CN"/>
              </w:rPr>
              <w:t>），全市行政区域从生态环境保护角度划分为优先保护、重点管控和一般管控三类环境管控单元。</w:t>
            </w:r>
            <w:r>
              <w:rPr>
                <w:rFonts w:hint="default" w:ascii="Times New Roman" w:hAnsi="Times New Roman" w:cs="Times New Roman"/>
                <w:color w:val="auto"/>
                <w:kern w:val="0"/>
                <w:szCs w:val="21"/>
                <w:lang w:val="en-US" w:eastAsia="zh-CN"/>
              </w:rPr>
              <w:t>对照《达州市环境管控单元分布图》</w:t>
            </w:r>
            <w:r>
              <w:rPr>
                <w:rFonts w:hint="default" w:ascii="Times New Roman" w:hAnsi="Times New Roman" w:cs="Times New Roman"/>
                <w:color w:val="auto"/>
                <w:kern w:val="0"/>
                <w:szCs w:val="21"/>
              </w:rPr>
              <w:t>，本项目位于</w:t>
            </w:r>
            <w:r>
              <w:rPr>
                <w:rFonts w:hint="default" w:ascii="Times New Roman" w:hAnsi="Times New Roman" w:cs="Times New Roman"/>
                <w:color w:val="auto"/>
                <w:kern w:val="0"/>
                <w:szCs w:val="21"/>
                <w:lang w:val="en-US" w:eastAsia="zh-CN"/>
              </w:rPr>
              <w:t>宣汉县工业重点管控单元，对应的管控要求为：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autoSpaceDE w:val="0"/>
              <w:autoSpaceDN w:val="0"/>
              <w:adjustRightInd w:val="0"/>
              <w:snapToGrid w:val="0"/>
              <w:spacing w:line="400" w:lineRule="exact"/>
              <w:ind w:left="-31" w:leftChars="-15" w:right="-31" w:rightChars="-15"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宣汉县</w:t>
            </w:r>
            <w:r>
              <w:rPr>
                <w:rFonts w:hint="default" w:ascii="Times New Roman" w:hAnsi="Times New Roman" w:cs="Times New Roman"/>
                <w:color w:val="auto"/>
                <w:kern w:val="0"/>
                <w:szCs w:val="21"/>
              </w:rPr>
              <w:t>总体生态环境管控要求为：</w:t>
            </w:r>
            <w:r>
              <w:rPr>
                <w:rFonts w:hint="default" w:ascii="Times New Roman" w:hAnsi="Times New Roman" w:cs="Times New Roman"/>
                <w:color w:val="auto"/>
                <w:kern w:val="0"/>
                <w:szCs w:val="21"/>
                <w:lang w:val="en-US" w:eastAsia="zh-CN"/>
              </w:rPr>
              <w:t>①</w:t>
            </w:r>
            <w:r>
              <w:rPr>
                <w:rFonts w:hint="default" w:ascii="Times New Roman" w:hAnsi="Times New Roman" w:cs="Times New Roman"/>
                <w:color w:val="auto"/>
                <w:kern w:val="0"/>
                <w:szCs w:val="21"/>
              </w:rPr>
              <w:t>加强小流域水环境保护，推动农村环保基础设施建设，全面推进农村环境综合整治、生活污水处理项目</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大力开展沿河畜禽养殖污染整治，大力推广生态种植，减少农药化肥使用量；</w:t>
            </w:r>
            <w:r>
              <w:rPr>
                <w:rFonts w:hint="default" w:ascii="Times New Roman" w:hAnsi="Times New Roman" w:cs="Times New Roman"/>
                <w:color w:val="auto"/>
                <w:kern w:val="0"/>
                <w:szCs w:val="21"/>
                <w:lang w:val="en-US" w:eastAsia="zh-CN"/>
              </w:rPr>
              <w:t>②</w:t>
            </w:r>
            <w:r>
              <w:rPr>
                <w:rFonts w:hint="default" w:ascii="Times New Roman" w:hAnsi="Times New Roman" w:cs="Times New Roman"/>
                <w:color w:val="auto"/>
                <w:kern w:val="0"/>
                <w:szCs w:val="21"/>
              </w:rPr>
              <w:t>打好升级版污染防治攻坚战。持续优化调整产业布局，以PM</w:t>
            </w:r>
            <w:r>
              <w:rPr>
                <w:rFonts w:hint="default" w:ascii="Times New Roman" w:hAnsi="Times New Roman" w:cs="Times New Roman"/>
                <w:color w:val="auto"/>
                <w:kern w:val="0"/>
                <w:szCs w:val="21"/>
                <w:vertAlign w:val="subscript"/>
              </w:rPr>
              <w:t>2.5</w:t>
            </w:r>
            <w:r>
              <w:rPr>
                <w:rFonts w:hint="default" w:ascii="Times New Roman" w:hAnsi="Times New Roman" w:cs="Times New Roman"/>
                <w:color w:val="auto"/>
                <w:kern w:val="0"/>
                <w:szCs w:val="21"/>
              </w:rPr>
              <w:t>和臭氧污染协同控制为重点，全面开展VOCs治理，实施移动源整治，持续推进空气质量精细化管理；</w:t>
            </w:r>
            <w:r>
              <w:rPr>
                <w:rFonts w:hint="default" w:ascii="Times New Roman" w:hAnsi="Times New Roman" w:cs="Times New Roman"/>
                <w:color w:val="auto"/>
                <w:kern w:val="0"/>
                <w:szCs w:val="21"/>
                <w:lang w:val="en-US" w:eastAsia="zh-CN"/>
              </w:rPr>
              <w:t>③</w:t>
            </w:r>
            <w:r>
              <w:rPr>
                <w:rFonts w:hint="default" w:ascii="Times New Roman" w:hAnsi="Times New Roman" w:cs="Times New Roman"/>
                <w:color w:val="auto"/>
                <w:kern w:val="0"/>
                <w:szCs w:val="21"/>
              </w:rPr>
              <w:t>优化天然气化工、硫化工、锂钾综合开发、冶金建材、新材料等产业布局，切实做好危险化学品生产、使用、贮运、废弃全过程的安全防范措施，妥善处理好锂钾综合开发产业副产物及“三废”的综合利用途径或处置去向。</w:t>
            </w:r>
          </w:p>
          <w:p>
            <w:pPr>
              <w:tabs>
                <w:tab w:val="left" w:pos="689"/>
                <w:tab w:val="left" w:pos="3653"/>
              </w:tabs>
              <w:spacing w:line="400" w:lineRule="exact"/>
              <w:ind w:left="-31" w:leftChars="-15" w:right="-31" w:rightChars="-1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为废矿物油回收储存项目</w:t>
            </w:r>
            <w:r>
              <w:rPr>
                <w:rFonts w:hint="default" w:ascii="Times New Roman" w:hAnsi="Times New Roman" w:cs="Times New Roman"/>
                <w:color w:val="auto"/>
                <w:kern w:val="0"/>
                <w:szCs w:val="21"/>
              </w:rPr>
              <w:t>，</w:t>
            </w:r>
            <w:r>
              <w:rPr>
                <w:rFonts w:hint="default" w:ascii="Times New Roman" w:hAnsi="Times New Roman" w:cs="Times New Roman"/>
                <w:color w:val="auto"/>
                <w:szCs w:val="21"/>
              </w:rPr>
              <w:t>报告针对各污染物提出了相应的控制措施及生态保护措施</w:t>
            </w:r>
            <w:r>
              <w:rPr>
                <w:rFonts w:hint="default" w:ascii="Times New Roman" w:hAnsi="Times New Roman" w:cs="Times New Roman"/>
                <w:color w:val="auto"/>
                <w:kern w:val="0"/>
                <w:szCs w:val="21"/>
              </w:rPr>
              <w:t>，减少各项污染物的排放量</w:t>
            </w:r>
            <w:r>
              <w:rPr>
                <w:rFonts w:hint="default" w:ascii="Times New Roman" w:hAnsi="Times New Roman" w:cs="Times New Roman"/>
                <w:color w:val="auto"/>
                <w:szCs w:val="21"/>
              </w:rPr>
              <w:t>，项目“三废”</w:t>
            </w:r>
            <w:r>
              <w:rPr>
                <w:rFonts w:hint="default" w:ascii="Times New Roman" w:hAnsi="Times New Roman" w:cs="Times New Roman"/>
                <w:color w:val="auto"/>
                <w:szCs w:val="21"/>
                <w:lang w:val="en-US" w:eastAsia="zh-CN"/>
              </w:rPr>
              <w:t>及噪声</w:t>
            </w:r>
            <w:r>
              <w:rPr>
                <w:rFonts w:hint="default" w:ascii="Times New Roman" w:hAnsi="Times New Roman" w:cs="Times New Roman"/>
                <w:color w:val="auto"/>
                <w:szCs w:val="21"/>
              </w:rPr>
              <w:t>经治理后达标排放，固废（含一般固废和危险废物）均得到合理处置，符合当地生态环境保护基本要求。区域环境功能类别不会</w:t>
            </w:r>
            <w:r>
              <w:rPr>
                <w:rFonts w:hint="eastAsia" w:cs="Times New Roman"/>
                <w:color w:val="auto"/>
                <w:szCs w:val="21"/>
                <w:lang w:eastAsia="zh-CN"/>
              </w:rPr>
              <w:t>因</w:t>
            </w:r>
            <w:r>
              <w:rPr>
                <w:rFonts w:hint="default" w:ascii="Times New Roman" w:hAnsi="Times New Roman" w:cs="Times New Roman"/>
                <w:color w:val="auto"/>
                <w:szCs w:val="21"/>
              </w:rPr>
              <w:t>本项目实施发生改变，能够守住建设区域的环境质量底线。</w:t>
            </w:r>
          </w:p>
          <w:p>
            <w:pPr>
              <w:numPr>
                <w:ilvl w:val="0"/>
                <w:numId w:val="3"/>
              </w:numPr>
              <w:autoSpaceDE w:val="0"/>
              <w:autoSpaceDN w:val="0"/>
              <w:adjustRightInd w:val="0"/>
              <w:snapToGrid w:val="0"/>
              <w:spacing w:line="400" w:lineRule="exact"/>
              <w:ind w:right="-31" w:rightChars="-15"/>
              <w:rPr>
                <w:rFonts w:hint="default" w:ascii="Times New Roman" w:hAnsi="Times New Roman" w:eastAsia="黑体" w:cs="Times New Roman"/>
                <w:color w:val="0000FF"/>
                <w:kern w:val="0"/>
                <w:sz w:val="22"/>
                <w:szCs w:val="22"/>
              </w:rPr>
            </w:pPr>
            <w:r>
              <w:rPr>
                <w:rFonts w:hint="default" w:ascii="Times New Roman" w:hAnsi="Times New Roman" w:eastAsia="黑体" w:cs="Times New Roman"/>
                <w:color w:val="auto"/>
                <w:kern w:val="0"/>
                <w:sz w:val="22"/>
                <w:szCs w:val="22"/>
                <w:lang w:val="en-US" w:eastAsia="zh-CN"/>
              </w:rPr>
              <w:t>与相关法规符合性分析</w:t>
            </w:r>
          </w:p>
          <w:p>
            <w:pPr>
              <w:keepNext w:val="0"/>
              <w:keepLines w:val="0"/>
              <w:pageBreakBefore w:val="0"/>
              <w:widowControl w:val="0"/>
              <w:numPr>
                <w:ilvl w:val="0"/>
                <w:numId w:val="5"/>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422" w:firstLineChars="200"/>
              <w:jc w:val="both"/>
              <w:textAlignment w:val="auto"/>
              <w:rPr>
                <w:rFonts w:hint="default" w:ascii="Times New Roman" w:hAnsi="Times New Roman" w:eastAsia="宋体" w:cs="Times New Roman"/>
                <w:b/>
                <w:bCs/>
                <w:color w:val="auto"/>
                <w:kern w:val="0"/>
                <w:lang w:val="en-US" w:eastAsia="zh-CN"/>
              </w:rPr>
            </w:pPr>
            <w:r>
              <w:rPr>
                <w:rFonts w:hint="default" w:ascii="Times New Roman" w:hAnsi="Times New Roman" w:eastAsia="宋体" w:cs="Times New Roman"/>
                <w:b/>
                <w:bCs/>
                <w:color w:val="auto"/>
                <w:kern w:val="0"/>
                <w:lang w:val="en-US" w:eastAsia="zh-CN"/>
              </w:rPr>
              <w:t>与《中华人民共和国大气污染防治法》的符合性</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项目与“中华人民共和国</w:t>
            </w:r>
            <w:r>
              <w:rPr>
                <w:rFonts w:hint="default" w:ascii="Times New Roman" w:hAnsi="Times New Roman" w:eastAsia="黑体" w:cs="Times New Roman"/>
                <w:color w:val="auto"/>
                <w:kern w:val="0"/>
                <w:sz w:val="20"/>
                <w:szCs w:val="20"/>
                <w:lang w:val="en-US" w:eastAsia="zh-CN"/>
              </w:rPr>
              <w:t>大气污染防治法</w:t>
            </w:r>
            <w:r>
              <w:rPr>
                <w:rFonts w:hint="default" w:ascii="Times New Roman" w:hAnsi="Times New Roman" w:eastAsia="黑体" w:cs="Times New Roman"/>
                <w:color w:val="auto"/>
                <w:kern w:val="0"/>
                <w:sz w:val="20"/>
                <w:szCs w:val="20"/>
                <w:lang w:val="zh-CN" w:eastAsia="zh-CN"/>
              </w:rPr>
              <w:t>”的符合性分析</w:t>
            </w:r>
          </w:p>
          <w:tbl>
            <w:tblPr>
              <w:tblStyle w:val="17"/>
              <w:tblW w:w="7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450"/>
              <w:gridCol w:w="4497"/>
              <w:gridCol w:w="2224"/>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79" w:hRule="atLeast"/>
                <w:tblHeader/>
                <w:jc w:val="center"/>
              </w:trPr>
              <w:tc>
                <w:tcPr>
                  <w:tcW w:w="450"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4497"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原文内容</w:t>
                  </w:r>
                </w:p>
              </w:tc>
              <w:tc>
                <w:tcPr>
                  <w:tcW w:w="2224"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本项目情况</w:t>
                  </w:r>
                </w:p>
              </w:tc>
              <w:tc>
                <w:tcPr>
                  <w:tcW w:w="647"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210" w:hRule="atLeast"/>
                <w:tblHeader/>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6"/>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97"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第十八条　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2224"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项目</w:t>
                  </w:r>
                  <w:r>
                    <w:rPr>
                      <w:rFonts w:hint="default" w:ascii="Times New Roman" w:hAnsi="Times New Roman" w:eastAsia="宋体" w:cs="Times New Roman"/>
                      <w:bCs/>
                      <w:color w:val="auto"/>
                      <w:sz w:val="18"/>
                      <w:szCs w:val="18"/>
                      <w:lang w:val="en-US" w:eastAsia="zh-CN"/>
                    </w:rPr>
                    <w:t>按要求办理环境影响评价；严格执行大气污染物排放标准，遵守重点大气污染物排放总量控制要求。</w:t>
                  </w:r>
                </w:p>
              </w:tc>
              <w:tc>
                <w:tcPr>
                  <w:tcW w:w="647"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730" w:hRule="atLeast"/>
                <w:tblHeader/>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6"/>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97" w:type="dxa"/>
                  <w:tcBorders>
                    <w:top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第四十五条　产生含挥发性有机物废气的生产和服务活动，应当在密闭空间或者设备中进行，并按照规定安装、使用污染防治设施；无法密闭的，应当采取措施减少废气排放。</w:t>
                  </w:r>
                </w:p>
              </w:tc>
              <w:tc>
                <w:tcPr>
                  <w:tcW w:w="2224" w:type="dxa"/>
                  <w:tcBorders>
                    <w:top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项目</w:t>
                  </w:r>
                  <w:r>
                    <w:rPr>
                      <w:rFonts w:hint="eastAsia" w:cs="Times New Roman"/>
                      <w:bCs/>
                      <w:color w:val="auto"/>
                      <w:sz w:val="18"/>
                      <w:szCs w:val="18"/>
                      <w:lang w:val="en-US" w:eastAsia="zh-CN"/>
                    </w:rPr>
                    <w:t>采用密闭的双层储油罐储存，装卸转运均采用封闭的管道，并按照规定安装、使用污染防治设施</w:t>
                  </w:r>
                </w:p>
              </w:tc>
              <w:tc>
                <w:tcPr>
                  <w:tcW w:w="647"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bl>
          <w:p>
            <w:pPr>
              <w:keepNext w:val="0"/>
              <w:keepLines w:val="0"/>
              <w:pageBreakBefore w:val="0"/>
              <w:widowControl w:val="0"/>
              <w:numPr>
                <w:ilvl w:val="0"/>
                <w:numId w:val="5"/>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422" w:firstLineChars="200"/>
              <w:jc w:val="both"/>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与</w:t>
            </w:r>
            <w:r>
              <w:rPr>
                <w:rFonts w:hint="default" w:ascii="Times New Roman" w:hAnsi="Times New Roman" w:eastAsia="宋体" w:cs="Times New Roman"/>
                <w:b/>
                <w:bCs/>
                <w:color w:val="auto"/>
                <w:kern w:val="0"/>
                <w:szCs w:val="21"/>
              </w:rPr>
              <w:t>《</w:t>
            </w:r>
            <w:r>
              <w:rPr>
                <w:rFonts w:hint="default" w:ascii="Times New Roman" w:hAnsi="Times New Roman" w:eastAsia="宋体" w:cs="Times New Roman"/>
                <w:b/>
                <w:bCs/>
                <w:color w:val="auto"/>
                <w:kern w:val="0"/>
                <w:lang w:val="en-US" w:eastAsia="zh-CN"/>
              </w:rPr>
              <w:t>中华人民共和国</w:t>
            </w:r>
            <w:r>
              <w:rPr>
                <w:rFonts w:hint="default" w:ascii="Times New Roman" w:hAnsi="Times New Roman" w:eastAsia="宋体" w:cs="Times New Roman"/>
                <w:b/>
                <w:bCs/>
                <w:color w:val="auto"/>
                <w:kern w:val="0"/>
                <w:szCs w:val="21"/>
              </w:rPr>
              <w:t>长江保护法》</w:t>
            </w:r>
            <w:r>
              <w:rPr>
                <w:rFonts w:hint="default" w:ascii="Times New Roman" w:hAnsi="Times New Roman" w:eastAsia="宋体" w:cs="Times New Roman"/>
                <w:b/>
                <w:bCs/>
                <w:color w:val="auto"/>
                <w:kern w:val="0"/>
                <w:szCs w:val="21"/>
                <w:lang w:val="en-US" w:eastAsia="zh-CN"/>
              </w:rPr>
              <w:t>符合性分析</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项目与《中华人民共和国长江保护法》的符合性分析</w:t>
            </w:r>
          </w:p>
          <w:tbl>
            <w:tblPr>
              <w:tblStyle w:val="17"/>
              <w:tblW w:w="7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0"/>
              <w:gridCol w:w="4462"/>
              <w:gridCol w:w="2267"/>
              <w:gridCol w:w="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 w:hRule="atLeast"/>
                <w:tblHeader/>
                <w:jc w:val="center"/>
              </w:trPr>
              <w:tc>
                <w:tcPr>
                  <w:tcW w:w="430"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4462"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原文内容</w:t>
                  </w:r>
                </w:p>
              </w:tc>
              <w:tc>
                <w:tcPr>
                  <w:tcW w:w="2267"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本项目情况</w:t>
                  </w:r>
                </w:p>
              </w:tc>
              <w:tc>
                <w:tcPr>
                  <w:tcW w:w="620"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tblHeader/>
                <w:jc w:val="center"/>
              </w:trPr>
              <w:tc>
                <w:tcPr>
                  <w:tcW w:w="430"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1</w:t>
                  </w:r>
                </w:p>
              </w:tc>
              <w:tc>
                <w:tcPr>
                  <w:tcW w:w="4462"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第二十一条 长江流域水质超标的水功能区，应当实施更严格的污染物排放总量削减要求。企业事业单位应当按照要求，采取污染物排放总量控制措施。</w:t>
                  </w:r>
                </w:p>
              </w:tc>
              <w:tc>
                <w:tcPr>
                  <w:tcW w:w="2267"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项目所在区域水环境质量满足相应功能区要求，项目</w:t>
                  </w:r>
                  <w:r>
                    <w:rPr>
                      <w:rFonts w:hint="default" w:ascii="Times New Roman" w:hAnsi="Times New Roman" w:cs="Times New Roman"/>
                      <w:bCs/>
                      <w:color w:val="auto"/>
                      <w:sz w:val="18"/>
                      <w:szCs w:val="18"/>
                      <w:lang w:val="en-US" w:eastAsia="zh-CN"/>
                    </w:rPr>
                    <w:t>无生产废水排放，生活污水</w:t>
                  </w:r>
                  <w:r>
                    <w:rPr>
                      <w:rFonts w:hint="eastAsia" w:ascii="Times New Roman" w:hAnsi="Times New Roman" w:cs="Times New Roman"/>
                      <w:bCs/>
                      <w:color w:val="auto"/>
                      <w:sz w:val="18"/>
                      <w:szCs w:val="18"/>
                      <w:lang w:val="en-US" w:eastAsia="zh-CN"/>
                    </w:rPr>
                    <w:t>收集后排入园区污水处理厂集中处理，水质满足园区污水处理厂的接纳标准。</w:t>
                  </w:r>
                </w:p>
              </w:tc>
              <w:tc>
                <w:tcPr>
                  <w:tcW w:w="620"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tblHeader/>
                <w:jc w:val="center"/>
              </w:trPr>
              <w:tc>
                <w:tcPr>
                  <w:tcW w:w="4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44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22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项目所在地不属于长江流域重点生态功能区，对生态系统不会造成严重影响，也不属于重污染项目。</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tblHeader/>
                <w:jc w:val="center"/>
              </w:trPr>
              <w:tc>
                <w:tcPr>
                  <w:tcW w:w="4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4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pacing w:val="-2"/>
                      <w:sz w:val="18"/>
                      <w:szCs w:val="18"/>
                    </w:rPr>
                  </w:pPr>
                  <w:r>
                    <w:rPr>
                      <w:rFonts w:hint="default" w:ascii="Times New Roman" w:hAnsi="Times New Roman" w:eastAsia="宋体" w:cs="Times New Roman"/>
                      <w:bCs/>
                      <w:color w:val="auto"/>
                      <w:spacing w:val="-2"/>
                      <w:sz w:val="18"/>
                      <w:szCs w:val="18"/>
                    </w:rPr>
                    <w:t>第二十六条 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22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本项目不属于化工项目或尾矿库项目，占地区域也不在长江干流岸线三公里范围内和重要支流岸线一公里范围内。</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 w:hRule="atLeast"/>
                <w:tblHeader/>
                <w:jc w:val="center"/>
              </w:trPr>
              <w:tc>
                <w:tcPr>
                  <w:tcW w:w="4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4</w:t>
                  </w:r>
                </w:p>
              </w:tc>
              <w:tc>
                <w:tcPr>
                  <w:tcW w:w="44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pacing w:val="-2"/>
                      <w:kern w:val="2"/>
                      <w:sz w:val="18"/>
                      <w:szCs w:val="18"/>
                      <w:lang w:val="en-US" w:eastAsia="zh-CN" w:bidi="ar-SA"/>
                    </w:rPr>
                  </w:pPr>
                  <w:r>
                    <w:rPr>
                      <w:rFonts w:hint="default" w:ascii="Times New Roman" w:hAnsi="Times New Roman" w:eastAsia="宋体" w:cs="Times New Roman"/>
                      <w:bCs/>
                      <w:color w:val="auto"/>
                      <w:spacing w:val="-2"/>
                      <w:sz w:val="18"/>
                      <w:szCs w:val="18"/>
                    </w:rPr>
                    <w:t>第三十八条 加强对高耗水行业、重点用水单位的用水定额管理，严格控制高耗水项目建设。</w:t>
                  </w:r>
                </w:p>
              </w:tc>
              <w:tc>
                <w:tcPr>
                  <w:tcW w:w="22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rPr>
                    <w:t>本项目不属于高耗水项目。</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符合</w:t>
                  </w:r>
                </w:p>
              </w:tc>
            </w:tr>
          </w:tbl>
          <w:p>
            <w:pPr>
              <w:keepNext w:val="0"/>
              <w:keepLines w:val="0"/>
              <w:pageBreakBefore w:val="0"/>
              <w:widowControl w:val="0"/>
              <w:numPr>
                <w:ilvl w:val="0"/>
                <w:numId w:val="5"/>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420" w:firstLineChars="200"/>
              <w:jc w:val="both"/>
              <w:textAlignment w:val="auto"/>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lang w:val="en-US" w:eastAsia="zh-CN"/>
              </w:rPr>
              <w:t>《四川省嘉陵江流域生态环境保护条例》</w:t>
            </w:r>
            <w:r>
              <w:rPr>
                <w:rFonts w:hint="default" w:ascii="Times New Roman" w:hAnsi="Times New Roman" w:eastAsia="黑体" w:cs="Times New Roman"/>
                <w:color w:val="auto"/>
                <w:kern w:val="0"/>
                <w:sz w:val="21"/>
                <w:szCs w:val="21"/>
              </w:rPr>
              <w:t>符合性分析</w:t>
            </w:r>
          </w:p>
          <w:p>
            <w:pPr>
              <w:tabs>
                <w:tab w:val="left" w:pos="689"/>
                <w:tab w:val="left" w:pos="3653"/>
              </w:tabs>
              <w:spacing w:line="400" w:lineRule="exact"/>
              <w:ind w:left="-31" w:leftChars="-15" w:right="-31" w:rightChars="-1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2021年11月25日四川省第十三届人民代表大会常务委员会第三十一次会议通过了《四川省嘉陵江流域生态环境保护条例》</w:t>
            </w:r>
            <w:r>
              <w:rPr>
                <w:rFonts w:hint="default" w:ascii="Times New Roman" w:hAnsi="Times New Roman" w:cs="Times New Roman"/>
                <w:color w:val="auto"/>
                <w:szCs w:val="21"/>
              </w:rPr>
              <w:t>，本项目与其</w:t>
            </w:r>
            <w:r>
              <w:rPr>
                <w:rFonts w:hint="default" w:ascii="Times New Roman" w:hAnsi="Times New Roman" w:cs="Times New Roman"/>
                <w:color w:val="auto"/>
                <w:szCs w:val="21"/>
                <w:lang w:val="en-US" w:eastAsia="zh-CN"/>
              </w:rPr>
              <w:t>符合性分析见</w:t>
            </w:r>
            <w:r>
              <w:rPr>
                <w:rFonts w:hint="default" w:ascii="Times New Roman" w:hAnsi="Times New Roman" w:cs="Times New Roman"/>
                <w:color w:val="auto"/>
                <w:szCs w:val="21"/>
              </w:rPr>
              <w:t>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与</w:t>
            </w:r>
            <w:r>
              <w:rPr>
                <w:rFonts w:hint="default" w:ascii="Times New Roman" w:hAnsi="Times New Roman" w:eastAsia="黑体" w:cs="Times New Roman"/>
                <w:color w:val="auto"/>
                <w:kern w:val="0"/>
                <w:sz w:val="20"/>
                <w:szCs w:val="20"/>
                <w:lang w:val="en-US" w:eastAsia="zh-CN"/>
              </w:rPr>
              <w:t>《四川省嘉陵江流域生态环境保护条例》</w:t>
            </w:r>
            <w:r>
              <w:rPr>
                <w:rFonts w:hint="default" w:ascii="Times New Roman" w:hAnsi="Times New Roman" w:eastAsia="黑体" w:cs="Times New Roman"/>
                <w:color w:val="auto"/>
                <w:kern w:val="0"/>
                <w:sz w:val="20"/>
                <w:szCs w:val="20"/>
                <w:lang w:val="zh-CN" w:eastAsia="zh-CN"/>
              </w:rPr>
              <w:t>的符合性分析</w:t>
            </w:r>
          </w:p>
          <w:tbl>
            <w:tblPr>
              <w:tblStyle w:val="17"/>
              <w:tblW w:w="7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58"/>
              <w:gridCol w:w="3845"/>
              <w:gridCol w:w="2653"/>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558"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bCs/>
                      <w:color w:val="auto"/>
                      <w:spacing w:val="1"/>
                      <w:sz w:val="18"/>
                      <w:szCs w:val="18"/>
                      <w:highlight w:val="none"/>
                    </w:rPr>
                    <w:t>序号</w:t>
                  </w:r>
                </w:p>
              </w:tc>
              <w:tc>
                <w:tcPr>
                  <w:tcW w:w="3845"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bCs/>
                      <w:color w:val="auto"/>
                      <w:spacing w:val="1"/>
                      <w:sz w:val="18"/>
                      <w:szCs w:val="18"/>
                      <w:highlight w:val="none"/>
                    </w:rPr>
                    <w:t>法律条款</w:t>
                  </w:r>
                </w:p>
              </w:tc>
              <w:tc>
                <w:tcPr>
                  <w:tcW w:w="265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b/>
                      <w:bCs/>
                      <w:color w:val="auto"/>
                      <w:spacing w:val="1"/>
                      <w:sz w:val="18"/>
                      <w:szCs w:val="18"/>
                      <w:highlight w:val="none"/>
                      <w:lang w:eastAsia="en-US"/>
                    </w:rPr>
                    <w:t>本项目</w:t>
                  </w:r>
                </w:p>
              </w:tc>
              <w:tc>
                <w:tcPr>
                  <w:tcW w:w="64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b/>
                      <w:bCs/>
                      <w:color w:val="auto"/>
                      <w:spacing w:val="1"/>
                      <w:sz w:val="18"/>
                      <w:szCs w:val="18"/>
                      <w:highlight w:val="none"/>
                      <w:lang w:eastAsia="en-US"/>
                    </w:rPr>
                    <w:t>符</w:t>
                  </w:r>
                  <w:r>
                    <w:rPr>
                      <w:rFonts w:hint="default" w:ascii="Times New Roman" w:hAnsi="Times New Roman" w:cs="Times New Roman"/>
                      <w:b/>
                      <w:bCs/>
                      <w:color w:val="auto"/>
                      <w:sz w:val="18"/>
                      <w:szCs w:val="18"/>
                      <w:highlight w:val="none"/>
                      <w:lang w:eastAsia="en-US"/>
                    </w:rPr>
                    <w:t>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55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第十</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rPr>
                  </w:pPr>
                  <w:r>
                    <w:rPr>
                      <w:rFonts w:hint="default" w:ascii="Times New Roman" w:hAnsi="Times New Roman" w:eastAsia="宋体" w:cs="Times New Roman"/>
                      <w:color w:val="auto"/>
                      <w:sz w:val="18"/>
                      <w:szCs w:val="18"/>
                      <w:highlight w:val="none"/>
                      <w:lang w:val="en-US" w:eastAsia="zh-CN"/>
                    </w:rPr>
                    <w:t>七</w:t>
                  </w:r>
                  <w:r>
                    <w:rPr>
                      <w:rFonts w:hint="default" w:ascii="Times New Roman" w:hAnsi="Times New Roman" w:eastAsia="宋体" w:cs="Times New Roman"/>
                      <w:color w:val="auto"/>
                      <w:sz w:val="18"/>
                      <w:szCs w:val="18"/>
                      <w:highlight w:val="none"/>
                      <w:lang w:eastAsia="zh-CN"/>
                    </w:rPr>
                    <w:t>条</w:t>
                  </w:r>
                </w:p>
              </w:tc>
              <w:tc>
                <w:tcPr>
                  <w:tcW w:w="3845"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sz w:val="18"/>
                      <w:szCs w:val="18"/>
                      <w:highlight w:val="none"/>
                      <w:lang w:eastAsia="zh-CN"/>
                    </w:rPr>
                    <w:t>禁止在嘉陵江干支流岸线一公里范围内新建、扩建化工园区和化工项目。</w:t>
                  </w:r>
                </w:p>
              </w:tc>
              <w:tc>
                <w:tcPr>
                  <w:tcW w:w="2653"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eastAsia="宋体" w:cs="Times New Roman"/>
                      <w:color w:val="auto"/>
                      <w:spacing w:val="-1"/>
                      <w:sz w:val="18"/>
                      <w:szCs w:val="18"/>
                      <w:highlight w:val="none"/>
                      <w:lang w:val="en-US" w:eastAsia="zh-CN"/>
                    </w:rPr>
                  </w:pPr>
                  <w:r>
                    <w:rPr>
                      <w:rFonts w:hint="default" w:ascii="Times New Roman" w:hAnsi="Times New Roman" w:cs="Times New Roman"/>
                      <w:color w:val="auto"/>
                      <w:sz w:val="18"/>
                      <w:szCs w:val="18"/>
                      <w:highlight w:val="none"/>
                      <w:lang w:val="en-US" w:eastAsia="zh-CN"/>
                    </w:rPr>
                    <w:t>为废矿物油回收储存项目，不属于化工项目。</w:t>
                  </w:r>
                </w:p>
              </w:tc>
              <w:tc>
                <w:tcPr>
                  <w:tcW w:w="64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lang w:eastAsia="en-US"/>
                    </w:rPr>
                  </w:pPr>
                  <w:r>
                    <w:rPr>
                      <w:rFonts w:hint="default" w:ascii="Times New Roman" w:hAnsi="Times New Roman" w:cs="Times New Roman"/>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0" w:hRule="atLeast"/>
                <w:jc w:val="center"/>
              </w:trPr>
              <w:tc>
                <w:tcPr>
                  <w:tcW w:w="55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第二十一条</w:t>
                  </w:r>
                </w:p>
              </w:tc>
              <w:tc>
                <w:tcPr>
                  <w:tcW w:w="3845"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sz w:val="18"/>
                      <w:szCs w:val="18"/>
                      <w:highlight w:val="none"/>
                      <w:lang w:eastAsia="zh-CN"/>
                    </w:rPr>
                    <w:t>按照排污许可证的规定排放污染物；禁止未取得排污许可证或违反排污许可证的规定排放污染物</w:t>
                  </w:r>
                </w:p>
              </w:tc>
              <w:tc>
                <w:tcPr>
                  <w:tcW w:w="2653"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cs="Times New Roman"/>
                      <w:color w:val="auto"/>
                      <w:spacing w:val="-1"/>
                      <w:sz w:val="18"/>
                      <w:szCs w:val="18"/>
                      <w:highlight w:val="none"/>
                    </w:rPr>
                  </w:pPr>
                  <w:r>
                    <w:rPr>
                      <w:rFonts w:hint="default" w:ascii="Times New Roman" w:hAnsi="Times New Roman" w:eastAsia="宋体" w:cs="Times New Roman"/>
                      <w:color w:val="auto"/>
                      <w:sz w:val="18"/>
                      <w:szCs w:val="18"/>
                      <w:highlight w:val="none"/>
                      <w:lang w:val="en-US" w:eastAsia="zh-CN"/>
                    </w:rPr>
                    <w:t>建成后将按要求办理排污许可证</w:t>
                  </w:r>
                  <w:r>
                    <w:rPr>
                      <w:rFonts w:hint="default" w:ascii="Times New Roman" w:hAnsi="Times New Roman" w:cs="Times New Roman"/>
                      <w:color w:val="auto"/>
                      <w:sz w:val="18"/>
                      <w:szCs w:val="18"/>
                      <w:highlight w:val="none"/>
                      <w:lang w:val="en-US" w:eastAsia="zh-CN"/>
                    </w:rPr>
                    <w:t>，并按证排污</w:t>
                  </w:r>
                  <w:r>
                    <w:rPr>
                      <w:rFonts w:hint="default" w:ascii="Times New Roman" w:hAnsi="Times New Roman" w:eastAsia="宋体" w:cs="Times New Roman"/>
                      <w:color w:val="auto"/>
                      <w:sz w:val="18"/>
                      <w:szCs w:val="18"/>
                      <w:highlight w:val="none"/>
                    </w:rPr>
                    <w:t>。</w:t>
                  </w:r>
                </w:p>
              </w:tc>
              <w:tc>
                <w:tcPr>
                  <w:tcW w:w="64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lang w:eastAsia="en-US"/>
                    </w:rPr>
                  </w:pPr>
                  <w:r>
                    <w:rPr>
                      <w:rFonts w:hint="default" w:ascii="Times New Roman" w:hAnsi="Times New Roman" w:cs="Times New Roman"/>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4" w:hRule="atLeast"/>
                <w:jc w:val="center"/>
              </w:trPr>
              <w:tc>
                <w:tcPr>
                  <w:tcW w:w="55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第六十七条</w:t>
                  </w:r>
                </w:p>
              </w:tc>
              <w:tc>
                <w:tcPr>
                  <w:tcW w:w="3845"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sz w:val="18"/>
                      <w:szCs w:val="18"/>
                      <w:highlight w:val="none"/>
                      <w:lang w:eastAsia="zh-CN"/>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工业集聚区管理机构应当建设污水集中处理设施和配套管网，实行雨污分流，实现废水分类收集、分质处理。排污单位对污水进行预处理后向污水集中处理设施排放的，应当符合污水集中处理设施的接纳标准。</w:t>
                  </w:r>
                </w:p>
              </w:tc>
              <w:tc>
                <w:tcPr>
                  <w:tcW w:w="2653"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eastAsia="宋体"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项目无工业废水产生，仅少量冲洗废水、生活污水，厂区采取雨污分流制，废水经收集处理后排入园区污水处理厂集中处理，水质满足园区污水处理厂的接纳标准。</w:t>
                  </w:r>
                </w:p>
              </w:tc>
              <w:tc>
                <w:tcPr>
                  <w:tcW w:w="64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lang w:eastAsia="en-US"/>
                    </w:rPr>
                  </w:pPr>
                  <w:r>
                    <w:rPr>
                      <w:rFonts w:hint="default" w:ascii="Times New Roman" w:hAnsi="Times New Roman" w:cs="Times New Roman"/>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3" w:hRule="atLeast"/>
                <w:jc w:val="center"/>
              </w:trPr>
              <w:tc>
                <w:tcPr>
                  <w:tcW w:w="558"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w:t>
                  </w:r>
                </w:p>
              </w:tc>
              <w:tc>
                <w:tcPr>
                  <w:tcW w:w="3845" w:type="dxa"/>
                  <w:shd w:val="clear" w:color="auto" w:fill="auto"/>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第七十一条 化学品生产企业以及工业集聚区、矿山开采区、尾矿库、危险废物处置场、垃圾填埋场等运营、管理单位，应当采取防渗漏、防垮塌等措施，并建设地下水水质监测井进行监测，防止地下水污染</w:t>
                  </w:r>
                  <w:r>
                    <w:rPr>
                      <w:rFonts w:hint="default" w:ascii="Times New Roman" w:hAnsi="Times New Roman" w:cs="Times New Roman"/>
                      <w:color w:val="auto"/>
                      <w:kern w:val="0"/>
                      <w:sz w:val="18"/>
                      <w:szCs w:val="18"/>
                      <w:highlight w:val="none"/>
                      <w:lang w:eastAsia="zh-CN"/>
                    </w:rPr>
                    <w:t>。</w:t>
                  </w:r>
                </w:p>
              </w:tc>
              <w:tc>
                <w:tcPr>
                  <w:tcW w:w="265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本项目</w:t>
                  </w:r>
                  <w:r>
                    <w:rPr>
                      <w:rFonts w:hint="default" w:ascii="Times New Roman" w:hAnsi="Times New Roman" w:cs="Times New Roman"/>
                      <w:color w:val="auto"/>
                      <w:spacing w:val="-1"/>
                      <w:sz w:val="18"/>
                      <w:szCs w:val="18"/>
                      <w:highlight w:val="none"/>
                      <w:lang w:val="en-US" w:eastAsia="zh-CN"/>
                    </w:rPr>
                    <w:t>为废矿物油回收储存项目，厂区储油区、卸油区等按重点防渗要求建设，定期转运至下游</w:t>
                  </w:r>
                  <w:r>
                    <w:rPr>
                      <w:rFonts w:hint="default" w:ascii="Times New Roman" w:hAnsi="Times New Roman" w:cs="Times New Roman"/>
                      <w:color w:val="auto"/>
                      <w:spacing w:val="-1"/>
                      <w:sz w:val="18"/>
                      <w:szCs w:val="18"/>
                      <w:highlight w:val="none"/>
                    </w:rPr>
                    <w:t>有资质单位处理。</w:t>
                  </w:r>
                </w:p>
              </w:tc>
              <w:tc>
                <w:tcPr>
                  <w:tcW w:w="64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lang w:eastAsia="en-US"/>
                    </w:rPr>
                  </w:pPr>
                  <w:r>
                    <w:rPr>
                      <w:rFonts w:hint="default" w:ascii="Times New Roman" w:hAnsi="Times New Roman" w:cs="Times New Roman"/>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0" w:hRule="atLeast"/>
                <w:jc w:val="center"/>
              </w:trPr>
              <w:tc>
                <w:tcPr>
                  <w:tcW w:w="558"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w:t>
                  </w:r>
                </w:p>
              </w:tc>
              <w:tc>
                <w:tcPr>
                  <w:tcW w:w="3845" w:type="dxa"/>
                  <w:shd w:val="clear" w:color="auto" w:fill="auto"/>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第七十三条</w:t>
                  </w:r>
                  <w:r>
                    <w:rPr>
                      <w:rFonts w:hint="default"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禁止在嘉陵江流域河湖管理范围内倾倒、填埋、堆放、弃置、处理固体废物。</w:t>
                  </w:r>
                </w:p>
              </w:tc>
              <w:tc>
                <w:tcPr>
                  <w:tcW w:w="265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本项目</w:t>
                  </w:r>
                  <w:r>
                    <w:rPr>
                      <w:rFonts w:hint="default" w:ascii="Times New Roman" w:hAnsi="Times New Roman" w:cs="Times New Roman"/>
                      <w:color w:val="auto"/>
                      <w:spacing w:val="-1"/>
                      <w:sz w:val="18"/>
                      <w:szCs w:val="18"/>
                      <w:highlight w:val="none"/>
                      <w:lang w:val="en-US" w:eastAsia="zh-CN"/>
                    </w:rPr>
                    <w:t>收集的废矿物油定期转运至下游</w:t>
                  </w:r>
                  <w:r>
                    <w:rPr>
                      <w:rFonts w:hint="default" w:ascii="Times New Roman" w:hAnsi="Times New Roman" w:cs="Times New Roman"/>
                      <w:color w:val="auto"/>
                      <w:spacing w:val="-1"/>
                      <w:sz w:val="18"/>
                      <w:szCs w:val="18"/>
                      <w:highlight w:val="none"/>
                    </w:rPr>
                    <w:t>有资质单位处理</w:t>
                  </w:r>
                  <w:r>
                    <w:rPr>
                      <w:rFonts w:hint="default" w:ascii="Times New Roman" w:hAnsi="Times New Roman" w:cs="Times New Roman"/>
                      <w:color w:val="auto"/>
                      <w:spacing w:val="-1"/>
                      <w:sz w:val="18"/>
                      <w:szCs w:val="18"/>
                      <w:highlight w:val="none"/>
                      <w:lang w:eastAsia="zh-CN"/>
                    </w:rPr>
                    <w:t>，</w:t>
                  </w:r>
                  <w:r>
                    <w:rPr>
                      <w:rFonts w:hint="default" w:ascii="Times New Roman" w:hAnsi="Times New Roman" w:cs="Times New Roman"/>
                      <w:color w:val="auto"/>
                      <w:spacing w:val="-1"/>
                      <w:sz w:val="18"/>
                      <w:szCs w:val="18"/>
                      <w:highlight w:val="none"/>
                      <w:lang w:val="en-US" w:eastAsia="zh-CN"/>
                    </w:rPr>
                    <w:t>并严格执行危险废物转移联单制度</w:t>
                  </w:r>
                  <w:r>
                    <w:rPr>
                      <w:rFonts w:hint="default" w:ascii="Times New Roman" w:hAnsi="Times New Roman" w:cs="Times New Roman"/>
                      <w:color w:val="auto"/>
                      <w:spacing w:val="-1"/>
                      <w:sz w:val="18"/>
                      <w:szCs w:val="18"/>
                      <w:highlight w:val="none"/>
                    </w:rPr>
                    <w:t>。</w:t>
                  </w:r>
                </w:p>
              </w:tc>
              <w:tc>
                <w:tcPr>
                  <w:tcW w:w="64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0" w:hRule="atLeast"/>
                <w:jc w:val="center"/>
              </w:trPr>
              <w:tc>
                <w:tcPr>
                  <w:tcW w:w="558"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w:t>
                  </w:r>
                </w:p>
              </w:tc>
              <w:tc>
                <w:tcPr>
                  <w:tcW w:w="3845" w:type="dxa"/>
                  <w:shd w:val="clear" w:color="auto" w:fill="auto"/>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第七十四条</w:t>
                  </w:r>
                  <w:r>
                    <w:rPr>
                      <w:rFonts w:hint="default"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禁止在嘉陵江流域水上运输剧毒化学品和国家规定禁止通过内河运输的其他危险化学品。</w:t>
                  </w:r>
                </w:p>
              </w:tc>
              <w:tc>
                <w:tcPr>
                  <w:tcW w:w="265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eastAsia="宋体"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本项目全部采用陆路运输，不采用水运。</w:t>
                  </w:r>
                </w:p>
              </w:tc>
              <w:tc>
                <w:tcPr>
                  <w:tcW w:w="64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558"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w:t>
                  </w:r>
                </w:p>
              </w:tc>
              <w:tc>
                <w:tcPr>
                  <w:tcW w:w="3845" w:type="dxa"/>
                  <w:shd w:val="clear" w:color="auto" w:fill="auto"/>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第八十条</w:t>
                  </w:r>
                  <w:r>
                    <w:rPr>
                      <w:rFonts w:hint="default" w:ascii="Times New Roman" w:hAnsi="Times New Roman" w:cs="Times New Roman"/>
                      <w:color w:val="auto"/>
                      <w:kern w:val="0"/>
                      <w:sz w:val="18"/>
                      <w:szCs w:val="18"/>
                      <w:highlight w:val="none"/>
                      <w:lang w:val="en-US" w:eastAsia="zh-CN"/>
                    </w:rPr>
                    <w:t xml:space="preserve"> </w:t>
                  </w:r>
                  <w:r>
                    <w:rPr>
                      <w:rFonts w:hint="default" w:ascii="Times New Roman" w:hAnsi="Times New Roman" w:cs="Times New Roman"/>
                      <w:color w:val="auto"/>
                      <w:kern w:val="0"/>
                      <w:sz w:val="18"/>
                      <w:szCs w:val="18"/>
                      <w:highlight w:val="none"/>
                    </w:rPr>
                    <w:t>限期禁止生产、销售、进口、使用、转让严重污染水环境的工艺和设备。</w:t>
                  </w:r>
                </w:p>
              </w:tc>
              <w:tc>
                <w:tcPr>
                  <w:tcW w:w="265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eastAsia="宋体"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项目所用的设备、工艺不属于严重污染水环境的工艺和设备</w:t>
                  </w:r>
                  <w:r>
                    <w:rPr>
                      <w:rFonts w:hint="eastAsia" w:cs="Times New Roman"/>
                      <w:color w:val="auto"/>
                      <w:spacing w:val="-1"/>
                      <w:sz w:val="18"/>
                      <w:szCs w:val="18"/>
                      <w:highlight w:val="none"/>
                      <w:lang w:val="en-US" w:eastAsia="zh-CN"/>
                    </w:rPr>
                    <w:t>。</w:t>
                  </w:r>
                </w:p>
              </w:tc>
              <w:tc>
                <w:tcPr>
                  <w:tcW w:w="64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符合</w:t>
                  </w:r>
                </w:p>
              </w:tc>
            </w:tr>
          </w:tbl>
          <w:p>
            <w:pPr>
              <w:keepNext w:val="0"/>
              <w:keepLines w:val="0"/>
              <w:pageBreakBefore w:val="0"/>
              <w:widowControl w:val="0"/>
              <w:numPr>
                <w:ilvl w:val="0"/>
                <w:numId w:val="5"/>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420" w:firstLineChars="200"/>
              <w:jc w:val="both"/>
              <w:textAlignment w:val="auto"/>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lang w:val="en-US" w:eastAsia="zh-CN"/>
              </w:rPr>
              <w:t>《四川省“十四五”固体废物分类处置及资源化利用规划》</w:t>
            </w:r>
            <w:r>
              <w:rPr>
                <w:rFonts w:hint="default" w:ascii="Times New Roman" w:hAnsi="Times New Roman" w:eastAsia="黑体" w:cs="Times New Roman"/>
                <w:color w:val="auto"/>
                <w:kern w:val="0"/>
                <w:sz w:val="21"/>
                <w:szCs w:val="21"/>
              </w:rPr>
              <w:t>符合性分析</w:t>
            </w:r>
          </w:p>
          <w:p>
            <w:pPr>
              <w:tabs>
                <w:tab w:val="left" w:pos="689"/>
                <w:tab w:val="left" w:pos="3653"/>
              </w:tabs>
              <w:spacing w:line="400" w:lineRule="exact"/>
              <w:ind w:left="-31" w:leftChars="-15" w:right="-31" w:rightChars="-1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2022年11月16日四川省发展和改革委员会</w:t>
            </w:r>
            <w:r>
              <w:rPr>
                <w:rFonts w:hint="eastAsia" w:cs="Times New Roman"/>
                <w:color w:val="auto"/>
                <w:szCs w:val="21"/>
                <w:lang w:val="en-US" w:eastAsia="zh-CN"/>
              </w:rPr>
              <w:t>等六部门印发了</w:t>
            </w:r>
            <w:r>
              <w:rPr>
                <w:rFonts w:hint="default" w:ascii="Times New Roman" w:hAnsi="Times New Roman" w:cs="Times New Roman"/>
                <w:color w:val="auto"/>
                <w:szCs w:val="21"/>
                <w:lang w:val="en-US" w:eastAsia="zh-CN"/>
              </w:rPr>
              <w:t>《四川省“十四五”固体废物分类处置及资源化利用规划》</w:t>
            </w:r>
            <w:r>
              <w:rPr>
                <w:rFonts w:hint="default" w:ascii="Times New Roman" w:hAnsi="Times New Roman" w:cs="Times New Roman"/>
                <w:color w:val="auto"/>
                <w:szCs w:val="21"/>
              </w:rPr>
              <w:t>，本项目与其</w:t>
            </w:r>
            <w:r>
              <w:rPr>
                <w:rFonts w:hint="default" w:ascii="Times New Roman" w:hAnsi="Times New Roman" w:cs="Times New Roman"/>
                <w:color w:val="auto"/>
                <w:szCs w:val="21"/>
                <w:lang w:val="en-US" w:eastAsia="zh-CN"/>
              </w:rPr>
              <w:t>符合性分析见</w:t>
            </w:r>
            <w:r>
              <w:rPr>
                <w:rFonts w:hint="default" w:ascii="Times New Roman" w:hAnsi="Times New Roman" w:cs="Times New Roman"/>
                <w:color w:val="auto"/>
                <w:szCs w:val="21"/>
              </w:rPr>
              <w:t>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与</w:t>
            </w:r>
            <w:r>
              <w:rPr>
                <w:rFonts w:hint="default" w:ascii="Times New Roman" w:hAnsi="Times New Roman" w:eastAsia="黑体" w:cs="Times New Roman"/>
                <w:color w:val="auto"/>
                <w:kern w:val="0"/>
                <w:sz w:val="20"/>
                <w:szCs w:val="20"/>
                <w:lang w:val="en-US" w:eastAsia="zh-CN"/>
              </w:rPr>
              <w:t>《四川省嘉陵江流域生态环境保护条例》</w:t>
            </w:r>
            <w:r>
              <w:rPr>
                <w:rFonts w:hint="default" w:ascii="Times New Roman" w:hAnsi="Times New Roman" w:eastAsia="黑体" w:cs="Times New Roman"/>
                <w:color w:val="auto"/>
                <w:kern w:val="0"/>
                <w:sz w:val="20"/>
                <w:szCs w:val="20"/>
                <w:lang w:val="zh-CN" w:eastAsia="zh-CN"/>
              </w:rPr>
              <w:t>的符合性分析</w:t>
            </w:r>
          </w:p>
          <w:tbl>
            <w:tblPr>
              <w:tblStyle w:val="17"/>
              <w:tblW w:w="7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58"/>
              <w:gridCol w:w="3845"/>
              <w:gridCol w:w="2653"/>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558"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bCs/>
                      <w:color w:val="auto"/>
                      <w:spacing w:val="1"/>
                      <w:sz w:val="18"/>
                      <w:szCs w:val="18"/>
                      <w:highlight w:val="none"/>
                    </w:rPr>
                    <w:t>序号</w:t>
                  </w:r>
                </w:p>
              </w:tc>
              <w:tc>
                <w:tcPr>
                  <w:tcW w:w="3845"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bCs/>
                      <w:color w:val="auto"/>
                      <w:spacing w:val="1"/>
                      <w:sz w:val="18"/>
                      <w:szCs w:val="18"/>
                      <w:highlight w:val="none"/>
                    </w:rPr>
                    <w:t>法律条款</w:t>
                  </w:r>
                </w:p>
              </w:tc>
              <w:tc>
                <w:tcPr>
                  <w:tcW w:w="265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b/>
                      <w:bCs/>
                      <w:color w:val="auto"/>
                      <w:spacing w:val="1"/>
                      <w:sz w:val="18"/>
                      <w:szCs w:val="18"/>
                      <w:highlight w:val="none"/>
                      <w:lang w:eastAsia="en-US"/>
                    </w:rPr>
                    <w:t>本项目</w:t>
                  </w:r>
                </w:p>
              </w:tc>
              <w:tc>
                <w:tcPr>
                  <w:tcW w:w="64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b/>
                      <w:bCs/>
                      <w:color w:val="auto"/>
                      <w:spacing w:val="1"/>
                      <w:sz w:val="18"/>
                      <w:szCs w:val="18"/>
                      <w:highlight w:val="none"/>
                      <w:lang w:eastAsia="en-US"/>
                    </w:rPr>
                    <w:t>符</w:t>
                  </w:r>
                  <w:r>
                    <w:rPr>
                      <w:rFonts w:hint="default" w:ascii="Times New Roman" w:hAnsi="Times New Roman" w:cs="Times New Roman"/>
                      <w:b/>
                      <w:bCs/>
                      <w:color w:val="auto"/>
                      <w:sz w:val="18"/>
                      <w:szCs w:val="18"/>
                      <w:highlight w:val="none"/>
                      <w:lang w:eastAsia="en-US"/>
                    </w:rPr>
                    <w:t>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558"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rPr>
                  </w:pPr>
                  <w:r>
                    <w:rPr>
                      <w:rFonts w:hint="default" w:ascii="Times New Roman" w:hAnsi="Times New Roman" w:eastAsia="宋体" w:cs="Times New Roman"/>
                      <w:color w:val="auto"/>
                      <w:sz w:val="18"/>
                      <w:szCs w:val="18"/>
                      <w:highlight w:val="none"/>
                      <w:lang w:eastAsia="zh-CN"/>
                    </w:rPr>
                    <w:t>强化危险废物全过程闭环管理</w:t>
                  </w:r>
                </w:p>
              </w:tc>
              <w:tc>
                <w:tcPr>
                  <w:tcW w:w="3845"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sz w:val="18"/>
                      <w:szCs w:val="18"/>
                      <w:highlight w:val="none"/>
                      <w:lang w:eastAsia="zh-CN"/>
                    </w:rPr>
                    <w:t>重点强化工业源危险废物管理。聚焦重点地区和重点行业企业，着力提升工业源危险废物监管能力、利用处置能力和环境风险防范能力。结合“绿色工厂”建设，支持工业危险废物减量化工艺改造，从源头上减少危险废物产生量、降低危害性。鼓励工业危险废物产生量大的企业在内部开展循环利用。力争到2025年，基本建立起“源头严防、过程严管、后果严惩、闭环管理”的工业源危险废物环境监管体系，从项目建设、危险废物产生、收集、贮存、运输、利用、处置全过程各环节严防严控环境风险。</w:t>
                  </w:r>
                </w:p>
              </w:tc>
              <w:tc>
                <w:tcPr>
                  <w:tcW w:w="2653"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eastAsia="宋体" w:cs="Times New Roman"/>
                      <w:color w:val="auto"/>
                      <w:spacing w:val="-1"/>
                      <w:sz w:val="18"/>
                      <w:szCs w:val="18"/>
                      <w:highlight w:val="none"/>
                      <w:lang w:val="en-US" w:eastAsia="zh-CN"/>
                    </w:rPr>
                  </w:pPr>
                  <w:r>
                    <w:rPr>
                      <w:rFonts w:hint="eastAsia" w:cs="Times New Roman"/>
                      <w:color w:val="auto"/>
                      <w:sz w:val="18"/>
                      <w:szCs w:val="18"/>
                      <w:highlight w:val="none"/>
                      <w:lang w:val="en-US" w:eastAsia="zh-CN"/>
                    </w:rPr>
                    <w:t>本项目</w:t>
                  </w:r>
                  <w:r>
                    <w:rPr>
                      <w:rFonts w:hint="default" w:ascii="Times New Roman" w:hAnsi="Times New Roman" w:cs="Times New Roman"/>
                      <w:color w:val="auto"/>
                      <w:sz w:val="18"/>
                      <w:szCs w:val="18"/>
                      <w:highlight w:val="none"/>
                      <w:lang w:val="en-US" w:eastAsia="zh-CN"/>
                    </w:rPr>
                    <w:t>为废矿物油回收储存项目，</w:t>
                  </w:r>
                  <w:r>
                    <w:rPr>
                      <w:rFonts w:hint="eastAsia" w:cs="Times New Roman"/>
                      <w:color w:val="auto"/>
                      <w:sz w:val="18"/>
                      <w:szCs w:val="18"/>
                      <w:highlight w:val="none"/>
                      <w:lang w:val="en-US" w:eastAsia="zh-CN"/>
                    </w:rPr>
                    <w:t>将采取措施，从收集、贮存、运输等全过程严防严控环境风险。</w:t>
                  </w:r>
                </w:p>
              </w:tc>
              <w:tc>
                <w:tcPr>
                  <w:tcW w:w="64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lang w:eastAsia="en-US"/>
                    </w:rPr>
                  </w:pPr>
                  <w:r>
                    <w:rPr>
                      <w:rFonts w:hint="default" w:ascii="Times New Roman" w:hAnsi="Times New Roman" w:cs="Times New Roman"/>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0" w:hRule="atLeast"/>
                <w:jc w:val="center"/>
              </w:trPr>
              <w:tc>
                <w:tcPr>
                  <w:tcW w:w="558"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3845"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sz w:val="18"/>
                      <w:szCs w:val="18"/>
                      <w:highlight w:val="none"/>
                      <w:lang w:eastAsia="zh-CN"/>
                    </w:rPr>
                    <w:t>全面加强社会源危险废物管理。加强危险废物申报登记，规范危险废物分类收集、内部交接、运送、暂时贮存、交接等过程管理。危险废物产生单位按照《危险废物贮存污染控制标准》规范建设危险废物储存设施，强化运输环节信息跟踪和末端处置情况掌控。开展社会源和中小企业危险废物集中收集试点，落实生产者责任延伸制度。从生活垃圾中分类并集中收集的有害垃圾，属于危险废物的，应严格按照危险废物管理，送有资质单位规范处置。</w:t>
                  </w:r>
                </w:p>
              </w:tc>
              <w:tc>
                <w:tcPr>
                  <w:tcW w:w="2653"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cs="Times New Roman"/>
                      <w:color w:val="auto"/>
                      <w:spacing w:val="-1"/>
                      <w:sz w:val="18"/>
                      <w:szCs w:val="18"/>
                      <w:highlight w:val="none"/>
                    </w:rPr>
                  </w:pPr>
                  <w:r>
                    <w:rPr>
                      <w:rFonts w:hint="eastAsia" w:cs="Times New Roman"/>
                      <w:color w:val="auto"/>
                      <w:sz w:val="18"/>
                      <w:szCs w:val="18"/>
                      <w:highlight w:val="none"/>
                      <w:lang w:val="en-US" w:eastAsia="zh-CN"/>
                    </w:rPr>
                    <w:t>本项目为迁建项目，已取得危险废物经营许可证，集中收集周围企业的废矿物油。运行过程将严格按照要求，规范危险废物收集、运送、贮存、交接等过程管理</w:t>
                  </w:r>
                  <w:r>
                    <w:rPr>
                      <w:rFonts w:hint="default" w:ascii="Times New Roman" w:hAnsi="Times New Roman" w:eastAsia="宋体" w:cs="Times New Roman"/>
                      <w:color w:val="auto"/>
                      <w:sz w:val="18"/>
                      <w:szCs w:val="18"/>
                      <w:highlight w:val="none"/>
                    </w:rPr>
                    <w:t>。</w:t>
                  </w:r>
                  <w:r>
                    <w:rPr>
                      <w:rFonts w:hint="eastAsia" w:cs="Times New Roman"/>
                      <w:color w:val="auto"/>
                      <w:sz w:val="18"/>
                      <w:szCs w:val="18"/>
                      <w:highlight w:val="none"/>
                      <w:lang w:val="en-US" w:eastAsia="zh-CN"/>
                    </w:rPr>
                    <w:t>储存设施严格</w:t>
                  </w:r>
                  <w:r>
                    <w:rPr>
                      <w:rFonts w:hint="default" w:ascii="Times New Roman" w:hAnsi="Times New Roman" w:eastAsia="宋体" w:cs="Times New Roman"/>
                      <w:color w:val="auto"/>
                      <w:sz w:val="18"/>
                      <w:szCs w:val="18"/>
                      <w:highlight w:val="none"/>
                      <w:lang w:eastAsia="zh-CN"/>
                    </w:rPr>
                    <w:t>按照《危险废物贮存污染控制标准》建设</w:t>
                  </w:r>
                  <w:r>
                    <w:rPr>
                      <w:rFonts w:hint="eastAsia" w:cs="Times New Roman"/>
                      <w:color w:val="auto"/>
                      <w:sz w:val="18"/>
                      <w:szCs w:val="18"/>
                      <w:highlight w:val="none"/>
                      <w:lang w:eastAsia="zh-CN"/>
                    </w:rPr>
                    <w:t>。</w:t>
                  </w:r>
                </w:p>
              </w:tc>
              <w:tc>
                <w:tcPr>
                  <w:tcW w:w="64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lang w:eastAsia="en-US"/>
                    </w:rPr>
                  </w:pPr>
                  <w:r>
                    <w:rPr>
                      <w:rFonts w:hint="default" w:ascii="Times New Roman" w:hAnsi="Times New Roman" w:cs="Times New Roman"/>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0" w:hRule="atLeast"/>
                <w:jc w:val="center"/>
              </w:trPr>
              <w:tc>
                <w:tcPr>
                  <w:tcW w:w="55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优化危险废物集中处置设施</w:t>
                  </w:r>
                </w:p>
              </w:tc>
              <w:tc>
                <w:tcPr>
                  <w:tcW w:w="3845"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深入开展污染源普查，结合危险废物申报登记，进一步摸清工业、医疗等重点行业和社会源危险废物产生、贮存、利用和处置情况。科学评估危险废物集中处置设施建设规划，针对短板弱项，进一步优化全省危险废物利用处置能力配置。加强危险废物综合利用项目立项审查，严格综合利用产物产品质量标准控制。</w:t>
                  </w:r>
                </w:p>
              </w:tc>
              <w:tc>
                <w:tcPr>
                  <w:tcW w:w="2653"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本项目为废矿物油集中收集项目，不涉及废矿物油的处置，定期交由下游有资质单位处置。项目已通过宣汉县发改局完成备案。</w:t>
                  </w:r>
                </w:p>
              </w:tc>
              <w:tc>
                <w:tcPr>
                  <w:tcW w:w="64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lang w:eastAsia="en-US"/>
                    </w:rPr>
                  </w:pPr>
                </w:p>
              </w:tc>
            </w:tr>
          </w:tbl>
          <w:p>
            <w:pPr>
              <w:numPr>
                <w:ilvl w:val="0"/>
                <w:numId w:val="3"/>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en-US" w:eastAsia="zh-CN"/>
              </w:rPr>
            </w:pPr>
            <w:r>
              <w:rPr>
                <w:rFonts w:hint="default" w:ascii="Times New Roman" w:hAnsi="Times New Roman" w:eastAsia="黑体" w:cs="Times New Roman"/>
                <w:color w:val="auto"/>
                <w:kern w:val="0"/>
                <w:sz w:val="22"/>
                <w:szCs w:val="22"/>
                <w:lang w:val="en-US" w:eastAsia="zh-CN"/>
              </w:rPr>
              <w:t>项目与国家危险废物政策符合性分析</w:t>
            </w:r>
          </w:p>
          <w:p>
            <w:pPr>
              <w:autoSpaceDE w:val="0"/>
              <w:autoSpaceDN w:val="0"/>
              <w:adjustRightInd w:val="0"/>
              <w:snapToGrid w:val="0"/>
              <w:spacing w:line="400" w:lineRule="exact"/>
              <w:ind w:left="-31" w:leftChars="-15" w:right="-31" w:rightChars="-15" w:firstLine="422" w:firstLineChars="200"/>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（1）与《危险废物贮存污染控制标准》（GB18597</w:t>
            </w:r>
            <w:r>
              <w:rPr>
                <w:rFonts w:hint="eastAsia" w:cs="Times New Roman"/>
                <w:b/>
                <w:bCs/>
                <w:color w:val="auto"/>
                <w:kern w:val="0"/>
                <w:szCs w:val="21"/>
                <w:lang w:val="en-US" w:eastAsia="zh-CN"/>
              </w:rPr>
              <w:t>-</w:t>
            </w:r>
            <w:r>
              <w:rPr>
                <w:rFonts w:hint="default" w:ascii="Times New Roman" w:hAnsi="Times New Roman" w:cs="Times New Roman"/>
                <w:b/>
                <w:bCs/>
                <w:color w:val="auto"/>
                <w:kern w:val="0"/>
                <w:szCs w:val="21"/>
              </w:rPr>
              <w:t>2023）符合性分析</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与《危险废物贮存污染控制标准》符合性分析</w:t>
            </w:r>
          </w:p>
          <w:tbl>
            <w:tblPr>
              <w:tblStyle w:val="17"/>
              <w:tblW w:w="7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1"/>
              <w:gridCol w:w="4132"/>
              <w:gridCol w:w="2518"/>
              <w:gridCol w:w="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lang w:eastAsia="en-US"/>
                    </w:rPr>
                  </w:pPr>
                  <w:r>
                    <w:rPr>
                      <w:rFonts w:hint="default" w:ascii="Times New Roman" w:hAnsi="Times New Roman" w:cs="Times New Roman"/>
                      <w:b/>
                      <w:bCs/>
                      <w:color w:val="auto"/>
                      <w:sz w:val="18"/>
                      <w:szCs w:val="18"/>
                      <w:lang w:eastAsia="en-US"/>
                    </w:rPr>
                    <w:t>要求类别</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lang w:eastAsia="en-US"/>
                    </w:rPr>
                  </w:pPr>
                  <w:r>
                    <w:rPr>
                      <w:rFonts w:hint="default" w:ascii="Times New Roman" w:hAnsi="Times New Roman" w:cs="Times New Roman"/>
                      <w:b/>
                      <w:bCs/>
                      <w:color w:val="auto"/>
                      <w:spacing w:val="1"/>
                      <w:sz w:val="18"/>
                      <w:szCs w:val="18"/>
                      <w:lang w:eastAsia="en-US"/>
                    </w:rPr>
                    <w:t>规范内容</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lang w:eastAsia="en-US"/>
                    </w:rPr>
                  </w:pPr>
                  <w:r>
                    <w:rPr>
                      <w:rFonts w:hint="default" w:ascii="Times New Roman" w:hAnsi="Times New Roman" w:cs="Times New Roman"/>
                      <w:b/>
                      <w:bCs/>
                      <w:color w:val="auto"/>
                      <w:spacing w:val="1"/>
                      <w:sz w:val="18"/>
                      <w:szCs w:val="18"/>
                      <w:lang w:eastAsia="en-US"/>
                    </w:rPr>
                    <w:t>本项目</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lang w:eastAsia="en-US"/>
                    </w:rPr>
                  </w:pPr>
                  <w:r>
                    <w:rPr>
                      <w:rFonts w:hint="default" w:ascii="Times New Roman" w:hAnsi="Times New Roman" w:cs="Times New Roman"/>
                      <w:b/>
                      <w:bCs/>
                      <w:color w:val="auto"/>
                      <w:spacing w:val="1"/>
                      <w:sz w:val="18"/>
                      <w:szCs w:val="18"/>
                      <w:lang w:eastAsia="en-US"/>
                    </w:rPr>
                    <w:t>符</w:t>
                  </w:r>
                  <w:r>
                    <w:rPr>
                      <w:rFonts w:hint="default" w:ascii="Times New Roman" w:hAnsi="Times New Roman" w:cs="Times New Roman"/>
                      <w:b/>
                      <w:bCs/>
                      <w:color w:val="auto"/>
                      <w:sz w:val="18"/>
                      <w:szCs w:val="18"/>
                      <w:lang w:eastAsia="en-US"/>
                    </w:rPr>
                    <w:t>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0" w:hRule="atLeast"/>
                <w:jc w:val="center"/>
              </w:trPr>
              <w:tc>
                <w:tcPr>
                  <w:tcW w:w="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lang w:eastAsia="en-US"/>
                    </w:rPr>
                  </w:pPr>
                  <w:r>
                    <w:rPr>
                      <w:rFonts w:hint="default" w:ascii="Times New Roman" w:hAnsi="Times New Roman" w:cs="Times New Roman"/>
                      <w:b/>
                      <w:bCs/>
                      <w:color w:val="auto"/>
                      <w:sz w:val="18"/>
                      <w:szCs w:val="18"/>
                      <w:lang w:eastAsia="en-US"/>
                    </w:rPr>
                    <w:t>总体要求</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4.1 产生、收集、贮存、利用、处置危险废物的单位应建造危险废物贮存设施或设置贮存场所，并根据需要选择贮存设施类型。</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4.2 贮存危险废物应根据危险废物的类别、数量、形态、物理化学性质和环境风险等因素，确定贮存设施或场所类型和规模。</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4.3 贮存危险废物应根据危险废物的类别、形态、物理化学性质和污染防治要求进行分类贮存，且应避免危险废物与不相容的物质或材料接触。</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4.4 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4.5 危险废物贮存过程产生的液态废物和固态废物应分类收集，按其环境管理要求妥善处理。</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4.6 贮存设施或场所、容器和包装物应按HJ 1276要求设置危险废物贮存设施或场所标志、危险废物贮存分区标志和危险废物标签等危险废物识别标志。</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4.7 HJ 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4.8 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4.9 在常温常压下易爆、易燃及排出有毒气体的危险废物应进行预处理，使之稳定后贮存，否则应按易爆、易燃危险品贮存。</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cs="Times New Roman"/>
                      <w:color w:val="auto"/>
                      <w:spacing w:val="-1"/>
                      <w:sz w:val="18"/>
                      <w:szCs w:val="18"/>
                    </w:rPr>
                    <w:t>4.10 危险废物贮存除应满足环境保护相关要求外，还应执行国家安全生产、职业健康、交通运输、消防等法律法规和标准的相关要求。</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本项目为废矿物油收集储存项目，属于“HW08废矿物油与含矿物油废物”，项目拟设置1个卧式双层储罐储存，地面按重点防渗要求建设；贮存间和储存罐均按HJ 1276要求设置标志；产生的含油手套等单独收集做危废处置；储存间内外均安装视频监控；收集储存中严格按照相关要求做好储存、转移等台账；危险废物贮存满足环境保护、安全生产、职业健康、交通运输、消防等法律法规和标准的相关要求。</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lang w:eastAsia="en-US"/>
                    </w:rPr>
                  </w:pPr>
                  <w:r>
                    <w:rPr>
                      <w:rFonts w:hint="default" w:ascii="Times New Roman" w:hAnsi="Times New Roman" w:cs="Times New Roman"/>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5" w:hRule="atLeast"/>
                <w:jc w:val="center"/>
              </w:trPr>
              <w:tc>
                <w:tcPr>
                  <w:tcW w:w="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lang w:eastAsia="en-US"/>
                    </w:rPr>
                  </w:pPr>
                  <w:r>
                    <w:rPr>
                      <w:rFonts w:hint="default" w:ascii="Times New Roman" w:hAnsi="Times New Roman" w:cs="Times New Roman"/>
                      <w:b/>
                      <w:bCs/>
                      <w:color w:val="auto"/>
                      <w:sz w:val="18"/>
                      <w:szCs w:val="18"/>
                      <w:lang w:eastAsia="en-US"/>
                    </w:rPr>
                    <w:t>贮存设施选址要求</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5.1 贮存设施选址应满足生态环境保护法律法规、规划和“三线一单”生态环境分区管控的要求，建设项目应依法进行环境影响评价。</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5.2 集中贮存设施不应选在生态保护红线区域、永久基本农田和其他需要特别保护的区域内，不应建在溶洞区或易遭受洪水、滑坡、泥石流、潮汐等严重自然灾害影响的地区。</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5.3 贮存设施不应选在江河、湖泊、运河、渠道、水库及其最高水位线以下的滩地和岸坡，以及法律法规规定禁止贮存危险废物的其他地点。</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ascii="Times New Roman" w:hAnsi="Times New Roman" w:eastAsia="宋体" w:cs="Times New Roman"/>
                      <w:color w:val="auto"/>
                      <w:spacing w:val="-1"/>
                      <w:sz w:val="18"/>
                      <w:szCs w:val="18"/>
                      <w:lang w:eastAsia="zh-CN"/>
                    </w:rPr>
                  </w:pPr>
                  <w:r>
                    <w:rPr>
                      <w:rFonts w:hint="default" w:ascii="Times New Roman" w:hAnsi="Times New Roman" w:cs="Times New Roman"/>
                      <w:color w:val="auto"/>
                      <w:spacing w:val="-1"/>
                      <w:sz w:val="18"/>
                      <w:szCs w:val="18"/>
                    </w:rPr>
                    <w:t>5.4 贮存设施场址的位置以及其与周围环境敏感目标的距离应依据环境影响评价文件确定</w:t>
                  </w:r>
                  <w:r>
                    <w:rPr>
                      <w:rFonts w:hint="eastAsia" w:cs="Times New Roman"/>
                      <w:color w:val="auto"/>
                      <w:spacing w:val="-1"/>
                      <w:sz w:val="18"/>
                      <w:szCs w:val="18"/>
                      <w:lang w:eastAsia="zh-CN"/>
                    </w:rPr>
                    <w:t>。</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spacing w:val="-1"/>
                      <w:sz w:val="18"/>
                      <w:szCs w:val="18"/>
                    </w:rPr>
                    <w:t>本项目选址</w:t>
                  </w:r>
                  <w:r>
                    <w:rPr>
                      <w:rFonts w:hint="eastAsia" w:ascii="Times New Roman" w:hAnsi="Times New Roman" w:cs="Times New Roman"/>
                      <w:color w:val="auto"/>
                      <w:spacing w:val="-1"/>
                      <w:sz w:val="18"/>
                      <w:szCs w:val="18"/>
                      <w:lang w:val="en-US" w:eastAsia="zh-CN"/>
                    </w:rPr>
                    <w:t>于宣汉县普光经济开发区柳池工业园</w:t>
                  </w:r>
                  <w:r>
                    <w:rPr>
                      <w:rFonts w:hint="eastAsia" w:cs="Times New Roman"/>
                      <w:color w:val="auto"/>
                      <w:spacing w:val="-1"/>
                      <w:sz w:val="18"/>
                      <w:szCs w:val="18"/>
                      <w:lang w:val="en-US" w:eastAsia="zh-CN"/>
                    </w:rPr>
                    <w:t>四川君璜建材有限公司</w:t>
                  </w:r>
                  <w:r>
                    <w:rPr>
                      <w:rFonts w:hint="eastAsia" w:ascii="Times New Roman" w:hAnsi="Times New Roman" w:cs="Times New Roman"/>
                      <w:color w:val="auto"/>
                      <w:spacing w:val="-1"/>
                      <w:sz w:val="18"/>
                      <w:szCs w:val="18"/>
                      <w:lang w:val="en-US" w:eastAsia="zh-CN"/>
                    </w:rPr>
                    <w:t>内，</w:t>
                  </w:r>
                  <w:r>
                    <w:rPr>
                      <w:rFonts w:hint="default" w:ascii="Times New Roman" w:hAnsi="Times New Roman" w:cs="Times New Roman"/>
                      <w:color w:val="auto"/>
                      <w:spacing w:val="-1"/>
                      <w:sz w:val="18"/>
                      <w:szCs w:val="18"/>
                    </w:rPr>
                    <w:t>满足生态环境保护法律法规、</w:t>
                  </w:r>
                  <w:r>
                    <w:rPr>
                      <w:rFonts w:hint="eastAsia" w:ascii="Times New Roman" w:hAnsi="Times New Roman" w:cs="Times New Roman"/>
                      <w:color w:val="auto"/>
                      <w:spacing w:val="-1"/>
                      <w:sz w:val="18"/>
                      <w:szCs w:val="18"/>
                      <w:lang w:val="en-US" w:eastAsia="zh-CN"/>
                    </w:rPr>
                    <w:t>园区</w:t>
                  </w:r>
                  <w:r>
                    <w:rPr>
                      <w:rFonts w:hint="default" w:ascii="Times New Roman" w:hAnsi="Times New Roman" w:cs="Times New Roman"/>
                      <w:color w:val="auto"/>
                      <w:spacing w:val="-1"/>
                      <w:sz w:val="18"/>
                      <w:szCs w:val="18"/>
                    </w:rPr>
                    <w:t>规划和“三线一单”生态环境分区管控的要求</w:t>
                  </w:r>
                  <w:r>
                    <w:rPr>
                      <w:rFonts w:hint="eastAsia" w:ascii="Times New Roman" w:hAnsi="Times New Roman" w:cs="Times New Roman"/>
                      <w:color w:val="auto"/>
                      <w:spacing w:val="-1"/>
                      <w:sz w:val="18"/>
                      <w:szCs w:val="18"/>
                      <w:lang w:eastAsia="zh-CN"/>
                    </w:rPr>
                    <w:t>；</w:t>
                  </w:r>
                  <w:r>
                    <w:rPr>
                      <w:rFonts w:hint="eastAsia" w:ascii="Times New Roman" w:hAnsi="Times New Roman" w:cs="Times New Roman"/>
                      <w:color w:val="auto"/>
                      <w:spacing w:val="-1"/>
                      <w:sz w:val="18"/>
                      <w:szCs w:val="18"/>
                      <w:lang w:val="en-US" w:eastAsia="zh-CN"/>
                    </w:rPr>
                    <w:t>选址不涉及生态保护红线区域、永久基本农田和其他需要特别保护的区域；</w:t>
                  </w:r>
                  <w:r>
                    <w:rPr>
                      <w:rFonts w:hint="default" w:ascii="Times New Roman" w:hAnsi="Times New Roman" w:cs="Times New Roman"/>
                      <w:color w:val="auto"/>
                      <w:spacing w:val="-1"/>
                      <w:sz w:val="18"/>
                      <w:szCs w:val="18"/>
                    </w:rPr>
                    <w:t>不涉及溶洞区或易遭受洪水、滑坡、泥石流、潮汐等严重自然灾害影响的地区</w:t>
                  </w:r>
                  <w:r>
                    <w:rPr>
                      <w:rFonts w:hint="eastAsia" w:ascii="Times New Roman" w:hAnsi="Times New Roman" w:cs="Times New Roman"/>
                      <w:color w:val="auto"/>
                      <w:spacing w:val="-1"/>
                      <w:sz w:val="18"/>
                      <w:szCs w:val="18"/>
                      <w:lang w:eastAsia="zh-CN"/>
                    </w:rPr>
                    <w:t>；不在江河、湖泊、运河、渠道、水库及其最高水位线以下的滩地和岸坡，以及法律法规规定禁止贮存危险废物的其他地点，</w:t>
                  </w:r>
                  <w:r>
                    <w:rPr>
                      <w:rFonts w:hint="eastAsia" w:ascii="Times New Roman" w:hAnsi="Times New Roman" w:cs="Times New Roman"/>
                      <w:color w:val="auto"/>
                      <w:spacing w:val="-1"/>
                      <w:sz w:val="18"/>
                      <w:szCs w:val="18"/>
                      <w:lang w:val="en-US" w:eastAsia="zh-CN"/>
                    </w:rPr>
                    <w:t>周围均为生产企业，环境敏感目标主要</w:t>
                  </w:r>
                  <w:r>
                    <w:rPr>
                      <w:rFonts w:hint="eastAsia" w:cs="Times New Roman"/>
                      <w:color w:val="auto"/>
                      <w:spacing w:val="-1"/>
                      <w:sz w:val="18"/>
                      <w:szCs w:val="18"/>
                      <w:lang w:val="en-US" w:eastAsia="zh-CN"/>
                    </w:rPr>
                    <w:t>为</w:t>
                  </w:r>
                  <w:r>
                    <w:rPr>
                      <w:rFonts w:hint="eastAsia" w:ascii="Times New Roman" w:hAnsi="Times New Roman" w:cs="Times New Roman"/>
                      <w:color w:val="auto"/>
                      <w:spacing w:val="-1"/>
                      <w:sz w:val="18"/>
                      <w:szCs w:val="18"/>
                      <w:lang w:val="en-US" w:eastAsia="zh-CN"/>
                    </w:rPr>
                    <w:t>办公设施</w:t>
                  </w:r>
                  <w:r>
                    <w:rPr>
                      <w:rFonts w:hint="eastAsia" w:cs="Times New Roman"/>
                      <w:color w:val="auto"/>
                      <w:spacing w:val="-1"/>
                      <w:sz w:val="18"/>
                      <w:szCs w:val="18"/>
                      <w:lang w:val="en-US" w:eastAsia="zh-CN"/>
                    </w:rPr>
                    <w:t>。</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lang w:eastAsia="en-US"/>
                    </w:rPr>
                  </w:pPr>
                  <w:r>
                    <w:rPr>
                      <w:rFonts w:hint="default" w:ascii="Times New Roman" w:hAnsi="Times New Roman" w:cs="Times New Roman"/>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4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贮存设施污染控制要求</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6.1 一般规定</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6.1.1 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6.1.2 贮存设施应根据危险废物的类别、数量、形态、物理化学性质和污染防治等要求设置必要的贮存分区，避免不相容的危险废物接触、混合。</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6.1.3 贮存设施或贮存分区内地面、墙面裙脚、堵截泄漏的围堰、接触危险废物的隔板和墙体等应采用坚固的材料建造，表面无裂缝。</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6.1.4 贮存设施地面与裙脚应采取表面防渗措施；表面防渗材料应与所接触的物料或污染物相容，可</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auto"/>
                      <w:spacing w:val="-1"/>
                      <w:sz w:val="18"/>
                      <w:szCs w:val="18"/>
                      <w:vertAlign w:val="superscript"/>
                    </w:rPr>
                    <w:t>-7</w:t>
                  </w:r>
                  <w:r>
                    <w:rPr>
                      <w:rFonts w:hint="default" w:ascii="Times New Roman" w:hAnsi="Times New Roman" w:cs="Times New Roman"/>
                      <w:color w:val="auto"/>
                      <w:spacing w:val="-1"/>
                      <w:sz w:val="18"/>
                      <w:szCs w:val="18"/>
                    </w:rPr>
                    <w:t>cm/s），或至少2mm厚高密度聚乙烯膜等人工防渗材料（渗透系数不大于10</w:t>
                  </w:r>
                  <w:r>
                    <w:rPr>
                      <w:rFonts w:hint="default" w:ascii="Times New Roman" w:hAnsi="Times New Roman" w:cs="Times New Roman"/>
                      <w:color w:val="auto"/>
                      <w:spacing w:val="-1"/>
                      <w:sz w:val="18"/>
                      <w:szCs w:val="18"/>
                      <w:vertAlign w:val="superscript"/>
                    </w:rPr>
                    <w:t>-10</w:t>
                  </w:r>
                  <w:r>
                    <w:rPr>
                      <w:rFonts w:hint="default" w:ascii="Times New Roman" w:hAnsi="Times New Roman" w:cs="Times New Roman"/>
                      <w:color w:val="auto"/>
                      <w:spacing w:val="-1"/>
                      <w:sz w:val="18"/>
                      <w:szCs w:val="18"/>
                    </w:rPr>
                    <w:t>cm/s），或其他防渗性能等效的材料。</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6.1.5 同一贮存设施宜采用相同的防渗、防腐工艺（包括防渗、防腐结构或材料），防渗、防腐材料</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应覆盖所有可能与废物及其渗滤液、渗漏液等接触的构筑物表面；采用不同防渗、防腐工艺应分别建设贮存分区。</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6.1.6 贮存设施应采取技术和管理措施防止无关人员进入。</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highlight w:val="none"/>
                    </w:rPr>
                    <w:t>本项目仅贮存</w:t>
                  </w:r>
                  <w:r>
                    <w:rPr>
                      <w:rFonts w:hint="default" w:ascii="Times New Roman" w:hAnsi="Times New Roman" w:cs="Times New Roman"/>
                      <w:color w:val="auto"/>
                      <w:spacing w:val="-1"/>
                      <w:sz w:val="18"/>
                      <w:szCs w:val="18"/>
                      <w:highlight w:val="none"/>
                      <w:lang w:eastAsia="zh-CN"/>
                    </w:rPr>
                    <w:t>废矿物油</w:t>
                  </w:r>
                  <w:r>
                    <w:rPr>
                      <w:rFonts w:hint="default" w:ascii="Times New Roman" w:hAnsi="Times New Roman" w:cs="Times New Roman"/>
                      <w:color w:val="auto"/>
                      <w:spacing w:val="-1"/>
                      <w:sz w:val="18"/>
                      <w:szCs w:val="18"/>
                      <w:highlight w:val="none"/>
                    </w:rPr>
                    <w:t>，不涉及</w:t>
                  </w:r>
                  <w:r>
                    <w:rPr>
                      <w:rFonts w:hint="default" w:ascii="Times New Roman" w:hAnsi="Times New Roman" w:cs="Times New Roman"/>
                      <w:color w:val="auto"/>
                      <w:spacing w:val="-1"/>
                      <w:sz w:val="18"/>
                      <w:szCs w:val="18"/>
                      <w:highlight w:val="none"/>
                      <w:lang w:val="en-US" w:eastAsia="zh-CN"/>
                    </w:rPr>
                    <w:t>其他</w:t>
                  </w:r>
                  <w:r>
                    <w:rPr>
                      <w:rFonts w:hint="default" w:ascii="Times New Roman" w:hAnsi="Times New Roman" w:cs="Times New Roman"/>
                      <w:color w:val="auto"/>
                      <w:spacing w:val="-1"/>
                      <w:sz w:val="18"/>
                      <w:szCs w:val="18"/>
                      <w:highlight w:val="none"/>
                    </w:rPr>
                    <w:t>不相容的危险废物</w:t>
                  </w:r>
                  <w:r>
                    <w:rPr>
                      <w:rFonts w:hint="eastAsia" w:ascii="Times New Roman" w:hAnsi="Times New Roman" w:cs="Times New Roman"/>
                      <w:color w:val="auto"/>
                      <w:spacing w:val="-1"/>
                      <w:sz w:val="18"/>
                      <w:szCs w:val="18"/>
                      <w:highlight w:val="none"/>
                      <w:lang w:eastAsia="zh-CN"/>
                    </w:rPr>
                    <w:t>；</w:t>
                  </w:r>
                  <w:r>
                    <w:rPr>
                      <w:rFonts w:hint="eastAsia" w:ascii="Times New Roman" w:hAnsi="Times New Roman" w:cs="Times New Roman"/>
                      <w:color w:val="auto"/>
                      <w:spacing w:val="-1"/>
                      <w:sz w:val="18"/>
                      <w:szCs w:val="18"/>
                      <w:lang w:val="en-US" w:eastAsia="zh-CN"/>
                    </w:rPr>
                    <w:t>拟采用卧式双层储罐储存，储罐安装在封闭的储存间内；储存间</w:t>
                  </w:r>
                  <w:r>
                    <w:rPr>
                      <w:rFonts w:hint="default" w:ascii="Times New Roman" w:hAnsi="Times New Roman" w:cs="Times New Roman"/>
                      <w:color w:val="auto"/>
                      <w:spacing w:val="-1"/>
                      <w:sz w:val="18"/>
                      <w:szCs w:val="18"/>
                    </w:rPr>
                    <w:t>场区地面采用“</w:t>
                  </w:r>
                  <w:r>
                    <w:rPr>
                      <w:rFonts w:hint="default" w:ascii="Times New Roman" w:hAnsi="Times New Roman" w:cs="Times New Roman"/>
                      <w:color w:val="auto"/>
                      <w:spacing w:val="-1"/>
                      <w:sz w:val="18"/>
                      <w:szCs w:val="18"/>
                      <w:lang w:val="en-US" w:eastAsia="zh-CN"/>
                    </w:rPr>
                    <w:t>20cm混凝土硬化+5mm</w:t>
                  </w:r>
                  <w:r>
                    <w:rPr>
                      <w:rFonts w:hint="eastAsia" w:ascii="Times New Roman" w:hAnsi="Times New Roman" w:cs="Times New Roman"/>
                      <w:color w:val="auto"/>
                      <w:spacing w:val="-1"/>
                      <w:sz w:val="18"/>
                      <w:szCs w:val="18"/>
                      <w:lang w:val="en-US" w:eastAsia="zh-CN"/>
                    </w:rPr>
                    <w:t>防渗</w:t>
                  </w:r>
                  <w:r>
                    <w:rPr>
                      <w:rFonts w:hint="default" w:ascii="Times New Roman" w:hAnsi="Times New Roman" w:cs="Times New Roman"/>
                      <w:color w:val="auto"/>
                      <w:spacing w:val="-1"/>
                      <w:sz w:val="18"/>
                      <w:szCs w:val="18"/>
                      <w:lang w:val="en-US" w:eastAsia="zh-CN"/>
                    </w:rPr>
                    <w:t>砂浆+2mm高密度聚乙烯地坪漆</w:t>
                  </w:r>
                  <w:r>
                    <w:rPr>
                      <w:rFonts w:hint="default" w:ascii="Times New Roman" w:hAnsi="Times New Roman" w:cs="Times New Roman"/>
                      <w:color w:val="auto"/>
                      <w:spacing w:val="-1"/>
                      <w:sz w:val="18"/>
                      <w:szCs w:val="18"/>
                    </w:rPr>
                    <w:t>”防渗，防渗结构层渗透系数小于1.0×10</w:t>
                  </w:r>
                  <w:r>
                    <w:rPr>
                      <w:rFonts w:hint="default" w:ascii="Times New Roman" w:hAnsi="Times New Roman" w:cs="Times New Roman"/>
                      <w:color w:val="auto"/>
                      <w:spacing w:val="-1"/>
                      <w:sz w:val="18"/>
                      <w:szCs w:val="18"/>
                      <w:vertAlign w:val="superscript"/>
                    </w:rPr>
                    <w:t>-10</w:t>
                  </w:r>
                  <w:r>
                    <w:rPr>
                      <w:rFonts w:hint="default" w:ascii="Times New Roman" w:hAnsi="Times New Roman" w:cs="Times New Roman"/>
                      <w:color w:val="auto"/>
                      <w:spacing w:val="-1"/>
                      <w:sz w:val="18"/>
                      <w:szCs w:val="18"/>
                    </w:rPr>
                    <w:t>cm/s</w:t>
                  </w:r>
                  <w:r>
                    <w:rPr>
                      <w:rFonts w:hint="eastAsia" w:ascii="Times New Roman" w:hAnsi="Times New Roman" w:cs="Times New Roman"/>
                      <w:color w:val="auto"/>
                      <w:spacing w:val="-1"/>
                      <w:sz w:val="18"/>
                      <w:szCs w:val="18"/>
                      <w:lang w:eastAsia="zh-CN"/>
                    </w:rPr>
                    <w:t>；</w:t>
                  </w:r>
                  <w:r>
                    <w:rPr>
                      <w:rFonts w:hint="eastAsia" w:ascii="Times New Roman" w:hAnsi="Times New Roman" w:cs="Times New Roman"/>
                      <w:color w:val="auto"/>
                      <w:spacing w:val="-1"/>
                      <w:sz w:val="18"/>
                      <w:szCs w:val="18"/>
                      <w:lang w:val="en-US" w:eastAsia="zh-CN"/>
                    </w:rPr>
                    <w:t>裙角</w:t>
                  </w:r>
                  <w:r>
                    <w:rPr>
                      <w:rFonts w:hint="default" w:ascii="Times New Roman" w:hAnsi="Times New Roman" w:cs="Times New Roman"/>
                      <w:color w:val="auto"/>
                      <w:spacing w:val="-1"/>
                      <w:sz w:val="18"/>
                      <w:szCs w:val="18"/>
                    </w:rPr>
                    <w:t>采用“</w:t>
                  </w:r>
                  <w:r>
                    <w:rPr>
                      <w:rFonts w:hint="default" w:ascii="Times New Roman" w:hAnsi="Times New Roman" w:cs="Times New Roman"/>
                      <w:color w:val="auto"/>
                      <w:spacing w:val="-1"/>
                      <w:sz w:val="18"/>
                      <w:szCs w:val="18"/>
                      <w:lang w:val="en-US" w:eastAsia="zh-CN"/>
                    </w:rPr>
                    <w:t>5mm</w:t>
                  </w:r>
                  <w:r>
                    <w:rPr>
                      <w:rFonts w:hint="eastAsia" w:ascii="Times New Roman" w:hAnsi="Times New Roman" w:cs="Times New Roman"/>
                      <w:color w:val="auto"/>
                      <w:spacing w:val="-1"/>
                      <w:sz w:val="18"/>
                      <w:szCs w:val="18"/>
                      <w:lang w:val="en-US" w:eastAsia="zh-CN"/>
                    </w:rPr>
                    <w:t>防渗</w:t>
                  </w:r>
                  <w:r>
                    <w:rPr>
                      <w:rFonts w:hint="default" w:ascii="Times New Roman" w:hAnsi="Times New Roman" w:cs="Times New Roman"/>
                      <w:color w:val="auto"/>
                      <w:spacing w:val="-1"/>
                      <w:sz w:val="18"/>
                      <w:szCs w:val="18"/>
                      <w:lang w:val="en-US" w:eastAsia="zh-CN"/>
                    </w:rPr>
                    <w:t>砂浆+2mm高密度聚乙烯地坪漆</w:t>
                  </w:r>
                  <w:r>
                    <w:rPr>
                      <w:rFonts w:hint="default" w:ascii="Times New Roman" w:hAnsi="Times New Roman" w:cs="Times New Roman"/>
                      <w:color w:val="auto"/>
                      <w:spacing w:val="-1"/>
                      <w:sz w:val="18"/>
                      <w:szCs w:val="18"/>
                    </w:rPr>
                    <w:t>”防渗，防渗结构层渗透系数小于1.0×10</w:t>
                  </w:r>
                  <w:r>
                    <w:rPr>
                      <w:rFonts w:hint="default" w:ascii="Times New Roman" w:hAnsi="Times New Roman" w:cs="Times New Roman"/>
                      <w:color w:val="auto"/>
                      <w:spacing w:val="-1"/>
                      <w:sz w:val="18"/>
                      <w:szCs w:val="18"/>
                      <w:vertAlign w:val="superscript"/>
                    </w:rPr>
                    <w:t>-10</w:t>
                  </w:r>
                  <w:r>
                    <w:rPr>
                      <w:rFonts w:hint="default" w:ascii="Times New Roman" w:hAnsi="Times New Roman" w:cs="Times New Roman"/>
                      <w:color w:val="auto"/>
                      <w:spacing w:val="-1"/>
                      <w:sz w:val="18"/>
                      <w:szCs w:val="18"/>
                    </w:rPr>
                    <w:t>cm/s</w:t>
                  </w:r>
                  <w:r>
                    <w:rPr>
                      <w:rFonts w:hint="eastAsia" w:ascii="Times New Roman" w:hAnsi="Times New Roman" w:cs="Times New Roman"/>
                      <w:color w:val="auto"/>
                      <w:spacing w:val="-1"/>
                      <w:sz w:val="18"/>
                      <w:szCs w:val="18"/>
                      <w:lang w:eastAsia="zh-CN"/>
                    </w:rPr>
                    <w:t>；</w:t>
                  </w:r>
                  <w:r>
                    <w:rPr>
                      <w:rFonts w:hint="eastAsia" w:ascii="Times New Roman" w:hAnsi="Times New Roman" w:cs="Times New Roman"/>
                      <w:color w:val="auto"/>
                      <w:spacing w:val="-1"/>
                      <w:sz w:val="18"/>
                      <w:szCs w:val="18"/>
                      <w:lang w:val="en-US" w:eastAsia="zh-CN"/>
                    </w:rPr>
                    <w:t>储存间外按要求设置危废暂存间标识、禁止无关人员进入等标识、视频监控设备等</w:t>
                  </w:r>
                  <w:r>
                    <w:rPr>
                      <w:rFonts w:hint="eastAsia" w:cs="Times New Roman"/>
                      <w:color w:val="auto"/>
                      <w:spacing w:val="-1"/>
                      <w:sz w:val="18"/>
                      <w:szCs w:val="18"/>
                      <w:lang w:val="en-US" w:eastAsia="zh-CN"/>
                    </w:rPr>
                    <w:t>，满足防风、防晒、防雨、防漏、防渗、防腐的要求</w:t>
                  </w:r>
                  <w:r>
                    <w:rPr>
                      <w:rFonts w:hint="eastAsia" w:ascii="Times New Roman" w:hAnsi="Times New Roman" w:cs="Times New Roman"/>
                      <w:color w:val="auto"/>
                      <w:spacing w:val="-1"/>
                      <w:sz w:val="18"/>
                      <w:szCs w:val="18"/>
                      <w:lang w:val="en-US" w:eastAsia="zh-CN"/>
                    </w:rPr>
                    <w:t>。</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6"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413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6.5 贮存罐区</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6.5.1 贮存罐区罐体应设置在围堰内，围堰的防渗、防腐性能应满足6.1.4、6.1.5的要求。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6.5.2 贮存罐区围堰容积应至少满足其内部最大贮存罐发生意外泄漏时所需要的危险废物收集容积要求。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6.5.3 贮存罐区围堰内收集的废液、废水和初期雨水应及时处理，不应直接排放。</w:t>
                  </w:r>
                </w:p>
              </w:tc>
              <w:tc>
                <w:tcPr>
                  <w:tcW w:w="251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eastAsia="宋体"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rPr>
                    <w:t>本项目的</w:t>
                  </w:r>
                  <w:r>
                    <w:rPr>
                      <w:rFonts w:hint="default" w:ascii="Times New Roman" w:hAnsi="Times New Roman" w:cs="Times New Roman"/>
                      <w:color w:val="auto"/>
                      <w:spacing w:val="-1"/>
                      <w:sz w:val="18"/>
                      <w:szCs w:val="18"/>
                      <w:highlight w:val="none"/>
                      <w:lang w:eastAsia="zh-CN"/>
                    </w:rPr>
                    <w:t>废矿物油</w:t>
                  </w:r>
                  <w:r>
                    <w:rPr>
                      <w:rFonts w:hint="default" w:ascii="Times New Roman" w:hAnsi="Times New Roman" w:cs="Times New Roman"/>
                      <w:color w:val="auto"/>
                      <w:spacing w:val="-1"/>
                      <w:sz w:val="18"/>
                      <w:szCs w:val="18"/>
                      <w:highlight w:val="none"/>
                    </w:rPr>
                    <w:t>按规范存储，满足6.1.4、6.1.5的要求</w:t>
                  </w:r>
                  <w:r>
                    <w:rPr>
                      <w:rFonts w:hint="eastAsia" w:cs="Times New Roman"/>
                      <w:color w:val="auto"/>
                      <w:spacing w:val="-1"/>
                      <w:sz w:val="18"/>
                      <w:szCs w:val="18"/>
                      <w:highlight w:val="none"/>
                      <w:lang w:eastAsia="zh-CN"/>
                    </w:rPr>
                    <w:t>；</w:t>
                  </w:r>
                  <w:r>
                    <w:rPr>
                      <w:rFonts w:hint="eastAsia" w:cs="Times New Roman"/>
                      <w:color w:val="auto"/>
                      <w:spacing w:val="-1"/>
                      <w:sz w:val="18"/>
                      <w:szCs w:val="18"/>
                      <w:highlight w:val="none"/>
                      <w:lang w:val="en-US" w:eastAsia="zh-CN"/>
                    </w:rPr>
                    <w:t>项目拟</w:t>
                  </w:r>
                  <w:r>
                    <w:rPr>
                      <w:rFonts w:hint="default" w:ascii="Times New Roman" w:hAnsi="Times New Roman" w:cs="Times New Roman"/>
                      <w:color w:val="auto"/>
                      <w:spacing w:val="-1"/>
                      <w:sz w:val="18"/>
                      <w:szCs w:val="18"/>
                      <w:highlight w:val="none"/>
                    </w:rPr>
                    <w:t>在储存罐</w:t>
                  </w:r>
                  <w:r>
                    <w:rPr>
                      <w:rFonts w:hint="default" w:ascii="Times New Roman" w:hAnsi="Times New Roman" w:cs="Times New Roman"/>
                      <w:color w:val="auto"/>
                      <w:spacing w:val="-1"/>
                      <w:sz w:val="18"/>
                      <w:szCs w:val="18"/>
                      <w:highlight w:val="none"/>
                      <w:lang w:val="en-US" w:eastAsia="zh-CN"/>
                    </w:rPr>
                    <w:t>区</w:t>
                  </w:r>
                  <w:r>
                    <w:rPr>
                      <w:rFonts w:hint="default" w:ascii="Times New Roman" w:hAnsi="Times New Roman" w:cs="Times New Roman"/>
                      <w:color w:val="auto"/>
                      <w:spacing w:val="-1"/>
                      <w:sz w:val="18"/>
                      <w:szCs w:val="18"/>
                      <w:highlight w:val="none"/>
                      <w:lang w:eastAsia="zh-CN"/>
                    </w:rPr>
                    <w:t>（</w:t>
                  </w:r>
                  <w:r>
                    <w:rPr>
                      <w:rFonts w:hint="default" w:ascii="Times New Roman" w:hAnsi="Times New Roman" w:cs="Times New Roman"/>
                      <w:color w:val="auto"/>
                      <w:spacing w:val="-1"/>
                      <w:sz w:val="18"/>
                      <w:szCs w:val="18"/>
                      <w:highlight w:val="none"/>
                      <w:lang w:val="en-US" w:eastAsia="zh-CN"/>
                    </w:rPr>
                    <w:t>约</w:t>
                  </w:r>
                  <w:r>
                    <w:rPr>
                      <w:rFonts w:hint="eastAsia" w:cs="Times New Roman"/>
                      <w:color w:val="auto"/>
                      <w:spacing w:val="-1"/>
                      <w:sz w:val="18"/>
                      <w:szCs w:val="18"/>
                      <w:highlight w:val="none"/>
                      <w:lang w:val="en-US" w:eastAsia="zh-CN"/>
                    </w:rPr>
                    <w:t>64</w:t>
                  </w:r>
                  <w:r>
                    <w:rPr>
                      <w:rFonts w:hint="default" w:ascii="Times New Roman" w:hAnsi="Times New Roman" w:cs="Times New Roman"/>
                      <w:color w:val="auto"/>
                      <w:spacing w:val="-1"/>
                      <w:sz w:val="18"/>
                      <w:szCs w:val="18"/>
                      <w:highlight w:val="none"/>
                      <w:lang w:val="en-US" w:eastAsia="zh-CN"/>
                    </w:rPr>
                    <w:t>m</w:t>
                  </w:r>
                  <w:r>
                    <w:rPr>
                      <w:rFonts w:hint="default" w:ascii="Times New Roman" w:hAnsi="Times New Roman" w:cs="Times New Roman"/>
                      <w:color w:val="auto"/>
                      <w:spacing w:val="-1"/>
                      <w:sz w:val="18"/>
                      <w:szCs w:val="18"/>
                      <w:highlight w:val="none"/>
                      <w:vertAlign w:val="superscript"/>
                      <w:lang w:val="en-US" w:eastAsia="zh-CN"/>
                    </w:rPr>
                    <w:t>2</w:t>
                  </w:r>
                  <w:r>
                    <w:rPr>
                      <w:rFonts w:hint="default" w:ascii="Times New Roman" w:hAnsi="Times New Roman" w:cs="Times New Roman"/>
                      <w:color w:val="auto"/>
                      <w:spacing w:val="-1"/>
                      <w:sz w:val="18"/>
                      <w:szCs w:val="18"/>
                      <w:highlight w:val="none"/>
                      <w:lang w:eastAsia="zh-CN"/>
                    </w:rPr>
                    <w:t>）</w:t>
                  </w:r>
                  <w:r>
                    <w:rPr>
                      <w:rFonts w:hint="default" w:ascii="Times New Roman" w:hAnsi="Times New Roman" w:cs="Times New Roman"/>
                      <w:color w:val="auto"/>
                      <w:spacing w:val="-1"/>
                      <w:sz w:val="18"/>
                      <w:szCs w:val="18"/>
                      <w:highlight w:val="none"/>
                    </w:rPr>
                    <w:t>四周设置围堰，围堰高度0.</w:t>
                  </w:r>
                  <w:r>
                    <w:rPr>
                      <w:rFonts w:hint="eastAsia" w:cs="Times New Roman"/>
                      <w:color w:val="auto"/>
                      <w:spacing w:val="-1"/>
                      <w:sz w:val="18"/>
                      <w:szCs w:val="18"/>
                      <w:highlight w:val="none"/>
                      <w:lang w:val="en-US" w:eastAsia="zh-CN"/>
                    </w:rPr>
                    <w:t>8</w:t>
                  </w:r>
                  <w:r>
                    <w:rPr>
                      <w:rFonts w:hint="default" w:ascii="Times New Roman" w:hAnsi="Times New Roman" w:cs="Times New Roman"/>
                      <w:color w:val="auto"/>
                      <w:spacing w:val="-1"/>
                      <w:sz w:val="18"/>
                      <w:szCs w:val="18"/>
                      <w:highlight w:val="none"/>
                    </w:rPr>
                    <w:t>m，有效容积约</w:t>
                  </w:r>
                  <w:r>
                    <w:rPr>
                      <w:rFonts w:hint="eastAsia" w:cs="Times New Roman"/>
                      <w:color w:val="auto"/>
                      <w:spacing w:val="-1"/>
                      <w:sz w:val="18"/>
                      <w:szCs w:val="18"/>
                      <w:highlight w:val="none"/>
                      <w:lang w:val="en-US" w:eastAsia="zh-CN"/>
                    </w:rPr>
                    <w:t>45</w:t>
                  </w:r>
                  <w:r>
                    <w:rPr>
                      <w:rFonts w:hint="default" w:ascii="Times New Roman" w:hAnsi="Times New Roman" w:cs="Times New Roman"/>
                      <w:color w:val="auto"/>
                      <w:spacing w:val="-1"/>
                      <w:sz w:val="18"/>
                      <w:szCs w:val="18"/>
                      <w:highlight w:val="none"/>
                    </w:rPr>
                    <w:t>m</w:t>
                  </w:r>
                  <w:r>
                    <w:rPr>
                      <w:rFonts w:hint="default" w:ascii="Times New Roman" w:hAnsi="Times New Roman" w:cs="Times New Roman"/>
                      <w:color w:val="auto"/>
                      <w:spacing w:val="-1"/>
                      <w:sz w:val="18"/>
                      <w:szCs w:val="18"/>
                      <w:highlight w:val="none"/>
                      <w:vertAlign w:val="superscript"/>
                    </w:rPr>
                    <w:t>3</w:t>
                  </w:r>
                  <w:r>
                    <w:rPr>
                      <w:rFonts w:hint="default" w:ascii="Times New Roman" w:hAnsi="Times New Roman" w:cs="Times New Roman"/>
                      <w:color w:val="auto"/>
                      <w:spacing w:val="-1"/>
                      <w:sz w:val="18"/>
                      <w:szCs w:val="18"/>
                      <w:highlight w:val="none"/>
                      <w:lang w:eastAsia="zh-CN"/>
                    </w:rPr>
                    <w:t>（</w:t>
                  </w:r>
                  <w:r>
                    <w:rPr>
                      <w:rFonts w:hint="default" w:ascii="Times New Roman" w:hAnsi="Times New Roman" w:cs="Times New Roman"/>
                      <w:color w:val="auto"/>
                      <w:spacing w:val="-1"/>
                      <w:sz w:val="18"/>
                      <w:szCs w:val="18"/>
                      <w:highlight w:val="none"/>
                      <w:lang w:val="en-US" w:eastAsia="zh-CN"/>
                    </w:rPr>
                    <w:t>扣除储油罐底部占的空间约</w:t>
                  </w:r>
                  <w:r>
                    <w:rPr>
                      <w:rFonts w:hint="eastAsia" w:cs="Times New Roman"/>
                      <w:color w:val="auto"/>
                      <w:spacing w:val="-1"/>
                      <w:sz w:val="18"/>
                      <w:szCs w:val="18"/>
                      <w:highlight w:val="none"/>
                      <w:lang w:val="en-US" w:eastAsia="zh-CN"/>
                    </w:rPr>
                    <w:t>6</w:t>
                  </w:r>
                  <w:r>
                    <w:rPr>
                      <w:rFonts w:hint="default" w:ascii="Times New Roman" w:hAnsi="Times New Roman" w:cs="Times New Roman"/>
                      <w:color w:val="auto"/>
                      <w:spacing w:val="-1"/>
                      <w:sz w:val="18"/>
                      <w:szCs w:val="18"/>
                      <w:highlight w:val="none"/>
                    </w:rPr>
                    <w:t>m</w:t>
                  </w:r>
                  <w:r>
                    <w:rPr>
                      <w:rFonts w:hint="default" w:ascii="Times New Roman" w:hAnsi="Times New Roman" w:cs="Times New Roman"/>
                      <w:color w:val="auto"/>
                      <w:spacing w:val="-1"/>
                      <w:sz w:val="18"/>
                      <w:szCs w:val="18"/>
                      <w:highlight w:val="none"/>
                      <w:vertAlign w:val="superscript"/>
                    </w:rPr>
                    <w:t>3</w:t>
                  </w:r>
                  <w:r>
                    <w:rPr>
                      <w:rFonts w:hint="default" w:ascii="Times New Roman" w:hAnsi="Times New Roman" w:cs="Times New Roman"/>
                      <w:color w:val="auto"/>
                      <w:spacing w:val="-1"/>
                      <w:sz w:val="18"/>
                      <w:szCs w:val="18"/>
                      <w:highlight w:val="none"/>
                      <w:lang w:eastAsia="zh-CN"/>
                    </w:rPr>
                    <w:t>），</w:t>
                  </w:r>
                  <w:r>
                    <w:rPr>
                      <w:rFonts w:hint="default" w:ascii="Times New Roman" w:hAnsi="Times New Roman" w:cs="Times New Roman"/>
                      <w:color w:val="auto"/>
                      <w:spacing w:val="-1"/>
                      <w:sz w:val="18"/>
                      <w:szCs w:val="18"/>
                      <w:highlight w:val="none"/>
                    </w:rPr>
                    <w:t>大于</w:t>
                  </w:r>
                  <w:r>
                    <w:rPr>
                      <w:rFonts w:hint="eastAsia" w:cs="Times New Roman"/>
                      <w:color w:val="auto"/>
                      <w:spacing w:val="-1"/>
                      <w:sz w:val="18"/>
                      <w:szCs w:val="18"/>
                      <w:highlight w:val="none"/>
                      <w:lang w:val="en-US" w:eastAsia="zh-CN"/>
                    </w:rPr>
                    <w:t>储存罐的最大储存量（40m³）。</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1" w:hRule="atLeast"/>
                <w:jc w:val="center"/>
              </w:trPr>
              <w:tc>
                <w:tcPr>
                  <w:tcW w:w="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容器和包装物污染控制要求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7.1 容器和包装物材质、内衬应与盛装的危险废物相容。</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7.2 针对不同类别、形态、物理化学性质的危险废物，其容器和包装物应满足相应的防渗、防漏、防腐和强度等要求。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7.3 硬质容器和包装物及其支护结构堆叠码放时不应有明显变形，无破损泄漏。</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7.4 柔性容器和包装物堆叠码放时应封口严密，无破损泄漏。</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7.5 使用容器盛装液态、半固态危险废物时，容器内部应留有适当的空间，以适应因温度变化等可能引发的收缩和膨胀，防止其导致容器渗漏或永久变形。</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7.6 容器和包装物外表面应保持清洁。</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项目废矿物油收集采用卧式钢制双层罐</w:t>
                  </w:r>
                  <w:r>
                    <w:rPr>
                      <w:rFonts w:hint="eastAsia" w:cs="Times New Roman"/>
                      <w:color w:val="auto"/>
                      <w:spacing w:val="-1"/>
                      <w:sz w:val="18"/>
                      <w:szCs w:val="18"/>
                      <w:highlight w:val="none"/>
                      <w:lang w:val="en-US" w:eastAsia="zh-CN"/>
                    </w:rPr>
                    <w:t>，</w:t>
                  </w:r>
                  <w:r>
                    <w:rPr>
                      <w:rFonts w:hint="default" w:ascii="Times New Roman" w:hAnsi="Times New Roman" w:cs="Times New Roman"/>
                      <w:color w:val="auto"/>
                      <w:spacing w:val="-1"/>
                      <w:sz w:val="18"/>
                      <w:szCs w:val="18"/>
                      <w:highlight w:val="none"/>
                      <w:lang w:val="en-US" w:eastAsia="zh-CN"/>
                    </w:rPr>
                    <w:t>项目仅收集废机油，不收其他废物；满足相应的防渗、防漏、防腐和强度等要求</w:t>
                  </w:r>
                  <w:r>
                    <w:rPr>
                      <w:rFonts w:hint="eastAsia" w:cs="Times New Roman"/>
                      <w:color w:val="auto"/>
                      <w:spacing w:val="-1"/>
                      <w:sz w:val="18"/>
                      <w:szCs w:val="1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eastAsia" w:cs="Times New Roman"/>
                      <w:color w:val="auto"/>
                      <w:spacing w:val="-1"/>
                      <w:sz w:val="18"/>
                      <w:szCs w:val="18"/>
                      <w:highlight w:val="none"/>
                      <w:lang w:val="en-US" w:eastAsia="zh-CN"/>
                    </w:rPr>
                    <w:t>项目不涉及堆叠码放，</w:t>
                  </w:r>
                  <w:r>
                    <w:rPr>
                      <w:rFonts w:hint="default" w:ascii="Times New Roman" w:hAnsi="Times New Roman" w:cs="Times New Roman"/>
                      <w:color w:val="auto"/>
                      <w:spacing w:val="-1"/>
                      <w:sz w:val="18"/>
                      <w:szCs w:val="18"/>
                      <w:highlight w:val="none"/>
                      <w:lang w:val="en-US" w:eastAsia="zh-CN"/>
                    </w:rPr>
                    <w:t>储罐</w:t>
                  </w:r>
                  <w:r>
                    <w:rPr>
                      <w:rFonts w:hint="eastAsia" w:cs="Times New Roman"/>
                      <w:color w:val="auto"/>
                      <w:spacing w:val="-1"/>
                      <w:sz w:val="18"/>
                      <w:szCs w:val="18"/>
                      <w:highlight w:val="none"/>
                      <w:lang w:val="en-US" w:eastAsia="zh-CN"/>
                    </w:rPr>
                    <w:t>设计储量为储罐容积的80%，容器内部应留有适当的空间，以适应因温度变化等可能引发的收缩和膨胀，防止其导致容器渗漏或永久变形；</w:t>
                  </w:r>
                  <w:r>
                    <w:rPr>
                      <w:rFonts w:hint="default" w:ascii="Times New Roman" w:hAnsi="Times New Roman" w:cs="Times New Roman"/>
                      <w:color w:val="auto"/>
                      <w:spacing w:val="-1"/>
                      <w:sz w:val="18"/>
                      <w:szCs w:val="18"/>
                      <w:highlight w:val="none"/>
                      <w:lang w:val="en-US" w:eastAsia="zh-CN"/>
                    </w:rPr>
                    <w:t>储罐上拟设置相应的标签</w:t>
                  </w:r>
                  <w:r>
                    <w:rPr>
                      <w:rFonts w:hint="eastAsia" w:cs="Times New Roman"/>
                      <w:color w:val="auto"/>
                      <w:spacing w:val="-1"/>
                      <w:sz w:val="18"/>
                      <w:szCs w:val="18"/>
                      <w:highlight w:val="none"/>
                      <w:lang w:val="en-US" w:eastAsia="zh-CN"/>
                    </w:rPr>
                    <w:t>。</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2" w:hRule="atLeast"/>
                <w:jc w:val="center"/>
              </w:trPr>
              <w:tc>
                <w:tcPr>
                  <w:tcW w:w="481"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贮存过程污染控制要求</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8.1 一般规定</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8.1.2 液态危险废物应装入容器内贮存，或直接采用贮存池、贮存罐区贮存。</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本项目仅收集、贮存</w:t>
                  </w:r>
                  <w:r>
                    <w:rPr>
                      <w:rFonts w:hint="default" w:ascii="Times New Roman" w:hAnsi="Times New Roman" w:cs="Times New Roman"/>
                      <w:color w:val="auto"/>
                      <w:spacing w:val="-1"/>
                      <w:sz w:val="18"/>
                      <w:szCs w:val="18"/>
                      <w:lang w:eastAsia="zh-CN"/>
                    </w:rPr>
                    <w:t>废矿物油</w:t>
                  </w:r>
                  <w:r>
                    <w:rPr>
                      <w:rFonts w:hint="default" w:ascii="Times New Roman" w:hAnsi="Times New Roman" w:cs="Times New Roman"/>
                      <w:color w:val="auto"/>
                      <w:spacing w:val="-1"/>
                      <w:sz w:val="18"/>
                      <w:szCs w:val="18"/>
                    </w:rPr>
                    <w:t>，</w:t>
                  </w:r>
                  <w:r>
                    <w:rPr>
                      <w:rFonts w:hint="eastAsia" w:cs="Times New Roman"/>
                      <w:color w:val="auto"/>
                      <w:spacing w:val="-1"/>
                      <w:sz w:val="18"/>
                      <w:szCs w:val="18"/>
                      <w:lang w:val="en-US" w:eastAsia="zh-CN"/>
                    </w:rPr>
                    <w:t>为液态危废，采用卧式双层储罐储存。</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4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 贮存设施运行环境管理要求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8.2.1 危险废物存入贮存设施前应对危险废物类别和特性与危险废物标签等危险废物识别标志的一致</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性进行核验，不一致的或类别、特性不明的不应存入。</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8.2.2 应定期检查危险废物的贮存状况，及时清理贮存设施地面，更换破损泄漏的危险废物贮存容器和包装物，保证堆存危险废物的防雨、防风、防扬尘等设施功能完好。</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8.2.3 作业设备及车辆等结束作业离开贮存设施时，应对其残留的危险废物进行清理，清理的废物或清洗废水应收集处理。</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8.2.4 贮存设施运行期间，应按国家有关标准和规定建立危险废物管理台账并保存。</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8.2.5 贮存设施所有者或运营者应建立贮存设施环境管理制度、管理人员岗位职责制度、设施运行操作制度、人员岗位培训制度等。</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8.2.6 贮存设施所有者或运营者应依据国家土壤和地下水污染防治的有关规定，结合贮存设施特点建立土壤和地下水污染隐患排查制度，并定期开展隐患排查；发现隐患应及时采取措施消除隐患，并建立档案。</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8.2.7 贮存设施所有者或运营者应建立贮存设施全部档案，包括设计、施工、验收、运行、监测和环</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境应急等，应按国家有关档案管理的法律法规进行整理和归档。</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cs="Times New Roman"/>
                      <w:color w:val="auto"/>
                      <w:spacing w:val="-1"/>
                      <w:sz w:val="18"/>
                      <w:szCs w:val="18"/>
                      <w:lang w:val="en-US" w:eastAsia="zh-CN"/>
                    </w:rPr>
                  </w:pPr>
                  <w:r>
                    <w:rPr>
                      <w:rFonts w:hint="default" w:ascii="Times New Roman" w:hAnsi="Times New Roman" w:cs="Times New Roman"/>
                      <w:color w:val="auto"/>
                      <w:spacing w:val="-1"/>
                      <w:sz w:val="18"/>
                      <w:szCs w:val="18"/>
                    </w:rPr>
                    <w:t>项目仅收集、贮存</w:t>
                  </w:r>
                  <w:r>
                    <w:rPr>
                      <w:rFonts w:hint="default" w:ascii="Times New Roman" w:hAnsi="Times New Roman" w:cs="Times New Roman"/>
                      <w:color w:val="auto"/>
                      <w:spacing w:val="-1"/>
                      <w:sz w:val="18"/>
                      <w:szCs w:val="18"/>
                      <w:lang w:eastAsia="zh-CN"/>
                    </w:rPr>
                    <w:t>废矿物油</w:t>
                  </w:r>
                  <w:r>
                    <w:rPr>
                      <w:rFonts w:hint="default" w:ascii="Times New Roman" w:hAnsi="Times New Roman" w:cs="Times New Roman"/>
                      <w:color w:val="auto"/>
                      <w:spacing w:val="-1"/>
                      <w:sz w:val="18"/>
                      <w:szCs w:val="18"/>
                    </w:rPr>
                    <w:t>且单独存放</w:t>
                  </w:r>
                  <w:r>
                    <w:rPr>
                      <w:rFonts w:hint="eastAsia" w:cs="Times New Roman"/>
                      <w:color w:val="auto"/>
                      <w:spacing w:val="-1"/>
                      <w:sz w:val="18"/>
                      <w:szCs w:val="18"/>
                      <w:lang w:eastAsia="zh-CN"/>
                    </w:rPr>
                    <w:t>，</w:t>
                  </w:r>
                  <w:r>
                    <w:rPr>
                      <w:rFonts w:hint="eastAsia" w:cs="Times New Roman"/>
                      <w:color w:val="auto"/>
                      <w:spacing w:val="-1"/>
                      <w:sz w:val="18"/>
                      <w:szCs w:val="18"/>
                      <w:lang w:val="en-US" w:eastAsia="zh-CN"/>
                    </w:rPr>
                    <w:t>储罐上拟设置相应的标签；定期检查危险废物的贮存状况，及时清理储罐，及时维护储存间破损的部分，确保暂存间内储罐的防雨、防风、防渗、防泄漏等功能完好。</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cs="Times New Roman"/>
                      <w:color w:val="auto"/>
                      <w:spacing w:val="-1"/>
                      <w:sz w:val="18"/>
                      <w:szCs w:val="18"/>
                      <w:lang w:val="en-US" w:eastAsia="zh-CN"/>
                    </w:rPr>
                  </w:pPr>
                  <w:r>
                    <w:rPr>
                      <w:rFonts w:hint="eastAsia" w:cs="Times New Roman"/>
                      <w:color w:val="auto"/>
                      <w:spacing w:val="-1"/>
                      <w:sz w:val="18"/>
                      <w:szCs w:val="18"/>
                      <w:lang w:val="en-US" w:eastAsia="zh-CN"/>
                    </w:rPr>
                    <w:t>项目运行期间，严格按国家有关标准和规定建立危险废物管理台账并保存。并建立项目环境管理制度、管理人员岗位职责制度、设施运行操作制度、人员岗位培训制度等。</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cs="Times New Roman"/>
                      <w:color w:val="auto"/>
                      <w:spacing w:val="-1"/>
                      <w:sz w:val="18"/>
                      <w:szCs w:val="18"/>
                      <w:lang w:val="en-US" w:eastAsia="zh-CN"/>
                    </w:rPr>
                  </w:pPr>
                  <w:r>
                    <w:rPr>
                      <w:rFonts w:hint="eastAsia" w:cs="Times New Roman"/>
                      <w:color w:val="auto"/>
                      <w:spacing w:val="-1"/>
                      <w:sz w:val="18"/>
                      <w:szCs w:val="18"/>
                      <w:lang w:val="en-US" w:eastAsia="zh-CN"/>
                    </w:rPr>
                    <w:t>项目运行后，将依据国家土壤和地下水污染防治的有关规定，结合项目特点建立土壤和地下水污染隐患排查制度，并定期开展隐患排查；发现隐患应及时采取措施消除隐患，并建立档案。</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ascii="Times New Roman" w:hAnsi="Times New Roman" w:eastAsia="宋体" w:cs="Times New Roman"/>
                      <w:color w:val="auto"/>
                      <w:spacing w:val="-1"/>
                      <w:sz w:val="18"/>
                      <w:szCs w:val="18"/>
                      <w:lang w:eastAsia="zh-CN"/>
                    </w:rPr>
                  </w:pPr>
                  <w:r>
                    <w:rPr>
                      <w:rFonts w:hint="eastAsia" w:cs="Times New Roman"/>
                      <w:color w:val="auto"/>
                      <w:spacing w:val="-1"/>
                      <w:sz w:val="18"/>
                      <w:szCs w:val="18"/>
                      <w:lang w:val="en-US" w:eastAsia="zh-CN"/>
                    </w:rPr>
                    <w:t>项目运行后将建立全部档案，包括设计、施工、验收、运行、监测和环境应急等，并按国家有关档案管理的法律法规进行整理和归档。</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5" w:hRule="atLeast"/>
                <w:jc w:val="center"/>
              </w:trPr>
              <w:tc>
                <w:tcPr>
                  <w:tcW w:w="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污染物排放控制要求</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9.1 贮存设施产生的废水（包括贮存设施、作业设备、车辆等清洗废水，贮存罐区积存雨水，贮存事故废水等）应进行收集处理，废水排放应符合GB 8978 规定的要求。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9.2 贮存设施产生的废气（含无组织废气）的排放应符合GB 16297 和GB 37822 规定的要求。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9.3 贮存设施产生的恶臭气体的排放应符合GB 14554 规定的要求。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9.4 贮存设施内产生以及清理的固体废物应按固体废物分类管理要求妥善处理。</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9.5 贮存设施排放的环境噪声应符合GB 12348 规定的要求。</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cs="Times New Roman"/>
                      <w:color w:val="auto"/>
                      <w:spacing w:val="-1"/>
                      <w:sz w:val="18"/>
                      <w:szCs w:val="18"/>
                      <w:lang w:val="en-US" w:eastAsia="zh-CN"/>
                    </w:rPr>
                  </w:pPr>
                  <w:r>
                    <w:rPr>
                      <w:rFonts w:hint="default" w:ascii="Times New Roman" w:hAnsi="Times New Roman" w:cs="Times New Roman"/>
                      <w:color w:val="auto"/>
                      <w:spacing w:val="-1"/>
                      <w:sz w:val="18"/>
                      <w:szCs w:val="18"/>
                    </w:rPr>
                    <w:t>项目贮存</w:t>
                  </w:r>
                  <w:r>
                    <w:rPr>
                      <w:rFonts w:hint="eastAsia" w:cs="Times New Roman"/>
                      <w:color w:val="auto"/>
                      <w:spacing w:val="-1"/>
                      <w:sz w:val="18"/>
                      <w:szCs w:val="18"/>
                      <w:lang w:val="en-US" w:eastAsia="zh-CN"/>
                    </w:rPr>
                    <w:t>罐不进行清洗，正常储存期间，储存间采用拖把清洁，不进行冲洗，无废水产生。项目储存罐排出的呼吸废气极少，类比同类项目的厂界无组织监测资料，无组织废气排放符合GB 16297和GB 37822规定的要求。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cs="Times New Roman"/>
                      <w:color w:val="auto"/>
                      <w:spacing w:val="-1"/>
                      <w:sz w:val="18"/>
                      <w:szCs w:val="18"/>
                      <w:lang w:val="en-US" w:eastAsia="zh-CN"/>
                    </w:rPr>
                  </w:pPr>
                  <w:r>
                    <w:rPr>
                      <w:rFonts w:hint="eastAsia" w:cs="Times New Roman"/>
                      <w:color w:val="auto"/>
                      <w:spacing w:val="-1"/>
                      <w:sz w:val="18"/>
                      <w:szCs w:val="18"/>
                      <w:lang w:val="en-US" w:eastAsia="zh-CN"/>
                    </w:rPr>
                    <w:t>项目储罐不进行清洗，无固体废物产生。</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cs="Times New Roman"/>
                      <w:color w:val="auto"/>
                      <w:spacing w:val="-1"/>
                      <w:sz w:val="18"/>
                      <w:szCs w:val="18"/>
                      <w:lang w:val="en-US" w:eastAsia="zh-CN"/>
                    </w:rPr>
                  </w:pPr>
                  <w:r>
                    <w:rPr>
                      <w:rFonts w:hint="default" w:cs="Times New Roman"/>
                      <w:color w:val="auto"/>
                      <w:spacing w:val="-1"/>
                      <w:sz w:val="18"/>
                      <w:szCs w:val="18"/>
                      <w:lang w:val="en-US" w:eastAsia="zh-CN"/>
                    </w:rPr>
                    <w:t>项目储罐</w:t>
                  </w:r>
                  <w:r>
                    <w:rPr>
                      <w:rFonts w:hint="eastAsia" w:cs="Times New Roman"/>
                      <w:color w:val="auto"/>
                      <w:spacing w:val="-1"/>
                      <w:sz w:val="18"/>
                      <w:szCs w:val="18"/>
                      <w:lang w:val="en-US" w:eastAsia="zh-CN"/>
                    </w:rPr>
                    <w:t>储存过程无噪声，只有在装卸废油时油泵会产生噪声，且在车间内完成，</w:t>
                  </w:r>
                  <w:r>
                    <w:rPr>
                      <w:rFonts w:hint="default" w:cs="Times New Roman"/>
                      <w:color w:val="auto"/>
                      <w:spacing w:val="-1"/>
                      <w:sz w:val="18"/>
                      <w:szCs w:val="18"/>
                      <w:lang w:val="en-US" w:eastAsia="zh-CN"/>
                    </w:rPr>
                    <w:t>排放的环境噪声符合GB 12348规定的要求</w:t>
                  </w:r>
                  <w:r>
                    <w:rPr>
                      <w:rFonts w:hint="eastAsia" w:cs="Times New Roman"/>
                      <w:color w:val="auto"/>
                      <w:spacing w:val="-1"/>
                      <w:sz w:val="18"/>
                      <w:szCs w:val="18"/>
                      <w:lang w:val="en-US" w:eastAsia="zh-CN"/>
                    </w:rPr>
                    <w:t>。</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68" w:hRule="atLeast"/>
                <w:jc w:val="center"/>
              </w:trPr>
              <w:tc>
                <w:tcPr>
                  <w:tcW w:w="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环境应急要求</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11.1 贮存设施所有者或运营者应按照国家有关规定编制突发环境事件应急预案，定期开展必要的培训</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和环境应急演练，并做好培训、演练记录。</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11.2 贮存设施所有者或运营者应配备满足其突发环境事件应急要求的应急人员、装备和物资，并应设</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置应急照明系统。</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11.3 相关部门发布自然灾害或恶劣天气预警后，贮存设施所有者或运营者应启动相应防控措施，若有必要可将危险废物转移至其他具有防护条件的地点贮存。</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eastAsia" w:cs="Times New Roman"/>
                      <w:color w:val="auto"/>
                      <w:spacing w:val="-1"/>
                      <w:sz w:val="18"/>
                      <w:szCs w:val="18"/>
                      <w:lang w:val="en-US" w:eastAsia="zh-CN"/>
                    </w:rPr>
                    <w:t>项目建成后将</w:t>
                  </w:r>
                  <w:r>
                    <w:rPr>
                      <w:rFonts w:hint="default" w:ascii="Times New Roman" w:hAnsi="Times New Roman" w:cs="Times New Roman"/>
                      <w:color w:val="auto"/>
                      <w:spacing w:val="-1"/>
                      <w:sz w:val="18"/>
                      <w:szCs w:val="18"/>
                    </w:rPr>
                    <w:t>编制</w:t>
                  </w:r>
                  <w:r>
                    <w:rPr>
                      <w:rFonts w:hint="eastAsia" w:cs="Times New Roman"/>
                      <w:color w:val="auto"/>
                      <w:spacing w:val="-1"/>
                      <w:sz w:val="18"/>
                      <w:szCs w:val="18"/>
                      <w:lang w:val="en-US" w:eastAsia="zh-CN"/>
                    </w:rPr>
                    <w:t>新的</w:t>
                  </w:r>
                  <w:r>
                    <w:rPr>
                      <w:rFonts w:hint="default" w:ascii="Times New Roman" w:hAnsi="Times New Roman" w:cs="Times New Roman"/>
                      <w:color w:val="auto"/>
                      <w:spacing w:val="-1"/>
                      <w:sz w:val="18"/>
                      <w:szCs w:val="18"/>
                    </w:rPr>
                    <w:t>突发环境事件应急预案，</w:t>
                  </w:r>
                  <w:r>
                    <w:rPr>
                      <w:rFonts w:hint="eastAsia" w:cs="Times New Roman"/>
                      <w:color w:val="auto"/>
                      <w:spacing w:val="-1"/>
                      <w:sz w:val="18"/>
                      <w:szCs w:val="18"/>
                      <w:lang w:val="en-US" w:eastAsia="zh-CN"/>
                    </w:rPr>
                    <w:t>储存期间</w:t>
                  </w:r>
                  <w:r>
                    <w:rPr>
                      <w:rFonts w:hint="default" w:ascii="Times New Roman" w:hAnsi="Times New Roman" w:cs="Times New Roman"/>
                      <w:color w:val="auto"/>
                      <w:spacing w:val="-1"/>
                      <w:sz w:val="18"/>
                      <w:szCs w:val="18"/>
                    </w:rPr>
                    <w:t>定期开展必要的培训和环境应急演练，并做好培训、演练记录。</w:t>
                  </w:r>
                  <w:r>
                    <w:rPr>
                      <w:rFonts w:hint="eastAsia" w:cs="Times New Roman"/>
                      <w:color w:val="auto"/>
                      <w:spacing w:val="-1"/>
                      <w:sz w:val="18"/>
                      <w:szCs w:val="18"/>
                      <w:lang w:val="en-US" w:eastAsia="zh-CN"/>
                    </w:rPr>
                    <w:t>储存区域</w:t>
                  </w:r>
                  <w:r>
                    <w:rPr>
                      <w:rFonts w:hint="default" w:ascii="Times New Roman" w:hAnsi="Times New Roman" w:cs="Times New Roman"/>
                      <w:color w:val="auto"/>
                      <w:spacing w:val="-1"/>
                      <w:sz w:val="18"/>
                      <w:szCs w:val="18"/>
                    </w:rPr>
                    <w:t>配备</w:t>
                  </w:r>
                  <w:r>
                    <w:rPr>
                      <w:rFonts w:hint="eastAsia" w:cs="Times New Roman"/>
                      <w:color w:val="auto"/>
                      <w:spacing w:val="-1"/>
                      <w:sz w:val="18"/>
                      <w:szCs w:val="18"/>
                      <w:lang w:val="en-US" w:eastAsia="zh-CN"/>
                    </w:rPr>
                    <w:t>相应</w:t>
                  </w:r>
                  <w:r>
                    <w:rPr>
                      <w:rFonts w:hint="default" w:ascii="Times New Roman" w:hAnsi="Times New Roman" w:cs="Times New Roman"/>
                      <w:color w:val="auto"/>
                      <w:spacing w:val="-1"/>
                      <w:sz w:val="18"/>
                      <w:szCs w:val="18"/>
                    </w:rPr>
                    <w:t>的应急人员、装备和物资，并应设置应急照明系统。</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紧急情况，按</w:t>
                  </w:r>
                  <w:r>
                    <w:rPr>
                      <w:rFonts w:hint="default" w:ascii="Times New Roman" w:hAnsi="Times New Roman" w:cs="Times New Roman"/>
                      <w:color w:val="auto"/>
                      <w:spacing w:val="-1"/>
                      <w:sz w:val="18"/>
                      <w:szCs w:val="18"/>
                    </w:rPr>
                    <w:t>相关部门</w:t>
                  </w:r>
                  <w:r>
                    <w:rPr>
                      <w:rFonts w:hint="eastAsia" w:cs="Times New Roman"/>
                      <w:color w:val="auto"/>
                      <w:spacing w:val="-1"/>
                      <w:sz w:val="18"/>
                      <w:szCs w:val="18"/>
                      <w:lang w:val="en-US" w:eastAsia="zh-CN"/>
                    </w:rPr>
                    <w:t>的要求采取相应防控措施。</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符合</w:t>
                  </w:r>
                </w:p>
              </w:tc>
            </w:tr>
          </w:tbl>
          <w:p>
            <w:pPr>
              <w:keepNext w:val="0"/>
              <w:keepLines w:val="0"/>
              <w:pageBreakBefore w:val="0"/>
              <w:widowControl w:val="0"/>
              <w:numPr>
                <w:ilvl w:val="0"/>
                <w:numId w:val="7"/>
              </w:numPr>
              <w:kinsoku/>
              <w:wordWrap/>
              <w:overflowPunct/>
              <w:topLinePunct w:val="0"/>
              <w:autoSpaceDE w:val="0"/>
              <w:autoSpaceDN w:val="0"/>
              <w:bidi w:val="0"/>
              <w:adjustRightInd w:val="0"/>
              <w:snapToGrid w:val="0"/>
              <w:spacing w:line="360" w:lineRule="exact"/>
              <w:ind w:firstLine="398" w:firstLineChars="200"/>
              <w:jc w:val="both"/>
              <w:textAlignment w:val="auto"/>
              <w:rPr>
                <w:rFonts w:hint="default" w:ascii="Times New Roman" w:hAnsi="Times New Roman" w:cs="Times New Roman"/>
                <w:b/>
                <w:bCs/>
                <w:color w:val="auto"/>
                <w:spacing w:val="-6"/>
                <w:kern w:val="0"/>
                <w:szCs w:val="21"/>
              </w:rPr>
            </w:pPr>
            <w:r>
              <w:rPr>
                <w:rFonts w:hint="default" w:ascii="Times New Roman" w:hAnsi="Times New Roman" w:cs="Times New Roman"/>
                <w:b/>
                <w:bCs/>
                <w:color w:val="auto"/>
                <w:spacing w:val="-6"/>
                <w:kern w:val="0"/>
                <w:szCs w:val="21"/>
              </w:rPr>
              <w:t>与《危险废物收集</w:t>
            </w:r>
            <w:r>
              <w:rPr>
                <w:rFonts w:hint="eastAsia" w:cs="Times New Roman"/>
                <w:b/>
                <w:bCs/>
                <w:color w:val="auto"/>
                <w:spacing w:val="-6"/>
                <w:kern w:val="0"/>
                <w:szCs w:val="21"/>
                <w:lang w:val="en-US" w:eastAsia="zh-CN"/>
              </w:rPr>
              <w:t xml:space="preserve"> </w:t>
            </w:r>
            <w:r>
              <w:rPr>
                <w:rFonts w:hint="default" w:ascii="Times New Roman" w:hAnsi="Times New Roman" w:cs="Times New Roman"/>
                <w:b/>
                <w:bCs/>
                <w:color w:val="auto"/>
                <w:spacing w:val="-6"/>
                <w:kern w:val="0"/>
                <w:szCs w:val="21"/>
              </w:rPr>
              <w:t>贮存</w:t>
            </w:r>
            <w:r>
              <w:rPr>
                <w:rFonts w:hint="eastAsia" w:cs="Times New Roman"/>
                <w:b/>
                <w:bCs/>
                <w:color w:val="auto"/>
                <w:spacing w:val="-6"/>
                <w:kern w:val="0"/>
                <w:szCs w:val="21"/>
                <w:lang w:val="en-US" w:eastAsia="zh-CN"/>
              </w:rPr>
              <w:t xml:space="preserve"> </w:t>
            </w:r>
            <w:r>
              <w:rPr>
                <w:rFonts w:hint="default" w:ascii="Times New Roman" w:hAnsi="Times New Roman" w:cs="Times New Roman"/>
                <w:b/>
                <w:bCs/>
                <w:color w:val="auto"/>
                <w:spacing w:val="-6"/>
                <w:kern w:val="0"/>
                <w:szCs w:val="21"/>
              </w:rPr>
              <w:t>运输技术规范》（HJ2025-2012）符合性分析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本项目与《危险废物收集</w:t>
            </w:r>
            <w:r>
              <w:rPr>
                <w:rFonts w:hint="eastAsia" w:eastAsia="黑体" w:cs="Times New Roman"/>
                <w:color w:val="auto"/>
                <w:kern w:val="0"/>
                <w:sz w:val="20"/>
                <w:szCs w:val="20"/>
                <w:lang w:val="en-US" w:eastAsia="zh-CN"/>
              </w:rPr>
              <w:t xml:space="preserve"> </w:t>
            </w:r>
            <w:r>
              <w:rPr>
                <w:rFonts w:hint="default" w:ascii="Times New Roman" w:hAnsi="Times New Roman" w:eastAsia="黑体" w:cs="Times New Roman"/>
                <w:color w:val="auto"/>
                <w:kern w:val="0"/>
                <w:sz w:val="20"/>
                <w:szCs w:val="20"/>
                <w:lang w:val="zh-CN" w:eastAsia="zh-CN"/>
              </w:rPr>
              <w:t>贮存</w:t>
            </w:r>
            <w:r>
              <w:rPr>
                <w:rFonts w:hint="eastAsia" w:eastAsia="黑体" w:cs="Times New Roman"/>
                <w:color w:val="auto"/>
                <w:kern w:val="0"/>
                <w:sz w:val="20"/>
                <w:szCs w:val="20"/>
                <w:lang w:val="en-US" w:eastAsia="zh-CN"/>
              </w:rPr>
              <w:t xml:space="preserve"> </w:t>
            </w:r>
            <w:r>
              <w:rPr>
                <w:rFonts w:hint="default" w:ascii="Times New Roman" w:hAnsi="Times New Roman" w:eastAsia="黑体" w:cs="Times New Roman"/>
                <w:color w:val="auto"/>
                <w:kern w:val="0"/>
                <w:sz w:val="20"/>
                <w:szCs w:val="20"/>
                <w:lang w:val="zh-CN" w:eastAsia="zh-CN"/>
              </w:rPr>
              <w:t>运输技术规范》符合性分析</w:t>
            </w:r>
          </w:p>
          <w:tbl>
            <w:tblPr>
              <w:tblStyle w:val="18"/>
              <w:tblW w:w="7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4390"/>
              <w:gridCol w:w="2144"/>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0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项目</w:t>
                  </w:r>
                </w:p>
              </w:tc>
              <w:tc>
                <w:tcPr>
                  <w:tcW w:w="43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规范要求</w:t>
                  </w:r>
                </w:p>
              </w:tc>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本项目</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5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危险废物的贮存</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危险废物的贮存</w:t>
                  </w:r>
                </w:p>
              </w:tc>
              <w:tc>
                <w:tcPr>
                  <w:tcW w:w="43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危险废物的收集应制定详细的操作规程，内容至少应包括适用范围、操作程序和方法、专用设备和工具、转移和交接、安全保障和应急防护等。</w:t>
                  </w:r>
                </w:p>
              </w:tc>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本项目建成运营后，将严格按照规范要求制定详细的操作规程。</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5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3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危险废物收集和转运作业人员应根据工作需要配备必要的个人防护装备，如手套、防护镜、防护服、防毒面具或口罩等。</w:t>
                  </w:r>
                </w:p>
              </w:tc>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项目收集和转运作业人员将配备手套、防护服或口罩等个人防护装备。</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5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3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在危险废物的收集和转运过程中，应采取相应的安全防护和污染防治措施，包括防爆、防火、防中毒、防感染、防泄露、防飞扬、防雨或其它防止污染环境的措施。</w:t>
                  </w:r>
                </w:p>
              </w:tc>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本项目将在</w:t>
                  </w:r>
                  <w:r>
                    <w:rPr>
                      <w:rFonts w:hint="default" w:ascii="Times New Roman" w:hAnsi="Times New Roman" w:cs="Times New Roman"/>
                      <w:color w:val="auto"/>
                      <w:sz w:val="18"/>
                      <w:szCs w:val="18"/>
                      <w:lang w:eastAsia="zh-CN"/>
                    </w:rPr>
                    <w:t>废矿物油</w:t>
                  </w:r>
                  <w:r>
                    <w:rPr>
                      <w:rFonts w:hint="default" w:ascii="Times New Roman" w:hAnsi="Times New Roman" w:cs="Times New Roman"/>
                      <w:color w:val="auto"/>
                      <w:sz w:val="18"/>
                      <w:szCs w:val="18"/>
                      <w:lang w:val="en-US" w:eastAsia="zh-CN"/>
                    </w:rPr>
                    <w:t>采用密闭的油罐车</w:t>
                  </w:r>
                  <w:r>
                    <w:rPr>
                      <w:rFonts w:hint="default" w:ascii="Times New Roman" w:hAnsi="Times New Roman" w:cs="Times New Roman"/>
                      <w:color w:val="auto"/>
                      <w:sz w:val="18"/>
                      <w:szCs w:val="18"/>
                    </w:rPr>
                    <w:t>收集</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输油泵输油，油罐车配备有灭火器、静电接地线防雷装置等</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3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危险废物收集时应根据危险废物的种类、数量、危险特性、物理形态、运输要求等因素确定包装形式，具体包装应符合如下要求：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(1)包装材质要与危险废物相容，可根据废物特性选择钢、铝、塑料等材质。</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(2)性质类似的废物可收集到同一容器中，性质不相容的危险废物不应混合包装。</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(3)危险废物包装应能有效隔断危险废物迁移扩散途径，并达到防渗、防漏要求。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(4)包装好的危险废物应设置相应的标签，标签信息应填写完整翔实。</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(5)盛装过危险废物的包装袋或包装容器破损后应按危险废物进行管理和处置。</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(6)危险废物还应根据GB12463的有关要求进行运输包装。</w:t>
                  </w:r>
                </w:p>
              </w:tc>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①项目废矿物油收集采用卧式钢制双层罐；②项目仅收集废机油，不收其他废物；③储油罐为封闭式，仅有呼吸孔，储罐区四周设置0.</w:t>
                  </w:r>
                  <w:r>
                    <w:rPr>
                      <w:rFonts w:hint="eastAsia" w:cs="Times New Roman"/>
                      <w:color w:val="auto"/>
                      <w:sz w:val="18"/>
                      <w:szCs w:val="18"/>
                      <w:lang w:val="en-US" w:eastAsia="zh-CN"/>
                    </w:rPr>
                    <w:t>8</w:t>
                  </w:r>
                  <w:r>
                    <w:rPr>
                      <w:rFonts w:hint="default" w:ascii="Times New Roman" w:hAnsi="Times New Roman" w:cs="Times New Roman"/>
                      <w:color w:val="auto"/>
                      <w:sz w:val="18"/>
                      <w:szCs w:val="18"/>
                      <w:lang w:val="en-US" w:eastAsia="zh-CN"/>
                    </w:rPr>
                    <w:t>m围堰，并采取重点防渗；④储罐上拟设置相应的标签；⑤滴漏的废油采用抹布等擦拭后按危废处理；⑥运输环节严格按GB12463的有关要求进行</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6" w:hRule="atLeast"/>
                <w:jc w:val="center"/>
              </w:trPr>
              <w:tc>
                <w:tcPr>
                  <w:tcW w:w="5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3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危险废物的收集作业应满足如下要求：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(1)应根据收集设备、转运车辆以及现场人员等实际情况确定相应作业区域，同时要设置作业界限标志和警示牌。</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(2)作业区域内应设置危险废物收集专用通道和人员避险通道。</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(3)收集时应配备必要的收集工具和包装物，以及必要的应急监测设备及应急装备。</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(4)危险废物收集应参照本标准附录A填写记录表，并将记录表作为危险废物管理的重要档案妥善保存。</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(5)收集结束后应清理和恢复收集作业区域，确保作业区域环境整洁安全。</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(6)收集过危险废物的容器、设备、设施、场所及其它物品转作它用时，应消除污染，确保其使用安全。</w:t>
                  </w:r>
                </w:p>
              </w:tc>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废矿物油</w:t>
                  </w:r>
                  <w:r>
                    <w:rPr>
                      <w:rFonts w:hint="default" w:ascii="Times New Roman" w:hAnsi="Times New Roman" w:cs="Times New Roman"/>
                      <w:color w:val="auto"/>
                      <w:sz w:val="18"/>
                      <w:szCs w:val="18"/>
                    </w:rPr>
                    <w:t>的收集作业满足规范中的相关要求。</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5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3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危险废物内部转运作业应满足如下要求：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eastAsia" w:cs="Times New Roman"/>
                      <w:color w:val="auto"/>
                      <w:sz w:val="18"/>
                      <w:szCs w:val="18"/>
                      <w:lang w:eastAsia="zh-CN"/>
                    </w:rPr>
                    <w:t>（</w:t>
                  </w:r>
                  <w:r>
                    <w:rPr>
                      <w:rFonts w:hint="default" w:ascii="Times New Roman" w:hAnsi="Times New Roman" w:cs="Times New Roman"/>
                      <w:color w:val="auto"/>
                      <w:sz w:val="18"/>
                      <w:szCs w:val="18"/>
                    </w:rPr>
                    <w:t>1）危险废物内部转运应综合考虑场区的实际情况确定转运路线，尽量避开办公室和生活区。</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eastAsia" w:cs="Times New Roman"/>
                      <w:color w:val="auto"/>
                      <w:sz w:val="18"/>
                      <w:szCs w:val="18"/>
                      <w:lang w:eastAsia="zh-CN"/>
                    </w:rPr>
                    <w:t>（</w:t>
                  </w:r>
                  <w:r>
                    <w:rPr>
                      <w:rFonts w:hint="default" w:ascii="Times New Roman" w:hAnsi="Times New Roman" w:cs="Times New Roman"/>
                      <w:color w:val="auto"/>
                      <w:sz w:val="18"/>
                      <w:szCs w:val="18"/>
                    </w:rPr>
                    <w:t>2）危险废物内部转运作业应采用专用的工具。</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eastAsia" w:cs="Times New Roman"/>
                      <w:color w:val="auto"/>
                      <w:sz w:val="18"/>
                      <w:szCs w:val="18"/>
                      <w:lang w:eastAsia="zh-CN"/>
                    </w:rPr>
                    <w:t>（</w:t>
                  </w:r>
                  <w:r>
                    <w:rPr>
                      <w:rFonts w:hint="default" w:ascii="Times New Roman" w:hAnsi="Times New Roman" w:cs="Times New Roman"/>
                      <w:color w:val="auto"/>
                      <w:sz w:val="18"/>
                      <w:szCs w:val="18"/>
                    </w:rPr>
                    <w:t>3）危险废物内部转运结束后，应对转运路线进行检查和清理，确保无危险废物遗失在转运路线上，并对转运工具进行清洗。</w:t>
                  </w:r>
                </w:p>
              </w:tc>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r>
                    <w:rPr>
                      <w:rFonts w:hint="default" w:ascii="Times New Roman" w:hAnsi="Times New Roman" w:cs="Times New Roman"/>
                      <w:color w:val="auto"/>
                      <w:sz w:val="18"/>
                      <w:szCs w:val="18"/>
                      <w:lang w:val="en-US" w:eastAsia="zh-CN"/>
                    </w:rPr>
                    <w:t>运油车辆从办公区南面的大门进出，内部避开了办公室和生活区；在</w:t>
                  </w:r>
                  <w:r>
                    <w:rPr>
                      <w:rFonts w:hint="eastAsia" w:cs="Times New Roman"/>
                      <w:color w:val="auto"/>
                      <w:sz w:val="18"/>
                      <w:szCs w:val="18"/>
                      <w:lang w:val="en-US" w:eastAsia="zh-CN"/>
                    </w:rPr>
                    <w:t>项目区</w:t>
                  </w:r>
                  <w:r>
                    <w:rPr>
                      <w:rFonts w:hint="default" w:ascii="Times New Roman" w:hAnsi="Times New Roman" w:cs="Times New Roman"/>
                      <w:color w:val="auto"/>
                      <w:sz w:val="18"/>
                      <w:szCs w:val="18"/>
                      <w:lang w:val="en-US" w:eastAsia="zh-CN"/>
                    </w:rPr>
                    <w:t>内仅收集和外运时需在内部运输，内部无其他转运，</w:t>
                  </w:r>
                  <w:r>
                    <w:rPr>
                      <w:rFonts w:hint="default" w:ascii="Times New Roman" w:hAnsi="Times New Roman" w:cs="Times New Roman"/>
                      <w:color w:val="auto"/>
                      <w:sz w:val="18"/>
                      <w:szCs w:val="18"/>
                    </w:rPr>
                    <w:t>满足规范的相关要求</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5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3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贮存可分为产生单位内部贮存、中转贮存及集中性贮存。所对应的贮存设施分别为：产生危险废物的单位用于暂时贮存的设施；拥有危险废物收集经营许可证的单位用于临时贮存废机油的设施；以及危险废物经营单位所配置的贮存设施。</w:t>
                  </w:r>
                </w:p>
              </w:tc>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本项目进行收集和贮存，拟新建贮存区，能够满足用于临时贮存</w:t>
                  </w:r>
                  <w:r>
                    <w:rPr>
                      <w:rFonts w:hint="default" w:ascii="Times New Roman" w:hAnsi="Times New Roman" w:cs="Times New Roman"/>
                      <w:color w:val="auto"/>
                      <w:sz w:val="18"/>
                      <w:szCs w:val="18"/>
                      <w:lang w:eastAsia="zh-CN"/>
                    </w:rPr>
                    <w:t>废矿物油</w:t>
                  </w:r>
                  <w:r>
                    <w:rPr>
                      <w:rFonts w:hint="default" w:ascii="Times New Roman" w:hAnsi="Times New Roman" w:cs="Times New Roman"/>
                      <w:color w:val="auto"/>
                      <w:sz w:val="18"/>
                      <w:szCs w:val="18"/>
                    </w:rPr>
                    <w:t>的设施相关要求。</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5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3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贮存危险废物时应按危险废物的种类和特性进行分区贮存，每个区之间应设置挡墙间隔，并设置防雨、防火、防雷、防扬尘装置。</w:t>
                  </w:r>
                </w:p>
              </w:tc>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项目贮存区</w:t>
                  </w:r>
                  <w:r>
                    <w:rPr>
                      <w:rFonts w:hint="eastAsia" w:cs="Times New Roman"/>
                      <w:color w:val="auto"/>
                      <w:sz w:val="18"/>
                      <w:szCs w:val="18"/>
                      <w:lang w:val="en-US" w:eastAsia="zh-CN"/>
                    </w:rPr>
                    <w:t>按</w:t>
                  </w:r>
                  <w:r>
                    <w:rPr>
                      <w:rFonts w:hint="default" w:ascii="Times New Roman" w:hAnsi="Times New Roman" w:cs="Times New Roman"/>
                      <w:color w:val="auto"/>
                      <w:sz w:val="18"/>
                      <w:szCs w:val="18"/>
                    </w:rPr>
                    <w:t>规范设置，</w:t>
                  </w:r>
                  <w:r>
                    <w:rPr>
                      <w:rFonts w:hint="eastAsia" w:cs="Times New Roman"/>
                      <w:color w:val="auto"/>
                      <w:sz w:val="18"/>
                      <w:szCs w:val="18"/>
                      <w:lang w:val="en-US" w:eastAsia="zh-CN"/>
                    </w:rPr>
                    <w:t>仅</w:t>
                  </w:r>
                  <w:r>
                    <w:rPr>
                      <w:rFonts w:hint="default" w:ascii="Times New Roman" w:hAnsi="Times New Roman" w:cs="Times New Roman"/>
                      <w:color w:val="auto"/>
                      <w:sz w:val="18"/>
                      <w:szCs w:val="18"/>
                    </w:rPr>
                    <w:t>进行</w:t>
                  </w:r>
                  <w:r>
                    <w:rPr>
                      <w:rFonts w:hint="default" w:ascii="Times New Roman" w:hAnsi="Times New Roman" w:cs="Times New Roman"/>
                      <w:color w:val="auto"/>
                      <w:sz w:val="18"/>
                      <w:szCs w:val="18"/>
                      <w:lang w:eastAsia="zh-CN"/>
                    </w:rPr>
                    <w:t>废矿物油</w:t>
                  </w:r>
                  <w:r>
                    <w:rPr>
                      <w:rFonts w:hint="default" w:ascii="Times New Roman" w:hAnsi="Times New Roman" w:cs="Times New Roman"/>
                      <w:color w:val="auto"/>
                      <w:sz w:val="18"/>
                      <w:szCs w:val="18"/>
                    </w:rPr>
                    <w:t>储存，</w:t>
                  </w:r>
                  <w:r>
                    <w:rPr>
                      <w:rFonts w:hint="eastAsia" w:cs="Times New Roman"/>
                      <w:color w:val="auto"/>
                      <w:sz w:val="18"/>
                      <w:szCs w:val="18"/>
                      <w:lang w:val="en-US" w:eastAsia="zh-CN"/>
                    </w:rPr>
                    <w:t>并配备</w:t>
                  </w:r>
                  <w:r>
                    <w:rPr>
                      <w:rFonts w:hint="default" w:ascii="Times New Roman" w:hAnsi="Times New Roman" w:cs="Times New Roman"/>
                      <w:color w:val="auto"/>
                      <w:sz w:val="18"/>
                      <w:szCs w:val="18"/>
                    </w:rPr>
                    <w:t>防雨、防火、防雷、防扬尘</w:t>
                  </w:r>
                  <w:r>
                    <w:rPr>
                      <w:rFonts w:hint="eastAsia" w:cs="Times New Roman"/>
                      <w:color w:val="auto"/>
                      <w:sz w:val="18"/>
                      <w:szCs w:val="18"/>
                      <w:lang w:val="en-US" w:eastAsia="zh-CN"/>
                    </w:rPr>
                    <w:t>等</w:t>
                  </w:r>
                  <w:r>
                    <w:rPr>
                      <w:rFonts w:hint="default" w:ascii="Times New Roman" w:hAnsi="Times New Roman" w:cs="Times New Roman"/>
                      <w:color w:val="auto"/>
                      <w:sz w:val="18"/>
                      <w:szCs w:val="18"/>
                    </w:rPr>
                    <w:t>装置。</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3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危险废物贮存单位应建立危险废物台账制度。</w:t>
                  </w:r>
                </w:p>
              </w:tc>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企业拟设置危险废物贮存台账制度</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pPr>
              <w:autoSpaceDE w:val="0"/>
              <w:autoSpaceDN w:val="0"/>
              <w:adjustRightInd w:val="0"/>
              <w:snapToGrid w:val="0"/>
              <w:spacing w:line="360" w:lineRule="exact"/>
              <w:jc w:val="center"/>
              <w:rPr>
                <w:rFonts w:hint="default" w:ascii="Times New Roman" w:hAnsi="Times New Roman" w:cs="Times New Roman"/>
                <w:b/>
                <w:bCs/>
                <w:color w:val="auto"/>
                <w:spacing w:val="-6"/>
                <w:kern w:val="0"/>
                <w:szCs w:val="21"/>
              </w:rPr>
            </w:pPr>
            <w:r>
              <w:rPr>
                <w:rFonts w:hint="default" w:ascii="Times New Roman" w:hAnsi="Times New Roman" w:cs="Times New Roman"/>
                <w:b/>
                <w:bCs/>
                <w:color w:val="auto"/>
                <w:spacing w:val="-6"/>
                <w:kern w:val="0"/>
                <w:szCs w:val="21"/>
              </w:rPr>
              <w:t>（</w:t>
            </w:r>
            <w:r>
              <w:rPr>
                <w:rFonts w:hint="default" w:ascii="Times New Roman" w:hAnsi="Times New Roman" w:cs="Times New Roman"/>
                <w:b/>
                <w:bCs/>
                <w:color w:val="auto"/>
                <w:spacing w:val="-6"/>
                <w:kern w:val="0"/>
                <w:szCs w:val="21"/>
                <w:lang w:val="en-US" w:eastAsia="zh-CN"/>
              </w:rPr>
              <w:t>3</w:t>
            </w:r>
            <w:r>
              <w:rPr>
                <w:rFonts w:hint="default" w:ascii="Times New Roman" w:hAnsi="Times New Roman" w:cs="Times New Roman"/>
                <w:b/>
                <w:bCs/>
                <w:color w:val="auto"/>
                <w:spacing w:val="-6"/>
                <w:kern w:val="0"/>
                <w:szCs w:val="21"/>
              </w:rPr>
              <w:t>）与《危险废物污染防治技术政策》（环发</w:t>
            </w:r>
            <w:r>
              <w:rPr>
                <w:rFonts w:hint="default" w:ascii="Times New Roman" w:hAnsi="Times New Roman" w:eastAsia="宋体" w:cs="Times New Roman"/>
                <w:b/>
                <w:bCs/>
                <w:color w:val="auto"/>
                <w:spacing w:val="-6"/>
                <w:kern w:val="0"/>
                <w:szCs w:val="21"/>
              </w:rPr>
              <w:t>〔</w:t>
            </w:r>
            <w:r>
              <w:rPr>
                <w:rFonts w:hint="default" w:ascii="Times New Roman" w:hAnsi="Times New Roman" w:cs="Times New Roman"/>
                <w:b/>
                <w:bCs/>
                <w:color w:val="auto"/>
                <w:spacing w:val="-6"/>
                <w:kern w:val="0"/>
                <w:szCs w:val="21"/>
              </w:rPr>
              <w:t>2001</w:t>
            </w:r>
            <w:r>
              <w:rPr>
                <w:rFonts w:hint="default" w:ascii="Times New Roman" w:hAnsi="Times New Roman" w:eastAsia="宋体" w:cs="Times New Roman"/>
                <w:b/>
                <w:bCs/>
                <w:color w:val="auto"/>
                <w:spacing w:val="-6"/>
                <w:kern w:val="0"/>
                <w:szCs w:val="21"/>
              </w:rPr>
              <w:t>〕</w:t>
            </w:r>
            <w:r>
              <w:rPr>
                <w:rFonts w:hint="default" w:ascii="Times New Roman" w:hAnsi="Times New Roman" w:cs="Times New Roman"/>
                <w:b/>
                <w:bCs/>
                <w:color w:val="auto"/>
                <w:spacing w:val="-6"/>
                <w:kern w:val="0"/>
                <w:szCs w:val="21"/>
              </w:rPr>
              <w:t>199号）符合性分析</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本项目与《危险废物污染防治技术政策》符合性分析</w:t>
            </w:r>
          </w:p>
          <w:tbl>
            <w:tblPr>
              <w:tblStyle w:val="18"/>
              <w:tblW w:w="7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3937"/>
              <w:gridCol w:w="2656"/>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项目</w:t>
                  </w: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规范要求</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本项目</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5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危险废物的收集和运输</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危险废物要根据其成分，用符合国家标准的专门容器分类收集。</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w:t>
                  </w:r>
                  <w:r>
                    <w:rPr>
                      <w:rFonts w:hint="default" w:ascii="Times New Roman" w:hAnsi="Times New Roman" w:cs="Times New Roman"/>
                      <w:color w:val="auto"/>
                      <w:sz w:val="18"/>
                      <w:szCs w:val="18"/>
                      <w:lang w:val="en-US" w:eastAsia="zh-CN"/>
                    </w:rPr>
                    <w:t>为废矿物油收集，采用专用的油罐车密闭收集，符合相关要求。</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r>
                    <w:rPr>
                      <w:rFonts w:hint="default" w:ascii="Times New Roman" w:hAnsi="Times New Roman" w:cs="Times New Roman"/>
                      <w:color w:val="auto"/>
                      <w:sz w:val="18"/>
                      <w:szCs w:val="18"/>
                      <w:lang w:val="en-US" w:eastAsia="zh-CN"/>
                    </w:rPr>
                    <w:t>收集的废矿物油采用钢质双层油罐储存，满足规范要求；并在油罐外张贴相应的标签，标明危险废物的名称、成分、特性、事故时的应急措施和补救方法等。</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鼓励发展安全高效的危险废物运输系统，鼓励发展各种形式的专用车辆，对危险废物的运输要求安全可靠，要严格按照危险废物运输的管理规定进行危险废物的运输，减少运输过程中的二次污染和可能造成的环境风险。</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项目采用专用油罐车运输，严格按照危险废物运输的管理规定收集运输。</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鼓励成立专业化的危险废物运输公司对危险废物实行专业化运输，运输车辆需有特殊标志。</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项目废矿物油运输均委托有资质的第三方</w:t>
                  </w:r>
                  <w:r>
                    <w:rPr>
                      <w:rFonts w:hint="default" w:ascii="Times New Roman" w:hAnsi="Times New Roman" w:cs="Times New Roman"/>
                      <w:color w:val="auto"/>
                      <w:sz w:val="18"/>
                      <w:szCs w:val="18"/>
                    </w:rPr>
                    <w:t>运输公司对危险废物实行专业化运输</w:t>
                  </w:r>
                  <w:r>
                    <w:rPr>
                      <w:rFonts w:hint="default" w:ascii="Times New Roman" w:hAnsi="Times New Roman" w:cs="Times New Roman"/>
                      <w:color w:val="auto"/>
                      <w:sz w:val="18"/>
                      <w:szCs w:val="18"/>
                      <w:lang w:eastAsia="zh-CN"/>
                    </w:rPr>
                    <w:t>。</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5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危险废物的贮存</w:t>
                  </w: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应建有堵截泄漏的裙脚</w:t>
                  </w:r>
                  <w:r>
                    <w:rPr>
                      <w:rFonts w:hint="eastAsia" w:cs="Times New Roman"/>
                      <w:color w:val="auto"/>
                      <w:sz w:val="18"/>
                      <w:szCs w:val="18"/>
                      <w:lang w:eastAsia="zh-CN"/>
                    </w:rPr>
                    <w:t>，</w:t>
                  </w:r>
                  <w:r>
                    <w:rPr>
                      <w:rFonts w:hint="default" w:ascii="Times New Roman" w:hAnsi="Times New Roman" w:cs="Times New Roman"/>
                      <w:color w:val="auto"/>
                      <w:sz w:val="18"/>
                      <w:szCs w:val="18"/>
                    </w:rPr>
                    <w:t>地面与裙脚要用坚固防渗的材料建造。应有隔离设施、报警装置和防风、防晒、防雨设施</w:t>
                  </w:r>
                  <w:r>
                    <w:rPr>
                      <w:rFonts w:hint="default" w:ascii="Times New Roman" w:hAnsi="Times New Roman" w:cs="Times New Roman"/>
                      <w:color w:val="auto"/>
                      <w:sz w:val="18"/>
                      <w:szCs w:val="18"/>
                      <w:lang w:eastAsia="zh-CN"/>
                    </w:rPr>
                    <w:t>。</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废矿物油储存区四周设置</w:t>
                  </w:r>
                  <w:r>
                    <w:rPr>
                      <w:rFonts w:hint="eastAsia" w:cs="Times New Roman"/>
                      <w:color w:val="auto"/>
                      <w:sz w:val="18"/>
                      <w:szCs w:val="18"/>
                      <w:lang w:val="en-US" w:eastAsia="zh-CN"/>
                    </w:rPr>
                    <w:t>8</w:t>
                  </w:r>
                  <w:r>
                    <w:rPr>
                      <w:rFonts w:hint="default" w:ascii="Times New Roman" w:hAnsi="Times New Roman" w:cs="Times New Roman"/>
                      <w:color w:val="auto"/>
                      <w:sz w:val="18"/>
                      <w:szCs w:val="18"/>
                      <w:lang w:val="en-US" w:eastAsia="zh-CN"/>
                    </w:rPr>
                    <w:t>0cm高的围堰，储存间为封闭式建设，</w:t>
                  </w:r>
                  <w:r>
                    <w:rPr>
                      <w:rFonts w:hint="eastAsia" w:cs="Times New Roman"/>
                      <w:color w:val="auto"/>
                      <w:sz w:val="18"/>
                      <w:szCs w:val="18"/>
                      <w:lang w:val="en-US" w:eastAsia="zh-CN"/>
                    </w:rPr>
                    <w:t>并设置隔离设施、报警装置，</w:t>
                  </w:r>
                  <w:r>
                    <w:rPr>
                      <w:rFonts w:hint="default" w:ascii="Times New Roman" w:hAnsi="Times New Roman" w:cs="Times New Roman"/>
                      <w:color w:val="auto"/>
                      <w:sz w:val="18"/>
                      <w:szCs w:val="18"/>
                      <w:lang w:val="en-US" w:eastAsia="zh-CN"/>
                    </w:rPr>
                    <w:t>满足防风、防晒、防雨的要求</w:t>
                  </w:r>
                  <w:r>
                    <w:rPr>
                      <w:rFonts w:hint="eastAsia" w:cs="Times New Roman"/>
                      <w:color w:val="auto"/>
                      <w:sz w:val="18"/>
                      <w:szCs w:val="18"/>
                      <w:lang w:val="en-US" w:eastAsia="zh-CN"/>
                    </w:rPr>
                    <w:t>。</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基础防渗层为粘土层的</w:t>
                  </w:r>
                  <w:r>
                    <w:rPr>
                      <w:rFonts w:hint="eastAsia" w:cs="Times New Roman"/>
                      <w:color w:val="auto"/>
                      <w:sz w:val="18"/>
                      <w:szCs w:val="18"/>
                      <w:lang w:eastAsia="zh-CN"/>
                    </w:rPr>
                    <w:t>，</w:t>
                  </w:r>
                  <w:r>
                    <w:rPr>
                      <w:rFonts w:hint="default" w:ascii="Times New Roman" w:hAnsi="Times New Roman" w:cs="Times New Roman"/>
                      <w:color w:val="auto"/>
                      <w:sz w:val="18"/>
                      <w:szCs w:val="18"/>
                    </w:rPr>
                    <w:t>其厚度应在1米以上，渗透系数应小于1.0</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厘米/秒；基础防渗层也可用厚度在2毫米以上的高密度聚乙烯或其他人工防渗材料组成，渗透系数应小于1.0</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－10</w:t>
                  </w:r>
                  <w:r>
                    <w:rPr>
                      <w:rFonts w:hint="default" w:ascii="Times New Roman" w:hAnsi="Times New Roman" w:cs="Times New Roman"/>
                      <w:color w:val="auto"/>
                      <w:sz w:val="18"/>
                      <w:szCs w:val="18"/>
                    </w:rPr>
                    <w:t>厘米/秒</w:t>
                  </w:r>
                  <w:r>
                    <w:rPr>
                      <w:rFonts w:hint="default" w:ascii="Times New Roman" w:hAnsi="Times New Roman" w:cs="Times New Roman"/>
                      <w:color w:val="auto"/>
                      <w:sz w:val="18"/>
                      <w:szCs w:val="18"/>
                      <w:lang w:eastAsia="zh-CN"/>
                    </w:rPr>
                    <w:t>。</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项目防渗采用“</w:t>
                  </w:r>
                  <w:r>
                    <w:rPr>
                      <w:rFonts w:hint="eastAsia" w:cs="Times New Roman"/>
                      <w:color w:val="auto"/>
                      <w:sz w:val="18"/>
                      <w:szCs w:val="18"/>
                      <w:lang w:val="en-US" w:eastAsia="zh-CN"/>
                    </w:rPr>
                    <w:t>20cm混凝土硬化+5mm防渗砂浆+2mm高密度聚乙烯地坪漆</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渗透系数小于1.0</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lang w:val="en-US" w:eastAsia="zh-CN"/>
                    </w:rPr>
                    <w:t>-</w:t>
                  </w:r>
                  <w:r>
                    <w:rPr>
                      <w:rFonts w:hint="default" w:ascii="Times New Roman" w:hAnsi="Times New Roman" w:cs="Times New Roman"/>
                      <w:color w:val="auto"/>
                      <w:sz w:val="18"/>
                      <w:szCs w:val="18"/>
                      <w:vertAlign w:val="superscript"/>
                    </w:rPr>
                    <w:t>10</w:t>
                  </w:r>
                  <w:r>
                    <w:rPr>
                      <w:rFonts w:hint="default" w:ascii="Times New Roman" w:hAnsi="Times New Roman" w:cs="Times New Roman"/>
                      <w:color w:val="auto"/>
                      <w:sz w:val="18"/>
                      <w:szCs w:val="18"/>
                    </w:rPr>
                    <w:t>厘米/秒</w:t>
                  </w:r>
                  <w:r>
                    <w:rPr>
                      <w:rFonts w:hint="default" w:ascii="Times New Roman" w:hAnsi="Times New Roman" w:cs="Times New Roman"/>
                      <w:color w:val="auto"/>
                      <w:sz w:val="18"/>
                      <w:szCs w:val="18"/>
                      <w:lang w:eastAsia="zh-CN"/>
                    </w:rPr>
                    <w:t>。</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须有泄漏液体收集装置及气体导出口和气体净化装置</w:t>
                  </w:r>
                  <w:r>
                    <w:rPr>
                      <w:rFonts w:hint="default" w:ascii="Times New Roman" w:hAnsi="Times New Roman" w:cs="Times New Roman"/>
                      <w:color w:val="auto"/>
                      <w:sz w:val="18"/>
                      <w:szCs w:val="18"/>
                      <w:lang w:eastAsia="zh-CN"/>
                    </w:rPr>
                    <w:t>。</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储油区下方设置</w:t>
                  </w:r>
                  <w:r>
                    <w:rPr>
                      <w:rFonts w:hint="eastAsia" w:cs="Times New Roman"/>
                      <w:color w:val="auto"/>
                      <w:sz w:val="18"/>
                      <w:szCs w:val="18"/>
                      <w:lang w:val="en-US" w:eastAsia="zh-CN"/>
                    </w:rPr>
                    <w:t>8</w:t>
                  </w:r>
                  <w:r>
                    <w:rPr>
                      <w:rFonts w:hint="default" w:ascii="Times New Roman" w:hAnsi="Times New Roman" w:cs="Times New Roman"/>
                      <w:color w:val="auto"/>
                      <w:sz w:val="18"/>
                      <w:szCs w:val="18"/>
                      <w:lang w:val="en-US" w:eastAsia="zh-CN"/>
                    </w:rPr>
                    <w:t>0cm高的围堰，防止</w:t>
                  </w:r>
                  <w:r>
                    <w:rPr>
                      <w:rFonts w:hint="default" w:ascii="Times New Roman" w:hAnsi="Times New Roman" w:cs="Times New Roman"/>
                      <w:color w:val="auto"/>
                      <w:sz w:val="18"/>
                      <w:szCs w:val="18"/>
                    </w:rPr>
                    <w:t>泄漏液体</w:t>
                  </w:r>
                  <w:r>
                    <w:rPr>
                      <w:rFonts w:hint="default" w:ascii="Times New Roman" w:hAnsi="Times New Roman" w:cs="Times New Roman"/>
                      <w:color w:val="auto"/>
                      <w:sz w:val="18"/>
                      <w:szCs w:val="18"/>
                      <w:lang w:val="en-US" w:eastAsia="zh-CN"/>
                    </w:rPr>
                    <w:t>漫流。</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用于存放液体、半固体危险废物的地方，还须有耐腐蚀的硬化地面，地面无裂隙</w:t>
                  </w:r>
                  <w:r>
                    <w:rPr>
                      <w:rFonts w:hint="default" w:ascii="Times New Roman" w:hAnsi="Times New Roman" w:cs="Times New Roman"/>
                      <w:color w:val="auto"/>
                      <w:sz w:val="18"/>
                      <w:szCs w:val="18"/>
                      <w:lang w:eastAsia="zh-CN"/>
                    </w:rPr>
                    <w:t>。</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项目储油罐区地面将采取严格的防腐防渗措施，确保地面无裂隙。</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不相容的危险废物堆放区必须有隔离间隔断</w:t>
                  </w:r>
                  <w:r>
                    <w:rPr>
                      <w:rFonts w:hint="default" w:ascii="Times New Roman" w:hAnsi="Times New Roman" w:cs="Times New Roman"/>
                      <w:color w:val="auto"/>
                      <w:sz w:val="18"/>
                      <w:szCs w:val="18"/>
                      <w:lang w:eastAsia="zh-CN"/>
                    </w:rPr>
                    <w:t>。</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项目仅收集储存废矿物油，无其他不相容的危险废物。</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贮存易燃易爆的危险废物的场所应配备消防设备，贮存剧毒危险废物的场所必须有专人24小时看管。</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废矿物油属于易燃物资，储存间配备有消防沙、消防水池和灭火器等消防设备。</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bl>
          <w:p>
            <w:pPr>
              <w:keepNext w:val="0"/>
              <w:keepLines w:val="0"/>
              <w:pageBreakBefore w:val="0"/>
              <w:widowControl w:val="0"/>
              <w:numPr>
                <w:ilvl w:val="0"/>
                <w:numId w:val="7"/>
              </w:numPr>
              <w:kinsoku/>
              <w:wordWrap/>
              <w:overflowPunct/>
              <w:topLinePunct w:val="0"/>
              <w:autoSpaceDE w:val="0"/>
              <w:autoSpaceDN w:val="0"/>
              <w:bidi w:val="0"/>
              <w:adjustRightInd w:val="0"/>
              <w:snapToGrid w:val="0"/>
              <w:spacing w:line="360" w:lineRule="exact"/>
              <w:ind w:firstLine="398" w:firstLineChars="200"/>
              <w:jc w:val="both"/>
              <w:textAlignment w:val="auto"/>
              <w:rPr>
                <w:rFonts w:hint="default" w:ascii="Times New Roman" w:hAnsi="Times New Roman" w:cs="Times New Roman"/>
                <w:b/>
                <w:bCs/>
                <w:color w:val="auto"/>
                <w:spacing w:val="-6"/>
                <w:kern w:val="0"/>
                <w:szCs w:val="21"/>
              </w:rPr>
            </w:pPr>
            <w:r>
              <w:rPr>
                <w:rFonts w:hint="default" w:ascii="Times New Roman" w:hAnsi="Times New Roman" w:cs="Times New Roman"/>
                <w:b/>
                <w:bCs/>
                <w:color w:val="auto"/>
                <w:spacing w:val="-6"/>
                <w:kern w:val="0"/>
                <w:szCs w:val="21"/>
              </w:rPr>
              <w:fldChar w:fldCharType="begin"/>
            </w:r>
            <w:r>
              <w:rPr>
                <w:rFonts w:hint="default" w:ascii="Times New Roman" w:hAnsi="Times New Roman" w:cs="Times New Roman"/>
                <w:b/>
                <w:bCs/>
                <w:color w:val="auto"/>
                <w:spacing w:val="-6"/>
                <w:kern w:val="0"/>
                <w:szCs w:val="21"/>
              </w:rPr>
              <w:instrText xml:space="preserve"> HYPERLINK "http://www.mee.gov.cn/ywgz/fgbz/bz/bzwb/other/hjbhgc/201102/t20110222_201037.htm" </w:instrText>
            </w:r>
            <w:r>
              <w:rPr>
                <w:rFonts w:hint="default" w:ascii="Times New Roman" w:hAnsi="Times New Roman" w:cs="Times New Roman"/>
                <w:b/>
                <w:bCs/>
                <w:color w:val="auto"/>
                <w:spacing w:val="-6"/>
                <w:kern w:val="0"/>
                <w:szCs w:val="21"/>
              </w:rPr>
              <w:fldChar w:fldCharType="separate"/>
            </w:r>
            <w:r>
              <w:rPr>
                <w:rFonts w:hint="default" w:ascii="Times New Roman" w:hAnsi="Times New Roman" w:cs="Times New Roman"/>
                <w:b/>
                <w:bCs/>
                <w:color w:val="auto"/>
                <w:spacing w:val="-6"/>
                <w:kern w:val="0"/>
                <w:szCs w:val="21"/>
              </w:rPr>
              <w:t>废矿物油回收利用污染控制技术规范（HJ 607-2011）</w:t>
            </w:r>
            <w:r>
              <w:rPr>
                <w:rFonts w:hint="default" w:ascii="Times New Roman" w:hAnsi="Times New Roman" w:cs="Times New Roman"/>
                <w:b/>
                <w:bCs/>
                <w:color w:val="auto"/>
                <w:spacing w:val="-6"/>
                <w:kern w:val="0"/>
                <w:szCs w:val="21"/>
              </w:rPr>
              <w:fldChar w:fldCharType="end"/>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本项目与《废矿物油回收利用污染控制技术规范》符合性分析</w:t>
            </w:r>
          </w:p>
          <w:tbl>
            <w:tblPr>
              <w:tblStyle w:val="18"/>
              <w:tblW w:w="7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983"/>
              <w:gridCol w:w="2649"/>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50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项目</w:t>
                  </w:r>
                </w:p>
              </w:tc>
              <w:tc>
                <w:tcPr>
                  <w:tcW w:w="398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规范要求</w:t>
                  </w: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本项目</w:t>
                  </w:r>
                </w:p>
              </w:tc>
              <w:tc>
                <w:tcPr>
                  <w:tcW w:w="62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50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一般要求</w:t>
                  </w:r>
                </w:p>
              </w:tc>
              <w:tc>
                <w:tcPr>
                  <w:tcW w:w="398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6.1.1 废矿物油收集容器应完好无损，没有腐蚀、污染、损毁或其他能导致其使用效能减弱的缺陷。</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6.1.2 废矿物油收集过程产生的废旧容器应按照危险废物进行处置，仍可转作他用的，应经过消除污染的处理。</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6.1.3 废矿物油应在产生源收集，不宜在产生源收集的应设置专用设施集中收集。</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6.1.4 废矿物油收集过程产生的含油棉、含油毡等含废矿物油废物应一并收集。</w:t>
                  </w: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both"/>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项目</w:t>
                  </w:r>
                  <w:r>
                    <w:rPr>
                      <w:rFonts w:hint="default" w:ascii="Times New Roman" w:hAnsi="Times New Roman" w:cs="Times New Roman"/>
                      <w:color w:val="auto"/>
                      <w:sz w:val="18"/>
                      <w:szCs w:val="18"/>
                      <w:lang w:val="en-US" w:eastAsia="zh-CN"/>
                    </w:rPr>
                    <w:t>采用专用的油罐车密闭收集</w:t>
                  </w:r>
                  <w:r>
                    <w:rPr>
                      <w:rFonts w:hint="eastAsia" w:cs="Times New Roman"/>
                      <w:color w:val="auto"/>
                      <w:sz w:val="18"/>
                      <w:szCs w:val="18"/>
                      <w:lang w:val="en-US" w:eastAsia="zh-CN"/>
                    </w:rPr>
                    <w:t>、</w:t>
                  </w:r>
                  <w:r>
                    <w:rPr>
                      <w:rFonts w:hint="eastAsia" w:cs="Times New Roman"/>
                      <w:b w:val="0"/>
                      <w:bCs w:val="0"/>
                      <w:color w:val="auto"/>
                      <w:sz w:val="18"/>
                      <w:szCs w:val="18"/>
                      <w:lang w:val="en-US" w:eastAsia="zh-CN"/>
                    </w:rPr>
                    <w:t>卧式钢制双层罐暂存，没有腐蚀、污染、损毁或其他能导致其使用效能减弱的缺陷。废矿物油收集过程产生的废旧容器、含油棉、含油毡等将按照危险废物进行收集处置。</w:t>
                  </w:r>
                </w:p>
              </w:tc>
              <w:tc>
                <w:tcPr>
                  <w:tcW w:w="62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3" w:hRule="atLeast"/>
              </w:trPr>
              <w:tc>
                <w:tcPr>
                  <w:tcW w:w="50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贮存污染控制技术要求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8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 废矿物油贮存污染控制应符合GB 18597中的有关规定。</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 废矿物油贮存设施的设计、建设除符合危险废物贮存设计原则外，还应符合有关消防和危险品贮存设计规范。</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7.3 废矿物油贮存设施应远离火源，并避免高温和阳光直射。</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7.4 废矿物油应使用专用设施贮存，贮存前应进行检验，不应与不相容的废物混合，实行分类存放。</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 废矿物油贮存设施内地面应作防渗处理，并建设废矿物油收集和导流系统，用于收集不慎泄漏的废矿物油。</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 废矿物油容器盛装液体废矿物油时，应留有足够的膨胀余量，预留容积应不少于总容积的5%。</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7.7 已盛装废矿物油的容器应密封，贮油油罐应设置呼吸孔，防止气体膨胀，并安装防护罩，防止杂质落入。</w:t>
                  </w: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本项目</w:t>
                  </w:r>
                  <w:r>
                    <w:rPr>
                      <w:rFonts w:hint="default" w:ascii="Times New Roman" w:hAnsi="Times New Roman" w:cs="Times New Roman"/>
                      <w:color w:val="auto"/>
                      <w:sz w:val="18"/>
                      <w:szCs w:val="18"/>
                      <w:lang w:val="en-US" w:eastAsia="zh-CN"/>
                    </w:rPr>
                    <w:t>废矿物油贮存污染控制符合GB 18597中的有关规定。</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cs="Times New Roman"/>
                      <w:color w:val="auto"/>
                      <w:sz w:val="18"/>
                      <w:szCs w:val="18"/>
                      <w:lang w:val="en-US" w:eastAsia="zh-CN"/>
                    </w:rPr>
                  </w:pPr>
                  <w:r>
                    <w:rPr>
                      <w:rFonts w:hint="eastAsia" w:cs="Times New Roman"/>
                      <w:color w:val="auto"/>
                      <w:sz w:val="18"/>
                      <w:szCs w:val="18"/>
                      <w:lang w:val="en-US" w:eastAsia="zh-CN"/>
                    </w:rPr>
                    <w:t>项目</w:t>
                  </w:r>
                  <w:r>
                    <w:rPr>
                      <w:rFonts w:hint="default" w:ascii="Times New Roman" w:hAnsi="Times New Roman" w:cs="Times New Roman"/>
                      <w:color w:val="auto"/>
                      <w:sz w:val="18"/>
                      <w:szCs w:val="18"/>
                      <w:lang w:val="en-US" w:eastAsia="zh-CN"/>
                    </w:rPr>
                    <w:t>贮存设施的设计、建设</w:t>
                  </w:r>
                  <w:r>
                    <w:rPr>
                      <w:rFonts w:hint="eastAsia" w:cs="Times New Roman"/>
                      <w:color w:val="auto"/>
                      <w:sz w:val="18"/>
                      <w:szCs w:val="18"/>
                      <w:lang w:val="en-US" w:eastAsia="zh-CN"/>
                    </w:rPr>
                    <w:t>均严格按照</w:t>
                  </w:r>
                  <w:r>
                    <w:rPr>
                      <w:rFonts w:hint="default" w:ascii="Times New Roman" w:hAnsi="Times New Roman" w:cs="Times New Roman"/>
                      <w:color w:val="auto"/>
                      <w:sz w:val="18"/>
                      <w:szCs w:val="18"/>
                      <w:lang w:val="en-US" w:eastAsia="zh-CN"/>
                    </w:rPr>
                    <w:t>危险废物贮存设计</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消防和危险品贮存设计规范</w:t>
                  </w:r>
                  <w:r>
                    <w:rPr>
                      <w:rFonts w:hint="eastAsia" w:cs="Times New Roman"/>
                      <w:color w:val="auto"/>
                      <w:sz w:val="18"/>
                      <w:szCs w:val="18"/>
                      <w:lang w:val="en-US" w:eastAsia="zh-CN"/>
                    </w:rPr>
                    <w:t>执行。贮存设施周围无火源。</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cs="Times New Roman"/>
                      <w:color w:val="auto"/>
                      <w:sz w:val="18"/>
                      <w:szCs w:val="18"/>
                      <w:lang w:val="en-US" w:eastAsia="zh-CN"/>
                    </w:rPr>
                  </w:pPr>
                  <w:r>
                    <w:rPr>
                      <w:rFonts w:hint="eastAsia" w:cs="Times New Roman"/>
                      <w:color w:val="auto"/>
                      <w:sz w:val="18"/>
                      <w:szCs w:val="18"/>
                      <w:lang w:val="en-US" w:eastAsia="zh-CN"/>
                    </w:rPr>
                    <w:t>项目采用专用储罐储存，经收集废机油，不涉及与不相容的废物混合。</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cs="Times New Roman"/>
                      <w:color w:val="auto"/>
                      <w:sz w:val="18"/>
                      <w:szCs w:val="18"/>
                      <w:lang w:val="en-US" w:eastAsia="zh-CN"/>
                    </w:rPr>
                  </w:pPr>
                  <w:r>
                    <w:rPr>
                      <w:rFonts w:hint="eastAsia" w:cs="Times New Roman"/>
                      <w:color w:val="auto"/>
                      <w:sz w:val="18"/>
                      <w:szCs w:val="18"/>
                      <w:lang w:val="en-US" w:eastAsia="zh-CN"/>
                    </w:rPr>
                    <w:t>项目暂存间将按重点防渗要求建设，并建设废矿物油收集和导流系统。项目储油罐设计最大储量80%即对外转运，预留容积大于总容积的5%。</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cs="Times New Roman"/>
                      <w:color w:val="auto"/>
                      <w:sz w:val="18"/>
                      <w:szCs w:val="18"/>
                      <w:lang w:val="en-US" w:eastAsia="zh-CN"/>
                    </w:rPr>
                  </w:pPr>
                  <w:r>
                    <w:rPr>
                      <w:rFonts w:hint="eastAsia" w:cs="Times New Roman"/>
                      <w:color w:val="auto"/>
                      <w:sz w:val="18"/>
                      <w:szCs w:val="18"/>
                      <w:lang w:val="en-US" w:eastAsia="zh-CN"/>
                    </w:rPr>
                    <w:t>储油罐设置有呼吸孔和防护罩。</w:t>
                  </w:r>
                </w:p>
              </w:tc>
              <w:tc>
                <w:tcPr>
                  <w:tcW w:w="62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pPr>
              <w:numPr>
                <w:ilvl w:val="0"/>
                <w:numId w:val="3"/>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选址的合理性分析</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2" w:firstLineChars="200"/>
              <w:jc w:val="left"/>
              <w:textAlignment w:val="auto"/>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1</w:t>
            </w: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外环境关系</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6" w:lineRule="exact"/>
              <w:ind w:right="-53" w:rightChars="-25" w:firstLine="420" w:firstLineChars="200"/>
              <w:jc w:val="left"/>
              <w:textAlignment w:val="auto"/>
              <w:rPr>
                <w:rFonts w:hint="default" w:cs="Times New Roman"/>
                <w:color w:val="auto"/>
                <w:kern w:val="0"/>
                <w:szCs w:val="21"/>
                <w:lang w:val="en-US" w:eastAsia="zh-CN"/>
              </w:rPr>
            </w:pPr>
            <w:r>
              <w:rPr>
                <w:rFonts w:hint="default" w:ascii="Times New Roman" w:hAnsi="Times New Roman" w:cs="Times New Roman"/>
                <w:color w:val="auto"/>
                <w:kern w:val="0"/>
                <w:szCs w:val="21"/>
              </w:rPr>
              <w:t>项目</w:t>
            </w:r>
            <w:r>
              <w:rPr>
                <w:rFonts w:hint="default" w:ascii="Times New Roman" w:hAnsi="Times New Roman" w:cs="Times New Roman"/>
                <w:color w:val="auto"/>
                <w:kern w:val="0"/>
                <w:szCs w:val="21"/>
                <w:lang w:val="en-US" w:eastAsia="zh-CN"/>
              </w:rPr>
              <w:t>位于普光经开区西区的柳池功能区南部，租用</w:t>
            </w:r>
            <w:r>
              <w:rPr>
                <w:rFonts w:hint="eastAsia" w:cs="Times New Roman"/>
                <w:color w:val="auto"/>
                <w:kern w:val="0"/>
                <w:szCs w:val="21"/>
                <w:lang w:val="en-US" w:eastAsia="zh-CN"/>
              </w:rPr>
              <w:t>四川君璜建材有限公司</w:t>
            </w:r>
            <w:r>
              <w:rPr>
                <w:rFonts w:hint="default" w:ascii="Times New Roman" w:hAnsi="Times New Roman" w:cs="Times New Roman"/>
                <w:color w:val="auto"/>
                <w:kern w:val="0"/>
                <w:szCs w:val="21"/>
                <w:lang w:val="en-US" w:eastAsia="zh-CN"/>
              </w:rPr>
              <w:t>（已停产）闲置</w:t>
            </w:r>
            <w:r>
              <w:rPr>
                <w:rFonts w:hint="eastAsia" w:cs="Times New Roman"/>
                <w:color w:val="auto"/>
                <w:kern w:val="0"/>
                <w:szCs w:val="21"/>
                <w:lang w:val="en-US" w:eastAsia="zh-CN"/>
              </w:rPr>
              <w:t>空地</w:t>
            </w:r>
            <w:r>
              <w:rPr>
                <w:rFonts w:hint="default" w:ascii="Times New Roman" w:hAnsi="Times New Roman" w:cs="Times New Roman"/>
                <w:color w:val="auto"/>
                <w:kern w:val="0"/>
                <w:szCs w:val="21"/>
                <w:lang w:val="en-US" w:eastAsia="zh-CN"/>
              </w:rPr>
              <w:t>建设。</w:t>
            </w:r>
            <w:r>
              <w:rPr>
                <w:rFonts w:hint="default" w:ascii="Times New Roman" w:hAnsi="Times New Roman" w:cs="Times New Roman"/>
                <w:color w:val="auto"/>
                <w:kern w:val="0"/>
                <w:szCs w:val="21"/>
                <w:lang w:eastAsia="zh-CN"/>
              </w:rPr>
              <w:t>根据环评调查，</w:t>
            </w:r>
            <w:r>
              <w:rPr>
                <w:rFonts w:hint="eastAsia" w:cs="Times New Roman"/>
                <w:color w:val="auto"/>
                <w:kern w:val="0"/>
                <w:szCs w:val="21"/>
                <w:lang w:val="en-US" w:eastAsia="zh-CN"/>
              </w:rPr>
              <w:t>四川君璜建材有限公司</w:t>
            </w:r>
            <w:r>
              <w:rPr>
                <w:rFonts w:hint="default" w:ascii="Times New Roman" w:hAnsi="Times New Roman" w:cs="Times New Roman"/>
                <w:color w:val="auto"/>
                <w:kern w:val="0"/>
                <w:szCs w:val="21"/>
                <w:lang w:val="en-US" w:eastAsia="zh-CN"/>
              </w:rPr>
              <w:t>厂区</w:t>
            </w:r>
            <w:r>
              <w:rPr>
                <w:rFonts w:hint="eastAsia" w:cs="Times New Roman"/>
                <w:color w:val="auto"/>
                <w:kern w:val="0"/>
                <w:szCs w:val="21"/>
                <w:lang w:val="en-US" w:eastAsia="zh-CN"/>
              </w:rPr>
              <w:t>东北面为园区四号干道，西北面为园区三号干道，西南面为园区二号干道，东南面与“四川吉晶安新材料科技有限公司”相邻。四号干道东北侧的“四川锐翼合新材料有限公司”“柳池中平钢化玻璃厂”“宣汉绿宝农化有限公司”均位于四川君璜建材有限公司东北面，距离分别约30m、30m、40m；四号干道东北侧的“达州市国鸿节能建材有限公司”位于四川君璜建材有限公司北面，距离约50m，四号干道东北侧的“四川广川铝材有限公司”位于四川君璜建材有限公司西北面，距离约170m。三号干道西面的“达州烟叶仓储中心”位于四川君璜建材有限公司西面，距离约25m。二号干道南面为“达州市拓普节能建材有限公司”，距离约20m。与东南面的“四川海洋塑胶有限公司”距离约65m。与西南面的“园区安置房司”距离约60m。与东南面的“新马水库”距离约460m。</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6" w:lineRule="exact"/>
              <w:ind w:right="-53" w:rightChars="-25" w:firstLine="420" w:firstLineChars="200"/>
              <w:jc w:val="left"/>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本项目租用四川君璜建材有限公司建设，用地面积约200m²，全部建设储油车间，位于公司北部，进厂大门位于车间南面。项目使用区域位于四川君璜建材有限公司北部，其</w:t>
            </w:r>
            <w:r>
              <w:rPr>
                <w:rFonts w:hint="eastAsia" w:cs="Times New Roman"/>
                <w:b/>
                <w:bCs/>
                <w:color w:val="auto"/>
                <w:kern w:val="0"/>
                <w:szCs w:val="21"/>
                <w:lang w:val="en-US" w:eastAsia="zh-CN"/>
              </w:rPr>
              <w:t>东北面</w:t>
            </w:r>
            <w:r>
              <w:rPr>
                <w:rFonts w:hint="eastAsia" w:cs="Times New Roman"/>
                <w:color w:val="auto"/>
                <w:kern w:val="0"/>
                <w:szCs w:val="21"/>
                <w:lang w:val="en-US" w:eastAsia="zh-CN"/>
              </w:rPr>
              <w:t>为四川君璜建材有限公司锅炉房（已停产，已拆除燃气、供热等管道，待找到合适的买家即把锅炉出售）、产品堆场（现堆放有部分原生产的产品）；</w:t>
            </w:r>
            <w:r>
              <w:rPr>
                <w:rFonts w:hint="eastAsia" w:cs="Times New Roman"/>
                <w:b/>
                <w:bCs/>
                <w:color w:val="auto"/>
                <w:kern w:val="0"/>
                <w:szCs w:val="21"/>
                <w:lang w:val="en-US" w:eastAsia="zh-CN"/>
              </w:rPr>
              <w:t>西北面</w:t>
            </w:r>
            <w:r>
              <w:rPr>
                <w:rFonts w:hint="eastAsia" w:cs="Times New Roman"/>
                <w:color w:val="auto"/>
                <w:kern w:val="0"/>
                <w:szCs w:val="21"/>
                <w:lang w:val="en-US" w:eastAsia="zh-CN"/>
              </w:rPr>
              <w:t>临公司厂界，界外为三号干道，项目区距离西面的“达州烟叶仓储中心”约28m；</w:t>
            </w:r>
            <w:r>
              <w:rPr>
                <w:rFonts w:hint="eastAsia" w:cs="Times New Roman"/>
                <w:b/>
                <w:bCs/>
                <w:color w:val="auto"/>
                <w:kern w:val="0"/>
                <w:szCs w:val="21"/>
                <w:lang w:val="en-US" w:eastAsia="zh-CN"/>
              </w:rPr>
              <w:t>西南面、南面</w:t>
            </w:r>
            <w:r>
              <w:rPr>
                <w:rFonts w:hint="eastAsia" w:cs="Times New Roman"/>
                <w:color w:val="auto"/>
                <w:kern w:val="0"/>
                <w:szCs w:val="21"/>
                <w:lang w:val="en-US" w:eastAsia="zh-CN"/>
              </w:rPr>
              <w:t>为四川君璜建材有限公司生产车间，其中</w:t>
            </w:r>
            <w:r>
              <w:rPr>
                <w:rFonts w:hint="eastAsia" w:cs="Times New Roman"/>
                <w:b w:val="0"/>
                <w:bCs w:val="0"/>
                <w:color w:val="auto"/>
                <w:kern w:val="0"/>
                <w:szCs w:val="21"/>
                <w:lang w:val="en-US" w:eastAsia="zh-CN"/>
              </w:rPr>
              <w:t>西南面</w:t>
            </w:r>
            <w:r>
              <w:rPr>
                <w:rFonts w:hint="eastAsia" w:cs="Times New Roman"/>
                <w:color w:val="auto"/>
                <w:kern w:val="0"/>
                <w:szCs w:val="21"/>
                <w:lang w:val="en-US" w:eastAsia="zh-CN"/>
              </w:rPr>
              <w:t>相邻的车间目前闲置，南面车间距离约30m，目前外租给“晶星玻纤厂”；</w:t>
            </w:r>
            <w:r>
              <w:rPr>
                <w:rFonts w:hint="eastAsia" w:cs="Times New Roman"/>
                <w:b/>
                <w:bCs/>
                <w:color w:val="auto"/>
                <w:kern w:val="0"/>
                <w:szCs w:val="21"/>
                <w:lang w:val="en-US" w:eastAsia="zh-CN"/>
              </w:rPr>
              <w:t>东面</w:t>
            </w:r>
            <w:r>
              <w:rPr>
                <w:rFonts w:hint="eastAsia" w:cs="Times New Roman"/>
                <w:color w:val="auto"/>
                <w:kern w:val="0"/>
                <w:szCs w:val="21"/>
                <w:lang w:val="en-US" w:eastAsia="zh-CN"/>
              </w:rPr>
              <w:t>为四川君璜建材有限公司辅助用房（现为一木屑加工厂），距离约10m；</w:t>
            </w:r>
            <w:r>
              <w:rPr>
                <w:rFonts w:hint="eastAsia" w:cs="Times New Roman"/>
                <w:b/>
                <w:bCs/>
                <w:color w:val="auto"/>
                <w:kern w:val="0"/>
                <w:szCs w:val="21"/>
                <w:lang w:val="en-US" w:eastAsia="zh-CN"/>
              </w:rPr>
              <w:t>西南面</w:t>
            </w:r>
            <w:r>
              <w:rPr>
                <w:rFonts w:hint="eastAsia" w:cs="Times New Roman"/>
                <w:color w:val="auto"/>
                <w:kern w:val="0"/>
                <w:szCs w:val="21"/>
                <w:lang w:val="en-US" w:eastAsia="zh-CN"/>
              </w:rPr>
              <w:t>距离四川君璜建材有限公司办公房约105m。项目区距离东南面“四川吉晶安新材料科技有限公司”“四川海洋塑胶有限公司”分别约70m、130m；距离东面“宣汉绿宝农化有限公司”约120m；距离东北面“四川锐翼合新材料有限公司”“柳池中平钢化玻璃厂”分别约80m、90m；距离北面“达州市国鸿节能建材有限公司”约90m；距离西北面“四川广川铝材有限公司”约190m；距离南面“达州市拓普节能建材有限公司”约180m；距离西南面的“园区安置房”约205m；距离东南面的“新马水库”约520m。</w:t>
            </w:r>
            <w:r>
              <w:rPr>
                <w:rFonts w:hint="default" w:ascii="Times New Roman" w:hAnsi="Times New Roman" w:cs="Times New Roman"/>
                <w:color w:val="auto"/>
                <w:kern w:val="0"/>
                <w:szCs w:val="21"/>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2" w:firstLineChars="20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2</w:t>
            </w: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选址合理性分析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6" w:lineRule="exact"/>
              <w:ind w:right="-53" w:rightChars="-25"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①项目租用</w:t>
            </w:r>
            <w:r>
              <w:rPr>
                <w:rFonts w:hint="eastAsia" w:cs="Times New Roman"/>
                <w:color w:val="auto"/>
                <w:kern w:val="0"/>
                <w:szCs w:val="21"/>
                <w:lang w:val="en-US" w:eastAsia="zh-CN"/>
              </w:rPr>
              <w:t>四川君璜建材有限公司</w:t>
            </w:r>
            <w:r>
              <w:rPr>
                <w:rFonts w:hint="default" w:ascii="Times New Roman" w:hAnsi="Times New Roman" w:cs="Times New Roman"/>
                <w:color w:val="auto"/>
                <w:kern w:val="0"/>
                <w:szCs w:val="21"/>
                <w:lang w:val="en-US" w:eastAsia="zh-CN"/>
              </w:rPr>
              <w:t>（已停产）闲置</w:t>
            </w:r>
            <w:r>
              <w:rPr>
                <w:rFonts w:hint="eastAsia" w:cs="Times New Roman"/>
                <w:color w:val="auto"/>
                <w:kern w:val="0"/>
                <w:szCs w:val="21"/>
                <w:lang w:val="en-US" w:eastAsia="zh-CN"/>
              </w:rPr>
              <w:t>空地</w:t>
            </w:r>
            <w:r>
              <w:rPr>
                <w:rFonts w:hint="default" w:ascii="Times New Roman" w:hAnsi="Times New Roman" w:cs="Times New Roman"/>
                <w:color w:val="auto"/>
                <w:kern w:val="0"/>
                <w:szCs w:val="21"/>
                <w:lang w:val="en-US" w:eastAsia="zh-CN"/>
              </w:rPr>
              <w:t>建设，不增加用地，该地使用性质</w:t>
            </w:r>
            <w:r>
              <w:rPr>
                <w:rFonts w:hint="default" w:ascii="Times New Roman" w:hAnsi="Times New Roman" w:cs="Times New Roman"/>
                <w:color w:val="auto"/>
                <w:kern w:val="0"/>
                <w:szCs w:val="21"/>
                <w:lang w:eastAsia="zh-CN"/>
              </w:rPr>
              <w:t>属于工业用地，符合</w:t>
            </w:r>
            <w:r>
              <w:rPr>
                <w:rFonts w:hint="default" w:ascii="Times New Roman" w:hAnsi="Times New Roman" w:cs="Times New Roman"/>
                <w:color w:val="auto"/>
                <w:kern w:val="0"/>
                <w:szCs w:val="21"/>
                <w:lang w:val="en-US" w:eastAsia="zh-CN"/>
              </w:rPr>
              <w:t>宣汉县</w:t>
            </w:r>
            <w:r>
              <w:rPr>
                <w:rFonts w:hint="default" w:ascii="Times New Roman" w:hAnsi="Times New Roman" w:cs="Times New Roman"/>
                <w:color w:val="auto"/>
                <w:kern w:val="0"/>
                <w:szCs w:val="21"/>
                <w:lang w:eastAsia="zh-CN"/>
              </w:rPr>
              <w:t>土地利用总体规划。</w:t>
            </w:r>
            <w:r>
              <w:rPr>
                <w:rFonts w:hint="default" w:ascii="Times New Roman" w:hAnsi="Times New Roman" w:cs="Times New Roman"/>
                <w:color w:val="auto"/>
                <w:kern w:val="0"/>
                <w:szCs w:val="21"/>
                <w:lang w:val="en-US" w:eastAsia="zh-CN"/>
              </w:rPr>
              <w:t>项目位于规划的工业园区内，符合四川达州普光经济开发区总体规划（2019-2035）。</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6" w:lineRule="exact"/>
              <w:ind w:right="-53" w:rightChars="-25" w:firstLine="420" w:firstLineChars="20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②</w:t>
            </w:r>
            <w:r>
              <w:rPr>
                <w:rFonts w:hint="default" w:ascii="Times New Roman" w:hAnsi="Times New Roman" w:cs="Times New Roman"/>
                <w:color w:val="auto"/>
                <w:kern w:val="0"/>
                <w:szCs w:val="21"/>
              </w:rPr>
              <w:t>项目建设影响区范围不涉及特殊环境敏感目标。项目建设区</w:t>
            </w:r>
            <w:r>
              <w:rPr>
                <w:rFonts w:hint="default" w:ascii="Times New Roman" w:hAnsi="Times New Roman" w:cs="Times New Roman"/>
                <w:color w:val="auto"/>
                <w:kern w:val="0"/>
                <w:szCs w:val="21"/>
                <w:lang w:val="en-US" w:eastAsia="zh-CN"/>
              </w:rPr>
              <w:t>不</w:t>
            </w:r>
            <w:r>
              <w:rPr>
                <w:rFonts w:hint="default" w:ascii="Times New Roman" w:hAnsi="Times New Roman" w:cs="Times New Roman"/>
                <w:color w:val="auto"/>
                <w:kern w:val="0"/>
                <w:szCs w:val="21"/>
              </w:rPr>
              <w:t>属于城市建成区，评价范围内不涉及自然保护区、风景名胜区、基本农田、饮用水源地保护区等特殊环境敏感目标。</w:t>
            </w:r>
            <w:r>
              <w:rPr>
                <w:rFonts w:hint="default" w:ascii="Times New Roman" w:hAnsi="Times New Roman" w:cs="Times New Roman"/>
                <w:color w:val="auto"/>
                <w:kern w:val="0"/>
                <w:szCs w:val="21"/>
                <w:lang w:val="en-US" w:eastAsia="zh-CN"/>
              </w:rPr>
              <w:t>根据</w:t>
            </w:r>
            <w:r>
              <w:rPr>
                <w:rFonts w:hint="eastAsia" w:cs="Times New Roman"/>
                <w:color w:val="auto"/>
                <w:kern w:val="0"/>
                <w:szCs w:val="21"/>
                <w:lang w:val="en-US" w:eastAsia="zh-CN"/>
              </w:rPr>
              <w:t>调查</w:t>
            </w:r>
            <w:r>
              <w:rPr>
                <w:rFonts w:hint="default" w:ascii="Times New Roman" w:hAnsi="Times New Roman" w:cs="Times New Roman"/>
                <w:color w:val="auto"/>
                <w:kern w:val="0"/>
                <w:szCs w:val="21"/>
                <w:lang w:val="en-US" w:eastAsia="zh-CN"/>
              </w:rPr>
              <w:t>分析，项目不在凉水井水库的地下水补给和径流补给范围，项目不在凉水井水库(村级)集中式饮用水水源地、后河徐家坡水源地的保护区范围。</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6" w:lineRule="exact"/>
              <w:ind w:right="-53" w:rightChars="-25" w:firstLine="420" w:firstLineChars="200"/>
              <w:jc w:val="left"/>
              <w:textAlignment w:val="auto"/>
              <w:rPr>
                <w:rFonts w:hint="default" w:ascii="Times New Roman" w:hAnsi="Times New Roman" w:cs="Times New Roman"/>
                <w:color w:val="auto"/>
                <w:kern w:val="0"/>
                <w:szCs w:val="21"/>
                <w:lang w:val="en-US"/>
              </w:rPr>
            </w:pPr>
            <w:r>
              <w:rPr>
                <w:rFonts w:hint="default" w:ascii="Times New Roman" w:hAnsi="Times New Roman" w:cs="Times New Roman"/>
                <w:color w:val="auto"/>
                <w:kern w:val="0"/>
                <w:szCs w:val="21"/>
                <w:lang w:val="en-US" w:eastAsia="zh-CN"/>
              </w:rPr>
              <w:t>③本项目工程地质与水文条件良好，区域无滑坡、塌陷、泥石流等硬化，适于建设；西侧邻园区道路，交通便利；电力、给水等设施齐备；不属于环境敏感区、洪泛区，周边无重点文物保护区等。</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6" w:lineRule="exact"/>
              <w:ind w:right="-53" w:rightChars="-25"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④本项目租用</w:t>
            </w:r>
            <w:r>
              <w:rPr>
                <w:rFonts w:hint="eastAsia" w:cs="Times New Roman"/>
                <w:color w:val="auto"/>
                <w:kern w:val="0"/>
                <w:szCs w:val="21"/>
                <w:lang w:val="en-US" w:eastAsia="zh-CN"/>
              </w:rPr>
              <w:t>四川君璜建材有限公司空地</w:t>
            </w:r>
            <w:r>
              <w:rPr>
                <w:rFonts w:hint="default"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eastAsia="zh-CN"/>
              </w:rPr>
              <w:t>约</w:t>
            </w:r>
            <w:r>
              <w:rPr>
                <w:rFonts w:hint="eastAsia" w:cs="Times New Roman"/>
                <w:color w:val="auto"/>
                <w:kern w:val="0"/>
                <w:szCs w:val="21"/>
                <w:lang w:val="en-US" w:eastAsia="zh-CN"/>
              </w:rPr>
              <w:t>20</w:t>
            </w:r>
            <w:r>
              <w:rPr>
                <w:rFonts w:hint="default" w:ascii="Times New Roman" w:hAnsi="Times New Roman" w:cs="Times New Roman"/>
                <w:color w:val="auto"/>
                <w:kern w:val="0"/>
                <w:szCs w:val="21"/>
                <w:lang w:val="en-US" w:eastAsia="zh-CN"/>
              </w:rPr>
              <w:t>0m</w:t>
            </w:r>
            <w:r>
              <w:rPr>
                <w:rFonts w:hint="default" w:ascii="Times New Roman" w:hAnsi="Times New Roman" w:cs="Times New Roman"/>
                <w:color w:val="auto"/>
                <w:kern w:val="0"/>
                <w:szCs w:val="21"/>
                <w:vertAlign w:val="superscript"/>
                <w:lang w:val="en-US" w:eastAsia="zh-CN"/>
              </w:rPr>
              <w:t>2</w:t>
            </w:r>
            <w:r>
              <w:rPr>
                <w:rFonts w:hint="default" w:ascii="Times New Roman" w:hAnsi="Times New Roman" w:cs="Times New Roman"/>
                <w:color w:val="auto"/>
                <w:kern w:val="0"/>
                <w:szCs w:val="21"/>
                <w:lang w:val="en-US" w:eastAsia="zh-CN"/>
              </w:rPr>
              <w:t>）建设储油车间，</w:t>
            </w:r>
            <w:r>
              <w:rPr>
                <w:rFonts w:hint="eastAsia" w:cs="Times New Roman"/>
                <w:color w:val="auto"/>
                <w:kern w:val="0"/>
                <w:szCs w:val="21"/>
                <w:lang w:val="en-US" w:eastAsia="zh-CN"/>
              </w:rPr>
              <w:t>四川君璜建材有限公司</w:t>
            </w:r>
            <w:r>
              <w:rPr>
                <w:rFonts w:hint="default" w:ascii="Times New Roman" w:hAnsi="Times New Roman" w:cs="Times New Roman"/>
                <w:color w:val="auto"/>
                <w:kern w:val="0"/>
                <w:szCs w:val="21"/>
                <w:lang w:val="en-US" w:eastAsia="zh-CN"/>
              </w:rPr>
              <w:t>为</w:t>
            </w:r>
            <w:r>
              <w:rPr>
                <w:rFonts w:hint="eastAsia" w:cs="Times New Roman"/>
                <w:color w:val="auto"/>
                <w:kern w:val="0"/>
                <w:szCs w:val="21"/>
                <w:lang w:val="en-US" w:eastAsia="zh-CN"/>
              </w:rPr>
              <w:t>预制板材</w:t>
            </w:r>
            <w:r>
              <w:rPr>
                <w:rFonts w:hint="default" w:ascii="Times New Roman" w:hAnsi="Times New Roman" w:cs="Times New Roman"/>
                <w:color w:val="auto"/>
                <w:kern w:val="0"/>
                <w:szCs w:val="21"/>
                <w:lang w:val="en-US" w:eastAsia="zh-CN"/>
              </w:rPr>
              <w:t>生产企业，现已停产</w:t>
            </w:r>
            <w:r>
              <w:rPr>
                <w:rFonts w:hint="eastAsia" w:cs="Times New Roman"/>
                <w:color w:val="auto"/>
                <w:kern w:val="0"/>
                <w:szCs w:val="21"/>
                <w:lang w:val="en-US" w:eastAsia="zh-CN"/>
              </w:rPr>
              <w:t>，部分厂房租用给“贵鸿管道达州分厂”“菌棒生产厂”，部分为闲置厂房。</w:t>
            </w:r>
            <w:r>
              <w:rPr>
                <w:rFonts w:hint="default" w:ascii="Times New Roman" w:hAnsi="Times New Roman" w:cs="Times New Roman"/>
                <w:color w:val="auto"/>
                <w:kern w:val="0"/>
                <w:szCs w:val="21"/>
                <w:lang w:val="en-US" w:eastAsia="zh-CN"/>
              </w:rPr>
              <w:t>本项目收集废矿物油收集，符合柳池工业园环境管控要求和生态环境准入要求，且与</w:t>
            </w:r>
            <w:r>
              <w:rPr>
                <w:rFonts w:hint="eastAsia" w:cs="Times New Roman"/>
                <w:color w:val="auto"/>
                <w:kern w:val="0"/>
                <w:szCs w:val="21"/>
                <w:lang w:val="en-US" w:eastAsia="zh-CN"/>
              </w:rPr>
              <w:t>周围</w:t>
            </w:r>
            <w:r>
              <w:rPr>
                <w:rFonts w:hint="default" w:ascii="Times New Roman" w:hAnsi="Times New Roman" w:cs="Times New Roman"/>
                <w:color w:val="auto"/>
                <w:kern w:val="0"/>
                <w:szCs w:val="21"/>
                <w:lang w:val="en-US" w:eastAsia="zh-CN"/>
              </w:rPr>
              <w:t>产业不冲突；同时能够充分利用闲置资源，发挥最大的价值，也可减少项目投资。</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6" w:lineRule="exact"/>
              <w:ind w:right="-53" w:rightChars="-25"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⑤</w:t>
            </w:r>
            <w:r>
              <w:rPr>
                <w:rFonts w:hint="default" w:ascii="Times New Roman" w:hAnsi="Times New Roman" w:cs="Times New Roman"/>
                <w:color w:val="auto"/>
                <w:kern w:val="0"/>
                <w:szCs w:val="21"/>
              </w:rPr>
              <w:t>项目建设与周围环境相协调。项目</w:t>
            </w:r>
            <w:r>
              <w:rPr>
                <w:rFonts w:hint="default" w:ascii="Times New Roman" w:hAnsi="Times New Roman" w:cs="Times New Roman"/>
                <w:color w:val="auto"/>
                <w:kern w:val="0"/>
                <w:szCs w:val="21"/>
                <w:lang w:val="en-US" w:eastAsia="zh-CN"/>
              </w:rPr>
              <w:t>拟</w:t>
            </w:r>
            <w:r>
              <w:rPr>
                <w:rFonts w:hint="default" w:ascii="Times New Roman" w:hAnsi="Times New Roman" w:cs="Times New Roman"/>
                <w:color w:val="auto"/>
                <w:kern w:val="0"/>
                <w:szCs w:val="21"/>
              </w:rPr>
              <w:t>建区</w:t>
            </w:r>
            <w:r>
              <w:rPr>
                <w:rFonts w:hint="default" w:ascii="Times New Roman" w:hAnsi="Times New Roman" w:cs="Times New Roman"/>
                <w:color w:val="auto"/>
                <w:kern w:val="0"/>
                <w:szCs w:val="21"/>
                <w:lang w:val="en-US" w:eastAsia="zh-CN"/>
              </w:rPr>
              <w:t>域位于工业园区，周围无住户，最近的</w:t>
            </w:r>
            <w:r>
              <w:rPr>
                <w:rFonts w:hint="eastAsia" w:cs="Times New Roman"/>
                <w:color w:val="auto"/>
                <w:kern w:val="0"/>
                <w:szCs w:val="21"/>
                <w:lang w:val="en-US" w:eastAsia="zh-CN"/>
              </w:rPr>
              <w:t>园区安置房</w:t>
            </w:r>
            <w:r>
              <w:rPr>
                <w:rFonts w:hint="default" w:ascii="Times New Roman" w:hAnsi="Times New Roman" w:cs="Times New Roman"/>
                <w:color w:val="auto"/>
                <w:kern w:val="0"/>
                <w:szCs w:val="21"/>
                <w:lang w:val="en-US" w:eastAsia="zh-CN"/>
              </w:rPr>
              <w:t>位于项目西</w:t>
            </w:r>
            <w:r>
              <w:rPr>
                <w:rFonts w:hint="eastAsia" w:cs="Times New Roman"/>
                <w:color w:val="auto"/>
                <w:kern w:val="0"/>
                <w:szCs w:val="21"/>
                <w:lang w:val="en-US" w:eastAsia="zh-CN"/>
              </w:rPr>
              <w:t>南</w:t>
            </w:r>
            <w:r>
              <w:rPr>
                <w:rFonts w:hint="default" w:ascii="Times New Roman" w:hAnsi="Times New Roman" w:cs="Times New Roman"/>
                <w:color w:val="auto"/>
                <w:kern w:val="0"/>
                <w:szCs w:val="21"/>
                <w:lang w:val="en-US" w:eastAsia="zh-CN"/>
              </w:rPr>
              <w:t>面，最近约</w:t>
            </w:r>
            <w:r>
              <w:rPr>
                <w:rFonts w:hint="eastAsia" w:cs="Times New Roman"/>
                <w:color w:val="auto"/>
                <w:kern w:val="0"/>
                <w:szCs w:val="21"/>
                <w:lang w:val="en-US" w:eastAsia="zh-CN"/>
              </w:rPr>
              <w:t>205</w:t>
            </w:r>
            <w:r>
              <w:rPr>
                <w:rFonts w:hint="default" w:ascii="Times New Roman" w:hAnsi="Times New Roman" w:cs="Times New Roman"/>
                <w:color w:val="auto"/>
                <w:kern w:val="0"/>
                <w:szCs w:val="21"/>
                <w:lang w:val="en-US" w:eastAsia="zh-CN"/>
              </w:rPr>
              <w:t>m</w:t>
            </w:r>
            <w:r>
              <w:rPr>
                <w:rFonts w:hint="eastAsia" w:cs="Times New Roman"/>
                <w:color w:val="auto"/>
                <w:kern w:val="0"/>
                <w:szCs w:val="21"/>
                <w:lang w:val="en-US" w:eastAsia="zh-CN"/>
              </w:rPr>
              <w:t>，项目</w:t>
            </w:r>
            <w:r>
              <w:rPr>
                <w:rFonts w:hint="default" w:ascii="Times New Roman" w:hAnsi="Times New Roman" w:cs="Times New Roman"/>
                <w:color w:val="auto"/>
                <w:kern w:val="0"/>
                <w:szCs w:val="21"/>
                <w:lang w:val="en-US" w:eastAsia="zh-CN"/>
              </w:rPr>
              <w:t>不会对其造成影响。</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综上分析，本项目选址合理可行。</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0000FF"/>
                <w:kern w:val="0"/>
                <w:szCs w:val="21"/>
              </w:rPr>
            </w:pPr>
          </w:p>
        </w:tc>
      </w:tr>
    </w:tbl>
    <w:p>
      <w:pPr>
        <w:spacing w:line="360" w:lineRule="auto"/>
        <w:outlineLvl w:val="0"/>
        <w:rPr>
          <w:rFonts w:hint="default" w:ascii="Times New Roman" w:hAnsi="Times New Roman" w:eastAsia="黑体" w:cs="Times New Roman"/>
          <w:color w:val="0000FF"/>
          <w:sz w:val="30"/>
        </w:rPr>
        <w:sectPr>
          <w:footerReference r:id="rId10"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formProt w:val="1"/>
          <w:docGrid w:linePitch="312" w:charSpace="0"/>
        </w:sectPr>
      </w:pPr>
    </w:p>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eastAsia="黑体" w:cs="Times New Roman"/>
          <w:snapToGrid w:val="0"/>
          <w:color w:val="auto"/>
          <w:kern w:val="0"/>
          <w:sz w:val="30"/>
          <w:szCs w:val="30"/>
        </w:rPr>
        <w:t>二、建设项目工程分析</w:t>
      </w:r>
    </w:p>
    <w:tbl>
      <w:tblPr>
        <w:tblStyle w:val="17"/>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4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9" w:type="dxa"/>
            <w:noWrap w:val="0"/>
            <w:vAlign w:val="center"/>
          </w:tcPr>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建设内容</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建设内容</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建设内容</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建设内容</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建设内容</w:t>
            </w:r>
          </w:p>
          <w:p>
            <w:pPr>
              <w:keepNext w:val="0"/>
              <w:keepLines w:val="0"/>
              <w:pageBreakBefore w:val="0"/>
              <w:widowControl/>
              <w:kinsoku/>
              <w:wordWrap/>
              <w:overflowPunct/>
              <w:topLinePunct w:val="0"/>
              <w:bidi w:val="0"/>
              <w:adjustRightInd w:val="0"/>
              <w:snapToGrid w:val="0"/>
              <w:ind w:left="-105" w:leftChars="-50" w:right="-105" w:rightChars="-50"/>
              <w:textAlignment w:val="auto"/>
              <w:rPr>
                <w:rFonts w:hint="default" w:ascii="Times New Roman" w:hAnsi="Times New Roman" w:cs="Times New Roman"/>
                <w:b/>
                <w:bCs/>
                <w:color w:val="auto"/>
                <w:kern w:val="0"/>
                <w:szCs w:val="21"/>
              </w:rPr>
            </w:pPr>
          </w:p>
        </w:tc>
        <w:tc>
          <w:tcPr>
            <w:tcW w:w="8445" w:type="dxa"/>
            <w:noWrap w:val="0"/>
            <w:vAlign w:val="top"/>
          </w:tcPr>
          <w:p>
            <w:pPr>
              <w:numPr>
                <w:ilvl w:val="0"/>
                <w:numId w:val="8"/>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highlight w:val="none"/>
                <w:lang w:val="en-US" w:eastAsia="zh-CN"/>
              </w:rPr>
            </w:pPr>
            <w:r>
              <w:rPr>
                <w:rFonts w:hint="default" w:ascii="Times New Roman" w:hAnsi="Times New Roman" w:eastAsia="黑体" w:cs="Times New Roman"/>
                <w:color w:val="auto"/>
                <w:kern w:val="0"/>
                <w:sz w:val="22"/>
                <w:szCs w:val="22"/>
                <w:highlight w:val="none"/>
                <w:lang w:val="en-US" w:eastAsia="zh-CN"/>
              </w:rPr>
              <w:t>项目由来</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rPr>
              <w:t>随着经济的快速发展，</w:t>
            </w:r>
            <w:r>
              <w:rPr>
                <w:rFonts w:hint="default" w:ascii="Times New Roman" w:hAnsi="Times New Roman" w:cs="Times New Roman"/>
                <w:color w:val="auto"/>
                <w:kern w:val="0"/>
                <w:szCs w:val="21"/>
                <w:highlight w:val="none"/>
                <w:lang w:val="en-US" w:eastAsia="zh-CN"/>
              </w:rPr>
              <w:t>近年来机动</w:t>
            </w:r>
            <w:r>
              <w:rPr>
                <w:rFonts w:hint="default" w:ascii="Times New Roman" w:hAnsi="Times New Roman" w:cs="Times New Roman"/>
                <w:color w:val="auto"/>
                <w:kern w:val="0"/>
                <w:szCs w:val="21"/>
                <w:highlight w:val="none"/>
              </w:rPr>
              <w:t>车保有量急剧增长</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据统计，达州市机动车保有量约95万辆</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与此同时，</w:t>
            </w:r>
            <w:r>
              <w:rPr>
                <w:rFonts w:hint="default" w:ascii="Times New Roman" w:hAnsi="Times New Roman" w:cs="Times New Roman"/>
                <w:color w:val="auto"/>
                <w:kern w:val="0"/>
                <w:szCs w:val="21"/>
                <w:highlight w:val="none"/>
                <w:lang w:val="en-US" w:eastAsia="zh-CN"/>
              </w:rPr>
              <w:t>汽车维修、保养产生的废矿物油</w:t>
            </w:r>
            <w:r>
              <w:rPr>
                <w:rFonts w:hint="default" w:ascii="Times New Roman" w:hAnsi="Times New Roman" w:cs="Times New Roman"/>
                <w:color w:val="auto"/>
                <w:kern w:val="0"/>
                <w:szCs w:val="21"/>
                <w:highlight w:val="none"/>
              </w:rPr>
              <w:t>量也在大幅增长，给城市的发展带来了新的环境问题和环保压力。废矿物油已被环保部列为21世纪在环保领域主要控制的三大废物之一，</w:t>
            </w:r>
            <w:r>
              <w:rPr>
                <w:rFonts w:hint="eastAsia" w:cs="Times New Roman"/>
                <w:color w:val="auto"/>
                <w:kern w:val="0"/>
                <w:szCs w:val="21"/>
                <w:highlight w:val="none"/>
                <w:lang w:eastAsia="zh-CN"/>
              </w:rPr>
              <w:t>如果</w:t>
            </w:r>
            <w:r>
              <w:rPr>
                <w:rFonts w:hint="default" w:ascii="Times New Roman" w:hAnsi="Times New Roman" w:cs="Times New Roman"/>
                <w:color w:val="auto"/>
                <w:kern w:val="0"/>
                <w:szCs w:val="21"/>
                <w:highlight w:val="none"/>
              </w:rPr>
              <w:t>随意倾倒</w:t>
            </w:r>
            <w:r>
              <w:rPr>
                <w:rFonts w:hint="eastAsia" w:cs="Times New Roman"/>
                <w:color w:val="auto"/>
                <w:kern w:val="0"/>
                <w:szCs w:val="21"/>
                <w:highlight w:val="none"/>
                <w:lang w:val="en-US" w:eastAsia="zh-CN"/>
              </w:rPr>
              <w:t>或者</w:t>
            </w:r>
            <w:r>
              <w:rPr>
                <w:rFonts w:hint="default" w:ascii="Times New Roman" w:hAnsi="Times New Roman" w:cs="Times New Roman"/>
                <w:color w:val="auto"/>
                <w:kern w:val="0"/>
                <w:szCs w:val="21"/>
                <w:highlight w:val="none"/>
              </w:rPr>
              <w:t>非法转移倒卖，不仅影响人体健康，还会给环境带来二次污染。为了加强对</w:t>
            </w:r>
            <w:r>
              <w:rPr>
                <w:rFonts w:hint="default" w:ascii="Times New Roman" w:hAnsi="Times New Roman" w:cs="Times New Roman"/>
                <w:color w:val="auto"/>
                <w:kern w:val="0"/>
                <w:szCs w:val="21"/>
                <w:highlight w:val="none"/>
                <w:lang w:val="en-US" w:eastAsia="zh-CN"/>
              </w:rPr>
              <w:t>废矿物油</w:t>
            </w:r>
            <w:r>
              <w:rPr>
                <w:rFonts w:hint="default" w:ascii="Times New Roman" w:hAnsi="Times New Roman" w:cs="Times New Roman"/>
                <w:color w:val="auto"/>
                <w:kern w:val="0"/>
                <w:szCs w:val="21"/>
                <w:highlight w:val="none"/>
              </w:rPr>
              <w:t>的</w:t>
            </w:r>
            <w:r>
              <w:rPr>
                <w:rFonts w:hint="default" w:ascii="Times New Roman" w:hAnsi="Times New Roman" w:cs="Times New Roman"/>
                <w:color w:val="auto"/>
                <w:kern w:val="0"/>
                <w:szCs w:val="21"/>
                <w:highlight w:val="none"/>
                <w:lang w:val="en-US" w:eastAsia="zh-CN"/>
              </w:rPr>
              <w:t>收集</w:t>
            </w:r>
            <w:r>
              <w:rPr>
                <w:rFonts w:hint="default" w:ascii="Times New Roman" w:hAnsi="Times New Roman" w:cs="Times New Roman"/>
                <w:color w:val="auto"/>
                <w:kern w:val="0"/>
                <w:szCs w:val="21"/>
                <w:highlight w:val="none"/>
              </w:rPr>
              <w:t>管理，提高</w:t>
            </w:r>
            <w:r>
              <w:rPr>
                <w:rFonts w:hint="default" w:ascii="Times New Roman" w:hAnsi="Times New Roman" w:cs="Times New Roman"/>
                <w:color w:val="auto"/>
                <w:kern w:val="0"/>
                <w:szCs w:val="21"/>
                <w:highlight w:val="none"/>
                <w:lang w:val="en-US" w:eastAsia="zh-CN"/>
              </w:rPr>
              <w:t>废矿物油的规范处置率</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国家鼓励</w:t>
            </w:r>
            <w:r>
              <w:rPr>
                <w:rFonts w:hint="default" w:ascii="Times New Roman" w:hAnsi="Times New Roman" w:cs="Times New Roman"/>
                <w:color w:val="auto"/>
                <w:kern w:val="0"/>
                <w:szCs w:val="21"/>
                <w:highlight w:val="none"/>
              </w:rPr>
              <w:t>废矿物油规模化、专业化的收集、贮存</w:t>
            </w:r>
            <w:r>
              <w:rPr>
                <w:rFonts w:hint="default" w:ascii="Times New Roman" w:hAnsi="Times New Roman" w:cs="Times New Roman"/>
                <w:color w:val="auto"/>
                <w:kern w:val="0"/>
                <w:szCs w:val="21"/>
                <w:highlight w:val="none"/>
                <w:lang w:eastAsia="zh-CN"/>
              </w:rPr>
              <w:t>。</w:t>
            </w:r>
          </w:p>
          <w:p>
            <w:pPr>
              <w:autoSpaceDE w:val="0"/>
              <w:autoSpaceDN w:val="0"/>
              <w:adjustRightInd w:val="0"/>
              <w:snapToGrid w:val="0"/>
              <w:spacing w:line="400" w:lineRule="exact"/>
              <w:ind w:left="-31" w:leftChars="-15" w:right="-31" w:rightChars="-15" w:firstLine="420" w:firstLineChars="200"/>
              <w:rPr>
                <w:rFonts w:hint="eastAsia"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达州市闽通环保科技有限公司</w:t>
            </w:r>
            <w:r>
              <w:rPr>
                <w:rFonts w:hint="eastAsia" w:cs="Times New Roman"/>
                <w:color w:val="auto"/>
                <w:kern w:val="0"/>
                <w:szCs w:val="21"/>
                <w:highlight w:val="none"/>
                <w:lang w:val="en-US" w:eastAsia="zh-CN"/>
              </w:rPr>
              <w:t>通过长时间</w:t>
            </w:r>
            <w:r>
              <w:rPr>
                <w:rFonts w:hint="default" w:ascii="Times New Roman" w:hAnsi="Times New Roman" w:cs="Times New Roman"/>
                <w:color w:val="auto"/>
                <w:kern w:val="0"/>
                <w:szCs w:val="21"/>
                <w:highlight w:val="none"/>
                <w:lang w:val="en-US" w:eastAsia="zh-CN"/>
              </w:rPr>
              <w:t>调查，宣汉县境内</w:t>
            </w:r>
            <w:r>
              <w:rPr>
                <w:rFonts w:hint="eastAsia" w:cs="Times New Roman"/>
                <w:color w:val="auto"/>
                <w:kern w:val="0"/>
                <w:szCs w:val="21"/>
                <w:highlight w:val="none"/>
                <w:lang w:val="en-US" w:eastAsia="zh-CN"/>
              </w:rPr>
              <w:t>还</w:t>
            </w:r>
            <w:r>
              <w:rPr>
                <w:rFonts w:hint="default" w:ascii="Times New Roman" w:hAnsi="Times New Roman" w:cs="Times New Roman"/>
                <w:color w:val="auto"/>
                <w:kern w:val="0"/>
                <w:szCs w:val="21"/>
                <w:highlight w:val="none"/>
                <w:lang w:val="en-US" w:eastAsia="zh-CN"/>
              </w:rPr>
              <w:t>没有一家具有从事废矿物油收集资质的单位，</w:t>
            </w:r>
            <w:r>
              <w:rPr>
                <w:rFonts w:hint="eastAsia" w:cs="Times New Roman"/>
                <w:color w:val="auto"/>
                <w:kern w:val="0"/>
                <w:szCs w:val="21"/>
                <w:highlight w:val="none"/>
                <w:lang w:val="en-US" w:eastAsia="zh-CN"/>
              </w:rPr>
              <w:t>对</w:t>
            </w:r>
            <w:r>
              <w:rPr>
                <w:rFonts w:hint="default" w:ascii="Times New Roman" w:hAnsi="Times New Roman" w:cs="Times New Roman"/>
                <w:color w:val="auto"/>
                <w:kern w:val="0"/>
                <w:szCs w:val="21"/>
                <w:highlight w:val="none"/>
                <w:lang w:val="en-US" w:eastAsia="zh-CN"/>
              </w:rPr>
              <w:t>车辆维修和保养过程中产生的废矿物油都是</w:t>
            </w:r>
            <w:r>
              <w:rPr>
                <w:rFonts w:hint="eastAsia" w:cs="Times New Roman"/>
                <w:color w:val="auto"/>
                <w:kern w:val="0"/>
                <w:szCs w:val="21"/>
                <w:highlight w:val="none"/>
                <w:lang w:val="en-US" w:eastAsia="zh-CN"/>
              </w:rPr>
              <w:t>自行收集暂存，再</w:t>
            </w:r>
            <w:r>
              <w:rPr>
                <w:rFonts w:hint="default" w:ascii="Times New Roman" w:hAnsi="Times New Roman" w:cs="Times New Roman"/>
                <w:color w:val="auto"/>
                <w:kern w:val="0"/>
                <w:szCs w:val="21"/>
                <w:highlight w:val="none"/>
                <w:lang w:val="en-US" w:eastAsia="zh-CN"/>
              </w:rPr>
              <w:t>委托达州及周边区县的回收公司收集。由于收集、运输不便，造成处置单价相对较高，加大了企业的负担；各废矿物油产生企业必须建设更大储存间及储存设施，以增加暂存周期，也增加了建设成本；储存在企业的废矿物油不能及时转移，大量废矿物油在企业暂存，增加了储存的环境风险。同时，长距离运输，运输过程的环境风险大大增加。上述多重因素也</w:t>
            </w:r>
            <w:r>
              <w:rPr>
                <w:rFonts w:hint="default" w:ascii="Times New Roman" w:hAnsi="Times New Roman" w:cs="Times New Roman"/>
                <w:color w:val="auto"/>
                <w:kern w:val="0"/>
                <w:szCs w:val="21"/>
                <w:highlight w:val="none"/>
              </w:rPr>
              <w:t>致使出现</w:t>
            </w:r>
            <w:r>
              <w:rPr>
                <w:rFonts w:hint="eastAsia" w:cs="Times New Roman"/>
                <w:color w:val="auto"/>
                <w:kern w:val="0"/>
                <w:szCs w:val="21"/>
                <w:highlight w:val="none"/>
                <w:lang w:val="en-US" w:eastAsia="zh-CN"/>
              </w:rPr>
              <w:t>部分</w:t>
            </w:r>
            <w:r>
              <w:rPr>
                <w:rFonts w:hint="default" w:ascii="Times New Roman" w:hAnsi="Times New Roman" w:cs="Times New Roman"/>
                <w:color w:val="auto"/>
                <w:kern w:val="0"/>
                <w:szCs w:val="21"/>
                <w:highlight w:val="none"/>
                <w:lang w:val="en-US" w:eastAsia="zh-CN"/>
              </w:rPr>
              <w:t>企业违规处置的</w:t>
            </w:r>
            <w:r>
              <w:rPr>
                <w:rFonts w:hint="default" w:ascii="Times New Roman" w:hAnsi="Times New Roman" w:cs="Times New Roman"/>
                <w:color w:val="auto"/>
                <w:kern w:val="0"/>
                <w:szCs w:val="21"/>
                <w:highlight w:val="none"/>
              </w:rPr>
              <w:t>现象，对环境存在不同程度</w:t>
            </w:r>
            <w:r>
              <w:rPr>
                <w:rFonts w:hint="eastAsia" w:cs="Times New Roman"/>
                <w:color w:val="auto"/>
                <w:kern w:val="0"/>
                <w:szCs w:val="21"/>
                <w:highlight w:val="none"/>
                <w:lang w:eastAsia="zh-CN"/>
              </w:rPr>
              <w:t>的</w:t>
            </w:r>
            <w:r>
              <w:rPr>
                <w:rFonts w:hint="default" w:ascii="Times New Roman" w:hAnsi="Times New Roman" w:cs="Times New Roman"/>
                <w:color w:val="auto"/>
                <w:kern w:val="0"/>
                <w:szCs w:val="21"/>
                <w:highlight w:val="none"/>
              </w:rPr>
              <w:t>危害和潜在威胁。</w:t>
            </w:r>
            <w:r>
              <w:rPr>
                <w:rFonts w:hint="default" w:ascii="Times New Roman" w:hAnsi="Times New Roman" w:cs="Times New Roman"/>
                <w:color w:val="auto"/>
                <w:kern w:val="0"/>
                <w:szCs w:val="21"/>
                <w:highlight w:val="none"/>
                <w:lang w:val="en-US" w:eastAsia="zh-CN"/>
              </w:rPr>
              <w:t>为此，</w:t>
            </w:r>
            <w:r>
              <w:rPr>
                <w:rFonts w:hint="eastAsia" w:cs="Times New Roman"/>
                <w:color w:val="auto"/>
                <w:kern w:val="0"/>
                <w:szCs w:val="21"/>
                <w:highlight w:val="none"/>
                <w:lang w:val="en-US" w:eastAsia="zh-CN"/>
              </w:rPr>
              <w:t>达</w:t>
            </w:r>
            <w:r>
              <w:rPr>
                <w:rFonts w:hint="default" w:ascii="Times New Roman" w:hAnsi="Times New Roman" w:cs="Times New Roman"/>
                <w:color w:val="auto"/>
                <w:kern w:val="0"/>
                <w:szCs w:val="21"/>
                <w:highlight w:val="none"/>
                <w:lang w:val="en-US" w:eastAsia="zh-CN"/>
              </w:rPr>
              <w:t>州市闽通环保科技有限公司</w:t>
            </w:r>
            <w:r>
              <w:rPr>
                <w:rFonts w:hint="eastAsia" w:cs="Times New Roman"/>
                <w:color w:val="auto"/>
                <w:kern w:val="0"/>
                <w:szCs w:val="21"/>
                <w:highlight w:val="none"/>
                <w:lang w:val="en-US" w:eastAsia="zh-CN"/>
              </w:rPr>
              <w:t>于2022年3月在</w:t>
            </w:r>
            <w:r>
              <w:rPr>
                <w:rFonts w:hint="default" w:ascii="Times New Roman" w:hAnsi="Times New Roman" w:cs="Times New Roman"/>
                <w:color w:val="auto"/>
                <w:kern w:val="0"/>
                <w:szCs w:val="21"/>
                <w:highlight w:val="none"/>
                <w:lang w:val="en-US" w:eastAsia="zh-CN"/>
              </w:rPr>
              <w:t>普光经开区西区的柳池功能区南部，租用</w:t>
            </w:r>
            <w:r>
              <w:rPr>
                <w:rFonts w:hint="eastAsia" w:cs="Times New Roman"/>
                <w:color w:val="auto"/>
                <w:kern w:val="0"/>
                <w:szCs w:val="21"/>
                <w:highlight w:val="none"/>
                <w:lang w:val="en-US" w:eastAsia="zh-CN"/>
              </w:rPr>
              <w:t>了宣汉县弘泰电化有限责任公司</w:t>
            </w:r>
            <w:r>
              <w:rPr>
                <w:rFonts w:hint="default" w:ascii="Times New Roman" w:hAnsi="Times New Roman" w:cs="Times New Roman"/>
                <w:color w:val="auto"/>
                <w:kern w:val="0"/>
                <w:szCs w:val="21"/>
                <w:highlight w:val="none"/>
                <w:lang w:val="en-US" w:eastAsia="zh-CN"/>
              </w:rPr>
              <w:t>闲置厂房建设“</w:t>
            </w:r>
            <w:r>
              <w:rPr>
                <w:rFonts w:hint="eastAsia" w:cs="Times New Roman"/>
                <w:color w:val="auto"/>
                <w:kern w:val="0"/>
                <w:szCs w:val="21"/>
                <w:highlight w:val="none"/>
                <w:lang w:val="en-US" w:eastAsia="zh-CN"/>
              </w:rPr>
              <w:t>宣汉闽通再生资源回收储存项目</w:t>
            </w:r>
            <w:r>
              <w:rPr>
                <w:rFonts w:hint="default" w:ascii="Times New Roman" w:hAnsi="Times New Roman" w:cs="Times New Roman"/>
                <w:color w:val="auto"/>
                <w:kern w:val="0"/>
                <w:szCs w:val="21"/>
                <w:highlight w:val="none"/>
                <w:lang w:val="en-US" w:eastAsia="zh-CN"/>
              </w:rPr>
              <w:t>”，</w:t>
            </w:r>
            <w:r>
              <w:rPr>
                <w:rFonts w:hint="eastAsia" w:cs="Times New Roman"/>
                <w:color w:val="auto"/>
                <w:kern w:val="0"/>
                <w:szCs w:val="21"/>
                <w:highlight w:val="none"/>
                <w:lang w:val="en-US" w:eastAsia="zh-CN"/>
              </w:rPr>
              <w:t>从事</w:t>
            </w:r>
            <w:r>
              <w:rPr>
                <w:rFonts w:hint="default" w:ascii="Times New Roman" w:hAnsi="Times New Roman" w:cs="Times New Roman"/>
                <w:color w:val="auto"/>
                <w:kern w:val="0"/>
                <w:szCs w:val="21"/>
                <w:highlight w:val="none"/>
                <w:lang w:val="en-US" w:eastAsia="zh-CN"/>
              </w:rPr>
              <w:t>废矿物油收集</w:t>
            </w:r>
            <w:r>
              <w:rPr>
                <w:rFonts w:hint="eastAsia" w:cs="Times New Roman"/>
                <w:color w:val="auto"/>
                <w:kern w:val="0"/>
                <w:szCs w:val="21"/>
                <w:highlight w:val="none"/>
                <w:lang w:val="en-US" w:eastAsia="zh-CN"/>
              </w:rPr>
              <w:t>经营活动。该项目于2022年5月办理了环境影响评价手续，取得了达州市宣汉生态环境局《关于宣汉闽通再生资源回收储存项目环境影响报告表的批复》（宣环审〔2022〕10号），并于2022年7月取得了《危险废物经营许可证》（宣汉环危511722001号），于2022年8月通过了环保验收，正式投入运行。</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2023年10月，因宣汉县弘泰电化有限责任公司资产清算，租期满后将不再续租给达州市闽通环保科技有限公司。为满足公司正常经营，达州市闽通环保科技有限公司通过多方考察，于2023年11月与四川君璜建材有限公司签订了《场地租赁合同》，由达州市闽通环保科技有限公司在四川君璜建材有限公司的闲置场地内建设储油间1个，用地面积约200m²，建成后将现有位于宣汉县弘泰电化有限责任公司内的储油设施搬迁至该场地，搬迁后废矿物油收集储存规模仍为2000吨/年。</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jc w:val="both"/>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本</w:t>
            </w:r>
            <w:r>
              <w:rPr>
                <w:rFonts w:hint="default" w:ascii="Times New Roman" w:hAnsi="Times New Roman" w:eastAsia="宋体" w:cs="Times New Roman"/>
                <w:color w:val="auto"/>
                <w:kern w:val="0"/>
                <w:szCs w:val="21"/>
                <w:lang w:val="en-US" w:eastAsia="zh-CN"/>
              </w:rPr>
              <w:t>项目为</w:t>
            </w:r>
            <w:r>
              <w:rPr>
                <w:rFonts w:hint="eastAsia" w:cs="Times New Roman"/>
                <w:color w:val="auto"/>
                <w:kern w:val="0"/>
                <w:szCs w:val="21"/>
                <w:lang w:val="en-US" w:eastAsia="zh-CN"/>
              </w:rPr>
              <w:t>废矿物油收集储存迁建项目</w:t>
            </w:r>
            <w:r>
              <w:rPr>
                <w:rFonts w:hint="default" w:ascii="Times New Roman" w:hAnsi="Times New Roman" w:eastAsia="宋体" w:cs="Times New Roman"/>
                <w:color w:val="auto"/>
                <w:kern w:val="0"/>
                <w:szCs w:val="21"/>
                <w:lang w:val="en-US" w:eastAsia="zh-CN"/>
              </w:rPr>
              <w:t>，属于《国民经济行业分类》（GB/T4754-2017）中“</w:t>
            </w:r>
            <w:r>
              <w:rPr>
                <w:rFonts w:hint="eastAsia" w:cs="Times New Roman"/>
                <w:color w:val="auto"/>
                <w:kern w:val="0"/>
                <w:szCs w:val="21"/>
                <w:lang w:val="en-US" w:eastAsia="zh-CN"/>
              </w:rPr>
              <w:t>G5949 其他危险品仓储</w:t>
            </w:r>
            <w:r>
              <w:rPr>
                <w:rFonts w:hint="default" w:ascii="Times New Roman" w:hAnsi="Times New Roman" w:eastAsia="宋体" w:cs="Times New Roman"/>
                <w:color w:val="auto"/>
                <w:kern w:val="0"/>
                <w:szCs w:val="21"/>
                <w:lang w:val="en-US" w:eastAsia="zh-CN"/>
              </w:rPr>
              <w:t>”类别，根据《建设项目环境影响评价分类管理名录（2021年版）》，本项目应编制环境影响报告表。</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jc w:val="both"/>
              <w:textAlignment w:val="auto"/>
              <w:rPr>
                <w:rFonts w:hint="default" w:ascii="Times New Roman" w:hAnsi="Times New Roman" w:eastAsia="宋体" w:cs="Times New Roman"/>
                <w:color w:val="auto"/>
                <w:kern w:val="0"/>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jc w:val="both"/>
              <w:textAlignment w:val="auto"/>
              <w:rPr>
                <w:rFonts w:hint="default" w:ascii="Times New Roman" w:hAnsi="Times New Roman" w:eastAsia="宋体" w:cs="Times New Roman"/>
                <w:color w:val="auto"/>
                <w:kern w:val="0"/>
                <w:szCs w:val="21"/>
                <w:lang w:val="en-US" w:eastAsia="zh-CN"/>
              </w:rPr>
            </w:pPr>
            <w:r>
              <w:rPr>
                <w:rFonts w:hint="eastAsia" w:eastAsia="宋体" w:cs="Times New Roman"/>
                <w:color w:val="auto"/>
                <w:kern w:val="0"/>
                <w:szCs w:val="21"/>
                <w:lang w:val="en-US" w:eastAsia="zh-CN"/>
              </w:rPr>
              <w:t xml:space="preserve"> </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zh-CN" w:eastAsia="zh-CN"/>
              </w:rPr>
              <w:t>项目</w:t>
            </w:r>
            <w:r>
              <w:rPr>
                <w:rFonts w:hint="default" w:ascii="Times New Roman" w:hAnsi="Times New Roman" w:eastAsia="黑体" w:cs="Times New Roman"/>
                <w:color w:val="auto"/>
                <w:kern w:val="0"/>
                <w:sz w:val="20"/>
                <w:szCs w:val="20"/>
                <w:lang w:val="en-US" w:eastAsia="zh-CN"/>
              </w:rPr>
              <w:t>编制依据表</w:t>
            </w:r>
          </w:p>
          <w:tbl>
            <w:tblPr>
              <w:tblStyle w:val="17"/>
              <w:tblW w:w="812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434"/>
              <w:gridCol w:w="1511"/>
              <w:gridCol w:w="2040"/>
              <w:gridCol w:w="1442"/>
              <w:gridCol w:w="750"/>
              <w:gridCol w:w="19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72" w:hRule="atLeast"/>
                <w:tblHeader/>
                <w:jc w:val="center"/>
              </w:trPr>
              <w:tc>
                <w:tcPr>
                  <w:tcW w:w="1945" w:type="dxa"/>
                  <w:gridSpan w:val="2"/>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Times New Roman"/>
                      <w:b/>
                      <w:bCs/>
                      <w:color w:val="auto"/>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mc:AlternateContent>
                      <mc:Choice Requires="wpsCustomData">
                        <wpsCustomData:diagonalParaType/>
                      </mc:Choice>
                    </mc:AlternateContent>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项目类别</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环评类别</w:t>
                  </w:r>
                </w:p>
              </w:tc>
              <w:tc>
                <w:tcPr>
                  <w:tcW w:w="2040"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val="en-US" w:eastAsia="zh-CN"/>
                    </w:rPr>
                    <w:t>报告书</w:t>
                  </w:r>
                </w:p>
              </w:tc>
              <w:tc>
                <w:tcPr>
                  <w:tcW w:w="1442"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报告表</w:t>
                  </w:r>
                </w:p>
              </w:tc>
              <w:tc>
                <w:tcPr>
                  <w:tcW w:w="750"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登记表</w:t>
                  </w:r>
                </w:p>
              </w:tc>
              <w:tc>
                <w:tcPr>
                  <w:tcW w:w="1948"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本项目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3" w:hRule="atLeast"/>
                <w:tblHeader/>
                <w:jc w:val="center"/>
              </w:trPr>
              <w:tc>
                <w:tcPr>
                  <w:tcW w:w="434"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149</w:t>
                  </w:r>
                </w:p>
              </w:tc>
              <w:tc>
                <w:tcPr>
                  <w:tcW w:w="1511"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危险品仓储594（不含加油站的油库；不含加气站的气库）</w:t>
                  </w:r>
                </w:p>
              </w:tc>
              <w:tc>
                <w:tcPr>
                  <w:tcW w:w="2040"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总容量20万立方米及以上的油库（含油品码头后方配套油库）；地下油库；地下气库</w:t>
                  </w:r>
                </w:p>
              </w:tc>
              <w:tc>
                <w:tcPr>
                  <w:tcW w:w="1442"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其他（含有毒、有害、危险品的仓储；含液化天然气库）</w:t>
                  </w:r>
                </w:p>
              </w:tc>
              <w:tc>
                <w:tcPr>
                  <w:tcW w:w="750"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1948"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eastAsia="宋体" w:cs="Times New Roman"/>
                      <w:b w:val="0"/>
                      <w:bCs w:val="0"/>
                      <w:color w:val="auto"/>
                      <w:sz w:val="18"/>
                      <w:szCs w:val="18"/>
                      <w:highlight w:val="none"/>
                      <w:lang w:val="en-US" w:eastAsia="zh-CN"/>
                    </w:rPr>
                    <w:t>为废矿物油收集、储存</w:t>
                  </w:r>
                  <w:r>
                    <w:rPr>
                      <w:rFonts w:hint="eastAsia" w:cs="Times New Roman"/>
                      <w:b w:val="0"/>
                      <w:bCs w:val="0"/>
                      <w:color w:val="auto"/>
                      <w:sz w:val="18"/>
                      <w:szCs w:val="18"/>
                      <w:highlight w:val="none"/>
                      <w:lang w:val="en-US" w:eastAsia="zh-CN"/>
                    </w:rPr>
                    <w:t>，</w:t>
                  </w:r>
                  <w:r>
                    <w:rPr>
                      <w:rFonts w:hint="default" w:ascii="Times New Roman" w:hAnsi="Times New Roman" w:eastAsia="宋体" w:cs="Times New Roman"/>
                      <w:b w:val="0"/>
                      <w:bCs w:val="0"/>
                      <w:color w:val="auto"/>
                      <w:sz w:val="18"/>
                      <w:szCs w:val="18"/>
                      <w:highlight w:val="none"/>
                      <w:lang w:val="en-US" w:eastAsia="zh-CN"/>
                    </w:rPr>
                    <w:t>属于“有毒、有害、危险品的仓储”类，应编制</w:t>
                  </w:r>
                  <w:r>
                    <w:rPr>
                      <w:rFonts w:hint="default" w:ascii="Times New Roman" w:hAnsi="Times New Roman" w:eastAsia="宋体" w:cs="Times New Roman"/>
                      <w:b/>
                      <w:bCs/>
                      <w:color w:val="auto"/>
                      <w:sz w:val="18"/>
                      <w:szCs w:val="18"/>
                      <w:highlight w:val="none"/>
                      <w:lang w:val="en-US" w:eastAsia="zh-CN"/>
                    </w:rPr>
                    <w:t>报告表</w:t>
                  </w:r>
                </w:p>
              </w:tc>
            </w:tr>
          </w:tbl>
          <w:p>
            <w:pPr>
              <w:numPr>
                <w:ilvl w:val="0"/>
                <w:numId w:val="8"/>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项目建设内容</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本项目租用</w:t>
            </w:r>
            <w:r>
              <w:rPr>
                <w:rFonts w:hint="eastAsia" w:cs="Times New Roman"/>
                <w:color w:val="auto"/>
                <w:kern w:val="0"/>
                <w:szCs w:val="21"/>
                <w:lang w:val="en-US" w:eastAsia="zh-CN"/>
              </w:rPr>
              <w:t>四川君璜建材有限公司</w:t>
            </w:r>
            <w:r>
              <w:rPr>
                <w:rFonts w:hint="default" w:ascii="Times New Roman" w:hAnsi="Times New Roman" w:cs="Times New Roman"/>
                <w:color w:val="auto"/>
                <w:kern w:val="0"/>
                <w:szCs w:val="21"/>
                <w:lang w:val="en-US" w:eastAsia="zh-CN"/>
              </w:rPr>
              <w:t>闲置的场地约</w:t>
            </w:r>
            <w:r>
              <w:rPr>
                <w:rFonts w:hint="eastAsia" w:cs="Times New Roman"/>
                <w:color w:val="auto"/>
                <w:kern w:val="0"/>
                <w:szCs w:val="21"/>
                <w:lang w:val="en-US" w:eastAsia="zh-CN"/>
              </w:rPr>
              <w:t>20</w:t>
            </w:r>
            <w:r>
              <w:rPr>
                <w:rFonts w:hint="default" w:ascii="Times New Roman" w:hAnsi="Times New Roman" w:cs="Times New Roman"/>
                <w:color w:val="auto"/>
                <w:kern w:val="0"/>
                <w:szCs w:val="21"/>
                <w:lang w:val="en-US" w:eastAsia="zh-CN"/>
              </w:rPr>
              <w:t>0m</w:t>
            </w:r>
            <w:r>
              <w:rPr>
                <w:rFonts w:hint="eastAsia" w:ascii="Times New Roman" w:hAnsi="Times New Roman" w:cs="Times New Roman"/>
                <w:color w:val="auto"/>
                <w:kern w:val="0"/>
                <w:szCs w:val="21"/>
                <w:lang w:val="en-US" w:eastAsia="zh-CN"/>
              </w:rPr>
              <w:t>²</w:t>
            </w:r>
            <w:r>
              <w:rPr>
                <w:rFonts w:hint="default" w:ascii="Times New Roman" w:hAnsi="Times New Roman" w:cs="Times New Roman"/>
                <w:color w:val="auto"/>
                <w:kern w:val="0"/>
                <w:szCs w:val="21"/>
                <w:lang w:val="en-US" w:eastAsia="zh-CN"/>
              </w:rPr>
              <w:t>，建设储油车间1个，同时租用</w:t>
            </w:r>
            <w:r>
              <w:rPr>
                <w:rFonts w:hint="default" w:ascii="Times New Roman" w:hAnsi="Times New Roman" w:cs="Times New Roman"/>
                <w:color w:val="auto"/>
                <w:kern w:val="0"/>
                <w:szCs w:val="21"/>
              </w:rPr>
              <w:t>办公</w:t>
            </w:r>
            <w:r>
              <w:rPr>
                <w:rFonts w:hint="default" w:ascii="Times New Roman" w:hAnsi="Times New Roman" w:cs="Times New Roman"/>
                <w:color w:val="auto"/>
                <w:kern w:val="0"/>
                <w:szCs w:val="21"/>
                <w:lang w:val="en-US" w:eastAsia="zh-CN"/>
              </w:rPr>
              <w:t>用房</w:t>
            </w:r>
            <w:r>
              <w:rPr>
                <w:rFonts w:hint="eastAsia" w:cs="Times New Roman"/>
                <w:color w:val="auto"/>
                <w:kern w:val="0"/>
                <w:szCs w:val="21"/>
                <w:lang w:val="en-US" w:eastAsia="zh-CN"/>
              </w:rPr>
              <w:t>1</w:t>
            </w:r>
            <w:r>
              <w:rPr>
                <w:rFonts w:hint="default" w:ascii="Times New Roman" w:hAnsi="Times New Roman" w:cs="Times New Roman"/>
                <w:color w:val="auto"/>
                <w:kern w:val="0"/>
                <w:szCs w:val="21"/>
                <w:lang w:val="en-US" w:eastAsia="zh-CN"/>
              </w:rPr>
              <w:t>间，面积约</w:t>
            </w:r>
            <w:r>
              <w:rPr>
                <w:rFonts w:hint="eastAsia" w:cs="Times New Roman"/>
                <w:color w:val="auto"/>
                <w:kern w:val="0"/>
                <w:szCs w:val="21"/>
                <w:lang w:val="en-US" w:eastAsia="zh-CN"/>
              </w:rPr>
              <w:t>2</w:t>
            </w:r>
            <w:r>
              <w:rPr>
                <w:rFonts w:hint="default" w:ascii="Times New Roman" w:hAnsi="Times New Roman" w:cs="Times New Roman"/>
                <w:color w:val="auto"/>
                <w:kern w:val="0"/>
                <w:szCs w:val="21"/>
              </w:rPr>
              <w:t>0m</w:t>
            </w:r>
            <w:r>
              <w:rPr>
                <w:rFonts w:hint="eastAsia" w:cs="Times New Roman"/>
                <w:color w:val="auto"/>
                <w:kern w:val="0"/>
                <w:szCs w:val="21"/>
                <w:lang w:val="en-US" w:eastAsia="zh-CN"/>
              </w:rPr>
              <w:t>²</w:t>
            </w:r>
            <w:r>
              <w:rPr>
                <w:rFonts w:hint="default" w:ascii="Times New Roman" w:hAnsi="Times New Roman" w:cs="Times New Roman"/>
                <w:color w:val="auto"/>
                <w:kern w:val="0"/>
                <w:szCs w:val="21"/>
                <w:lang w:val="en-US" w:eastAsia="zh-CN"/>
              </w:rPr>
              <w:t>。建设废矿物油回收储存项目，</w:t>
            </w:r>
            <w:r>
              <w:rPr>
                <w:rFonts w:hint="default" w:ascii="Times New Roman" w:hAnsi="Times New Roman" w:cs="Times New Roman"/>
                <w:color w:val="auto"/>
                <w:kern w:val="0"/>
                <w:szCs w:val="21"/>
              </w:rPr>
              <w:t>拟</w:t>
            </w:r>
            <w:r>
              <w:rPr>
                <w:rFonts w:hint="default" w:ascii="Times New Roman" w:hAnsi="Times New Roman" w:cs="Times New Roman"/>
                <w:color w:val="auto"/>
                <w:kern w:val="0"/>
                <w:szCs w:val="21"/>
                <w:lang w:eastAsia="zh-CN"/>
              </w:rPr>
              <w:t>在</w:t>
            </w:r>
            <w:r>
              <w:rPr>
                <w:rFonts w:hint="default" w:ascii="Times New Roman" w:hAnsi="Times New Roman" w:cs="Times New Roman"/>
                <w:color w:val="auto"/>
                <w:kern w:val="0"/>
                <w:szCs w:val="21"/>
                <w:lang w:val="en-US" w:eastAsia="zh-CN"/>
              </w:rPr>
              <w:t>车间内</w:t>
            </w:r>
            <w:r>
              <w:rPr>
                <w:rFonts w:hint="default" w:ascii="Times New Roman" w:hAnsi="Times New Roman" w:cs="Times New Roman"/>
                <w:color w:val="auto"/>
                <w:kern w:val="0"/>
                <w:szCs w:val="21"/>
              </w:rPr>
              <w:t>安装储油罐</w:t>
            </w:r>
            <w:r>
              <w:rPr>
                <w:rFonts w:hint="eastAsia" w:cs="Times New Roman"/>
                <w:color w:val="auto"/>
                <w:kern w:val="0"/>
                <w:szCs w:val="21"/>
                <w:lang w:val="en-US" w:eastAsia="zh-CN"/>
              </w:rPr>
              <w:t>1</w:t>
            </w:r>
            <w:r>
              <w:rPr>
                <w:rFonts w:hint="default" w:ascii="Times New Roman" w:hAnsi="Times New Roman" w:cs="Times New Roman"/>
                <w:color w:val="auto"/>
                <w:kern w:val="0"/>
                <w:szCs w:val="21"/>
              </w:rPr>
              <w:t>个</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φ2.</w:t>
            </w:r>
            <w:r>
              <w:rPr>
                <w:rFonts w:hint="eastAsia" w:cs="Times New Roman"/>
                <w:color w:val="auto"/>
                <w:kern w:val="0"/>
                <w:szCs w:val="21"/>
                <w:lang w:val="en-US" w:eastAsia="zh-CN"/>
              </w:rPr>
              <w:t>8</w:t>
            </w:r>
            <w:r>
              <w:rPr>
                <w:rFonts w:hint="default" w:ascii="Times New Roman" w:hAnsi="Times New Roman" w:cs="Times New Roman"/>
                <w:color w:val="auto"/>
                <w:kern w:val="0"/>
                <w:szCs w:val="21"/>
                <w:lang w:val="en-US" w:eastAsia="zh-CN"/>
              </w:rPr>
              <w:t>×8.2m</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容积约</w:t>
            </w:r>
            <w:r>
              <w:rPr>
                <w:rFonts w:hint="eastAsia" w:cs="Times New Roman"/>
                <w:color w:val="auto"/>
                <w:kern w:val="0"/>
                <w:szCs w:val="21"/>
                <w:lang w:val="en-US" w:eastAsia="zh-CN"/>
              </w:rPr>
              <w:t>50</w:t>
            </w:r>
            <w:r>
              <w:rPr>
                <w:rFonts w:hint="default" w:ascii="Times New Roman" w:hAnsi="Times New Roman" w:cs="Times New Roman"/>
                <w:color w:val="auto"/>
                <w:kern w:val="0"/>
                <w:szCs w:val="21"/>
                <w:lang w:val="en-US" w:eastAsia="zh-CN"/>
              </w:rPr>
              <w:t>m</w:t>
            </w:r>
            <w:r>
              <w:rPr>
                <w:rFonts w:hint="default" w:ascii="Times New Roman" w:hAnsi="Times New Roman" w:cs="Times New Roman"/>
                <w:color w:val="auto"/>
                <w:kern w:val="0"/>
                <w:szCs w:val="21"/>
                <w:vertAlign w:val="superscript"/>
                <w:lang w:val="en-US" w:eastAsia="zh-CN"/>
              </w:rPr>
              <w:t>3</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正常最大储油量约80%，</w:t>
            </w:r>
            <w:r>
              <w:rPr>
                <w:rFonts w:hint="default" w:ascii="Times New Roman" w:hAnsi="Times New Roman" w:cs="Times New Roman"/>
                <w:color w:val="auto"/>
                <w:kern w:val="0"/>
                <w:szCs w:val="21"/>
                <w:lang w:val="en-US" w:eastAsia="zh-CN"/>
              </w:rPr>
              <w:t>储油</w:t>
            </w:r>
            <w:r>
              <w:rPr>
                <w:rFonts w:hint="eastAsia" w:cs="Times New Roman"/>
                <w:color w:val="auto"/>
                <w:kern w:val="0"/>
                <w:szCs w:val="21"/>
                <w:lang w:val="en-US" w:eastAsia="zh-CN"/>
              </w:rPr>
              <w:t>40m³</w:t>
            </w:r>
            <w:r>
              <w:rPr>
                <w:rFonts w:hint="default"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同时</w:t>
            </w:r>
            <w:r>
              <w:rPr>
                <w:rFonts w:hint="default" w:ascii="Times New Roman" w:hAnsi="Times New Roman" w:cs="Times New Roman"/>
                <w:color w:val="auto"/>
                <w:kern w:val="0"/>
                <w:szCs w:val="21"/>
              </w:rPr>
              <w:t>配套</w:t>
            </w:r>
            <w:r>
              <w:rPr>
                <w:rFonts w:hint="default" w:ascii="Times New Roman" w:hAnsi="Times New Roman" w:cs="Times New Roman"/>
                <w:color w:val="auto"/>
                <w:kern w:val="0"/>
                <w:szCs w:val="21"/>
                <w:lang w:val="en-US" w:eastAsia="zh-CN"/>
              </w:rPr>
              <w:t>装卸油的</w:t>
            </w:r>
            <w:r>
              <w:rPr>
                <w:rFonts w:hint="default" w:ascii="Times New Roman" w:hAnsi="Times New Roman" w:cs="Times New Roman"/>
                <w:color w:val="auto"/>
                <w:kern w:val="0"/>
                <w:szCs w:val="21"/>
              </w:rPr>
              <w:t>动力泵，并对储存</w:t>
            </w:r>
            <w:r>
              <w:rPr>
                <w:rFonts w:hint="default" w:ascii="Times New Roman" w:hAnsi="Times New Roman" w:cs="Times New Roman"/>
                <w:color w:val="auto"/>
                <w:kern w:val="0"/>
                <w:szCs w:val="21"/>
                <w:lang w:val="en-US" w:eastAsia="zh-CN"/>
              </w:rPr>
              <w:t>区</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装卸区</w:t>
            </w:r>
            <w:r>
              <w:rPr>
                <w:rFonts w:hint="default" w:ascii="Times New Roman" w:hAnsi="Times New Roman" w:cs="Times New Roman"/>
                <w:color w:val="auto"/>
                <w:kern w:val="0"/>
                <w:szCs w:val="21"/>
              </w:rPr>
              <w:t>进行防腐防渗，配套建设消防、环保等设施。</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项目组成和可能产生的环境问题见下表。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项目组成和可能产生的环境问题</w:t>
            </w:r>
          </w:p>
          <w:tbl>
            <w:tblPr>
              <w:tblStyle w:val="17"/>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6"/>
              <w:gridCol w:w="892"/>
              <w:gridCol w:w="4623"/>
              <w:gridCol w:w="760"/>
              <w:gridCol w:w="835"/>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358" w:type="dxa"/>
                  <w:gridSpan w:val="2"/>
                  <w:vMerge w:val="restart"/>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4623" w:type="dxa"/>
                  <w:vMerge w:val="restart"/>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建设内容及规模</w:t>
                  </w:r>
                </w:p>
              </w:tc>
              <w:tc>
                <w:tcPr>
                  <w:tcW w:w="1595" w:type="dxa"/>
                  <w:gridSpan w:val="2"/>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主要环境问题</w:t>
                  </w:r>
                </w:p>
              </w:tc>
              <w:tc>
                <w:tcPr>
                  <w:tcW w:w="542" w:type="dxa"/>
                  <w:vMerge w:val="restart"/>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358" w:type="dxa"/>
                  <w:gridSpan w:val="2"/>
                  <w:vMerge w:val="continue"/>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
                      <w:bCs/>
                      <w:color w:val="auto"/>
                      <w:sz w:val="18"/>
                      <w:szCs w:val="18"/>
                    </w:rPr>
                  </w:pPr>
                </w:p>
              </w:tc>
              <w:tc>
                <w:tcPr>
                  <w:tcW w:w="4623"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
                      <w:bCs/>
                      <w:color w:val="auto"/>
                      <w:sz w:val="18"/>
                      <w:szCs w:val="18"/>
                    </w:rPr>
                  </w:pPr>
                </w:p>
              </w:tc>
              <w:tc>
                <w:tcPr>
                  <w:tcW w:w="760"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施工期</w:t>
                  </w:r>
                </w:p>
              </w:tc>
              <w:tc>
                <w:tcPr>
                  <w:tcW w:w="835"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营运期</w:t>
                  </w:r>
                </w:p>
              </w:tc>
              <w:tc>
                <w:tcPr>
                  <w:tcW w:w="542"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0" w:hRule="atLeast"/>
                <w:jc w:val="center"/>
              </w:trPr>
              <w:tc>
                <w:tcPr>
                  <w:tcW w:w="466"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主体</w:t>
                  </w:r>
                </w:p>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w:t>
                  </w:r>
                </w:p>
              </w:tc>
              <w:tc>
                <w:tcPr>
                  <w:tcW w:w="892"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eastAsia="zh-CN"/>
                    </w:rPr>
                    <w:t>废矿物油</w:t>
                  </w:r>
                  <w:r>
                    <w:rPr>
                      <w:rFonts w:hint="default" w:ascii="Times New Roman" w:hAnsi="Times New Roman" w:cs="Times New Roman"/>
                      <w:bCs/>
                      <w:color w:val="auto"/>
                      <w:sz w:val="18"/>
                      <w:szCs w:val="18"/>
                    </w:rPr>
                    <w:t>储存间</w:t>
                  </w:r>
                </w:p>
              </w:tc>
              <w:tc>
                <w:tcPr>
                  <w:tcW w:w="4623"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rPr>
                      <w:rFonts w:hint="default" w:ascii="Times New Roman" w:hAnsi="Times New Roman" w:eastAsia="宋体" w:cs="Times New Roman"/>
                      <w:bCs/>
                      <w:color w:val="auto"/>
                      <w:kern w:val="0"/>
                      <w:sz w:val="18"/>
                      <w:szCs w:val="18"/>
                      <w:lang w:eastAsia="zh-CN"/>
                    </w:rPr>
                  </w:pPr>
                  <w:r>
                    <w:rPr>
                      <w:rFonts w:hint="default" w:ascii="Times New Roman" w:hAnsi="Times New Roman" w:cs="Times New Roman"/>
                      <w:bCs/>
                      <w:color w:val="auto"/>
                      <w:kern w:val="0"/>
                      <w:sz w:val="18"/>
                      <w:szCs w:val="18"/>
                      <w:lang w:val="en-US" w:eastAsia="zh-CN"/>
                    </w:rPr>
                    <w:t>采用轻钢板</w:t>
                  </w:r>
                  <w:r>
                    <w:rPr>
                      <w:rFonts w:hint="eastAsia" w:cs="Times New Roman"/>
                      <w:bCs/>
                      <w:color w:val="auto"/>
                      <w:kern w:val="0"/>
                      <w:sz w:val="18"/>
                      <w:szCs w:val="18"/>
                      <w:lang w:val="en-US" w:eastAsia="zh-CN"/>
                    </w:rPr>
                    <w:t>建设1个</w:t>
                  </w:r>
                  <w:r>
                    <w:rPr>
                      <w:rFonts w:hint="default" w:ascii="Times New Roman" w:hAnsi="Times New Roman" w:cs="Times New Roman"/>
                      <w:bCs/>
                      <w:color w:val="auto"/>
                      <w:kern w:val="0"/>
                      <w:sz w:val="18"/>
                      <w:szCs w:val="18"/>
                      <w:lang w:val="en-US" w:eastAsia="zh-CN"/>
                    </w:rPr>
                    <w:t>全封闭</w:t>
                  </w:r>
                  <w:r>
                    <w:rPr>
                      <w:rFonts w:hint="eastAsia" w:cs="Times New Roman"/>
                      <w:bCs/>
                      <w:color w:val="auto"/>
                      <w:kern w:val="0"/>
                      <w:sz w:val="18"/>
                      <w:szCs w:val="18"/>
                      <w:lang w:val="en-US" w:eastAsia="zh-CN"/>
                    </w:rPr>
                    <w:t>的储油车间，面积约200m²</w:t>
                  </w:r>
                  <w:r>
                    <w:rPr>
                      <w:rFonts w:hint="default" w:ascii="Times New Roman" w:hAnsi="Times New Roman" w:cs="Times New Roman"/>
                      <w:bCs/>
                      <w:color w:val="auto"/>
                      <w:kern w:val="0"/>
                      <w:sz w:val="18"/>
                      <w:szCs w:val="18"/>
                      <w:lang w:val="en-US" w:eastAsia="zh-CN"/>
                    </w:rPr>
                    <w:t>；在车间内划分储罐区（</w:t>
                  </w:r>
                  <w:r>
                    <w:rPr>
                      <w:rFonts w:hint="eastAsia" w:cs="Times New Roman"/>
                      <w:bCs/>
                      <w:color w:val="auto"/>
                      <w:kern w:val="0"/>
                      <w:sz w:val="18"/>
                      <w:szCs w:val="18"/>
                      <w:lang w:val="en-US" w:eastAsia="zh-CN"/>
                    </w:rPr>
                    <w:t>16</w:t>
                  </w:r>
                  <w:r>
                    <w:rPr>
                      <w:rFonts w:hint="default" w:ascii="Times New Roman" w:hAnsi="Times New Roman" w:cs="Times New Roman"/>
                      <w:bCs/>
                      <w:color w:val="auto"/>
                      <w:kern w:val="0"/>
                      <w:sz w:val="18"/>
                      <w:szCs w:val="18"/>
                      <w:lang w:val="en-US" w:eastAsia="zh-CN"/>
                    </w:rPr>
                    <w:t>m×</w:t>
                  </w:r>
                  <w:r>
                    <w:rPr>
                      <w:rFonts w:hint="eastAsia" w:cs="Times New Roman"/>
                      <w:bCs/>
                      <w:color w:val="auto"/>
                      <w:kern w:val="0"/>
                      <w:sz w:val="18"/>
                      <w:szCs w:val="18"/>
                      <w:lang w:val="en-US" w:eastAsia="zh-CN"/>
                    </w:rPr>
                    <w:t>4</w:t>
                  </w:r>
                  <w:r>
                    <w:rPr>
                      <w:rFonts w:hint="default" w:ascii="Times New Roman" w:hAnsi="Times New Roman" w:cs="Times New Roman"/>
                      <w:bCs/>
                      <w:color w:val="auto"/>
                      <w:kern w:val="0"/>
                      <w:sz w:val="18"/>
                      <w:szCs w:val="18"/>
                      <w:lang w:val="en-US" w:eastAsia="zh-CN"/>
                    </w:rPr>
                    <w:t>m）、卸油区（1</w:t>
                  </w:r>
                  <w:r>
                    <w:rPr>
                      <w:rFonts w:hint="eastAsia" w:cs="Times New Roman"/>
                      <w:bCs/>
                      <w:color w:val="auto"/>
                      <w:kern w:val="0"/>
                      <w:sz w:val="18"/>
                      <w:szCs w:val="18"/>
                      <w:lang w:val="en-US" w:eastAsia="zh-CN"/>
                    </w:rPr>
                    <w:t>2</w:t>
                  </w:r>
                  <w:r>
                    <w:rPr>
                      <w:rFonts w:hint="default" w:ascii="Times New Roman" w:hAnsi="Times New Roman" w:cs="Times New Roman"/>
                      <w:bCs/>
                      <w:color w:val="auto"/>
                      <w:kern w:val="0"/>
                      <w:sz w:val="18"/>
                      <w:szCs w:val="18"/>
                      <w:lang w:val="en-US" w:eastAsia="zh-CN"/>
                    </w:rPr>
                    <w:t>m×</w:t>
                  </w:r>
                  <w:r>
                    <w:rPr>
                      <w:rFonts w:hint="eastAsia" w:cs="Times New Roman"/>
                      <w:bCs/>
                      <w:color w:val="auto"/>
                      <w:kern w:val="0"/>
                      <w:sz w:val="18"/>
                      <w:szCs w:val="18"/>
                      <w:lang w:val="en-US" w:eastAsia="zh-CN"/>
                    </w:rPr>
                    <w:t>6</w:t>
                  </w:r>
                  <w:r>
                    <w:rPr>
                      <w:rFonts w:hint="default" w:ascii="Times New Roman" w:hAnsi="Times New Roman" w:cs="Times New Roman"/>
                      <w:bCs/>
                      <w:color w:val="auto"/>
                      <w:kern w:val="0"/>
                      <w:sz w:val="18"/>
                      <w:szCs w:val="18"/>
                      <w:lang w:val="en-US" w:eastAsia="zh-CN"/>
                    </w:rPr>
                    <w:t>m）、危废暂存间、消防水池、消防沙池等。储罐区拟设在车间</w:t>
                  </w:r>
                  <w:r>
                    <w:rPr>
                      <w:rFonts w:hint="eastAsia" w:cs="Times New Roman"/>
                      <w:bCs/>
                      <w:color w:val="auto"/>
                      <w:kern w:val="0"/>
                      <w:sz w:val="18"/>
                      <w:szCs w:val="18"/>
                      <w:lang w:val="en-US" w:eastAsia="zh-CN"/>
                    </w:rPr>
                    <w:t>西南</w:t>
                  </w:r>
                  <w:r>
                    <w:rPr>
                      <w:rFonts w:hint="default" w:ascii="Times New Roman" w:hAnsi="Times New Roman" w:cs="Times New Roman"/>
                      <w:bCs/>
                      <w:color w:val="auto"/>
                      <w:kern w:val="0"/>
                      <w:sz w:val="18"/>
                      <w:szCs w:val="18"/>
                      <w:lang w:val="en-US" w:eastAsia="zh-CN"/>
                    </w:rPr>
                    <w:t>，</w:t>
                  </w:r>
                  <w:r>
                    <w:rPr>
                      <w:rFonts w:hint="default" w:ascii="Times New Roman" w:hAnsi="Times New Roman" w:cs="Times New Roman"/>
                      <w:bCs/>
                      <w:color w:val="auto"/>
                      <w:kern w:val="0"/>
                      <w:sz w:val="18"/>
                      <w:szCs w:val="18"/>
                    </w:rPr>
                    <w:t>内设置</w:t>
                  </w:r>
                  <w:r>
                    <w:rPr>
                      <w:rFonts w:hint="eastAsia" w:cs="Times New Roman"/>
                      <w:bCs/>
                      <w:color w:val="auto"/>
                      <w:kern w:val="0"/>
                      <w:sz w:val="18"/>
                      <w:szCs w:val="18"/>
                      <w:lang w:val="en-US" w:eastAsia="zh-CN"/>
                    </w:rPr>
                    <w:t>50</w:t>
                  </w:r>
                  <w:r>
                    <w:rPr>
                      <w:rFonts w:hint="default" w:ascii="Times New Roman" w:hAnsi="Times New Roman" w:cs="Times New Roman"/>
                      <w:bCs/>
                      <w:color w:val="auto"/>
                      <w:kern w:val="0"/>
                      <w:sz w:val="18"/>
                      <w:szCs w:val="18"/>
                      <w:lang w:val="en-US" w:eastAsia="zh-CN"/>
                    </w:rPr>
                    <w:t>m</w:t>
                  </w:r>
                  <w:r>
                    <w:rPr>
                      <w:rFonts w:hint="default" w:ascii="Times New Roman" w:hAnsi="Times New Roman" w:cs="Times New Roman"/>
                      <w:bCs/>
                      <w:color w:val="auto"/>
                      <w:kern w:val="0"/>
                      <w:sz w:val="18"/>
                      <w:szCs w:val="18"/>
                      <w:vertAlign w:val="superscript"/>
                      <w:lang w:val="en-US" w:eastAsia="zh-CN"/>
                    </w:rPr>
                    <w:t>3</w:t>
                  </w:r>
                  <w:r>
                    <w:rPr>
                      <w:rFonts w:hint="default" w:ascii="Times New Roman" w:hAnsi="Times New Roman" w:cs="Times New Roman"/>
                      <w:bCs/>
                      <w:color w:val="auto"/>
                      <w:kern w:val="0"/>
                      <w:sz w:val="18"/>
                      <w:szCs w:val="18"/>
                    </w:rPr>
                    <w:t>的卧式钢制双层储油罐</w:t>
                  </w:r>
                  <w:r>
                    <w:rPr>
                      <w:rFonts w:hint="eastAsia" w:cs="Times New Roman"/>
                      <w:bCs/>
                      <w:color w:val="auto"/>
                      <w:kern w:val="0"/>
                      <w:sz w:val="18"/>
                      <w:szCs w:val="18"/>
                      <w:lang w:val="en-US" w:eastAsia="zh-CN"/>
                    </w:rPr>
                    <w:t>1</w:t>
                  </w:r>
                  <w:r>
                    <w:rPr>
                      <w:rFonts w:hint="default" w:ascii="Times New Roman" w:hAnsi="Times New Roman" w:cs="Times New Roman"/>
                      <w:bCs/>
                      <w:color w:val="auto"/>
                      <w:kern w:val="0"/>
                      <w:sz w:val="18"/>
                      <w:szCs w:val="18"/>
                    </w:rPr>
                    <w:t>个及配套的动力泵，储罐规格为φ</w:t>
                  </w:r>
                  <w:r>
                    <w:rPr>
                      <w:rFonts w:hint="eastAsia" w:cs="Times New Roman"/>
                      <w:bCs/>
                      <w:color w:val="auto"/>
                      <w:kern w:val="0"/>
                      <w:sz w:val="18"/>
                      <w:szCs w:val="18"/>
                      <w:lang w:val="en-US" w:eastAsia="zh-CN"/>
                    </w:rPr>
                    <w:t>2.8</w:t>
                  </w:r>
                  <w:r>
                    <w:rPr>
                      <w:rFonts w:hint="default" w:ascii="Times New Roman" w:hAnsi="Times New Roman" w:cs="Times New Roman"/>
                      <w:bCs/>
                      <w:color w:val="auto"/>
                      <w:kern w:val="0"/>
                      <w:sz w:val="18"/>
                      <w:szCs w:val="18"/>
                    </w:rPr>
                    <w:t>m×</w:t>
                  </w:r>
                  <w:r>
                    <w:rPr>
                      <w:rFonts w:hint="default" w:ascii="Times New Roman" w:hAnsi="Times New Roman" w:cs="Times New Roman"/>
                      <w:bCs/>
                      <w:color w:val="auto"/>
                      <w:kern w:val="0"/>
                      <w:sz w:val="18"/>
                      <w:szCs w:val="18"/>
                      <w:lang w:val="en-US" w:eastAsia="zh-CN"/>
                    </w:rPr>
                    <w:t>8.2</w:t>
                  </w:r>
                  <w:r>
                    <w:rPr>
                      <w:rFonts w:hint="default" w:ascii="Times New Roman" w:hAnsi="Times New Roman" w:cs="Times New Roman"/>
                      <w:bCs/>
                      <w:color w:val="auto"/>
                      <w:kern w:val="0"/>
                      <w:sz w:val="18"/>
                      <w:szCs w:val="18"/>
                    </w:rPr>
                    <w:t>m；储油罐四周建设</w:t>
                  </w:r>
                  <w:r>
                    <w:rPr>
                      <w:rFonts w:hint="eastAsia" w:cs="Times New Roman"/>
                      <w:bCs/>
                      <w:color w:val="auto"/>
                      <w:kern w:val="0"/>
                      <w:sz w:val="18"/>
                      <w:szCs w:val="18"/>
                      <w:lang w:val="en-US" w:eastAsia="zh-CN"/>
                    </w:rPr>
                    <w:t>8</w:t>
                  </w:r>
                  <w:r>
                    <w:rPr>
                      <w:rFonts w:hint="eastAsia" w:cs="Times New Roman"/>
                      <w:bCs/>
                      <w:color w:val="auto"/>
                      <w:kern w:val="0"/>
                      <w:sz w:val="18"/>
                      <w:szCs w:val="18"/>
                      <w:lang w:eastAsia="zh-CN"/>
                    </w:rPr>
                    <w:t>0cm</w:t>
                  </w:r>
                  <w:r>
                    <w:rPr>
                      <w:rFonts w:hint="default" w:ascii="Times New Roman" w:hAnsi="Times New Roman" w:cs="Times New Roman"/>
                      <w:bCs/>
                      <w:color w:val="auto"/>
                      <w:kern w:val="0"/>
                      <w:sz w:val="18"/>
                      <w:szCs w:val="18"/>
                    </w:rPr>
                    <w:t>高防溢流围堰</w:t>
                  </w:r>
                  <w:r>
                    <w:rPr>
                      <w:rFonts w:hint="default" w:ascii="Times New Roman" w:hAnsi="Times New Roman" w:cs="Times New Roman"/>
                      <w:bCs/>
                      <w:color w:val="auto"/>
                      <w:kern w:val="0"/>
                      <w:sz w:val="18"/>
                      <w:szCs w:val="18"/>
                      <w:lang w:eastAsia="zh-CN"/>
                    </w:rPr>
                    <w:t>；</w:t>
                  </w:r>
                </w:p>
                <w:p>
                  <w:pPr>
                    <w:keepNext w:val="0"/>
                    <w:keepLines w:val="0"/>
                    <w:pageBreakBefore w:val="0"/>
                    <w:widowControl/>
                    <w:kinsoku/>
                    <w:wordWrap/>
                    <w:overflowPunct/>
                    <w:topLinePunct w:val="0"/>
                    <w:autoSpaceDE/>
                    <w:autoSpaceDN/>
                    <w:bidi w:val="0"/>
                    <w:spacing w:line="280" w:lineRule="exact"/>
                    <w:ind w:left="21" w:leftChars="10" w:right="21" w:rightChars="10"/>
                    <w:rPr>
                      <w:rFonts w:hint="default" w:ascii="Times New Roman" w:hAnsi="Times New Roman" w:cs="Times New Roman"/>
                      <w:bCs/>
                      <w:color w:val="auto"/>
                      <w:kern w:val="0"/>
                      <w:sz w:val="18"/>
                      <w:szCs w:val="18"/>
                      <w:lang w:val="en-US" w:eastAsia="zh-CN"/>
                    </w:rPr>
                  </w:pPr>
                  <w:r>
                    <w:rPr>
                      <w:rFonts w:hint="default" w:ascii="Times New Roman" w:hAnsi="Times New Roman" w:cs="Times New Roman"/>
                      <w:bCs/>
                      <w:color w:val="auto"/>
                      <w:kern w:val="0"/>
                      <w:sz w:val="18"/>
                      <w:szCs w:val="18"/>
                      <w:lang w:val="en-US" w:eastAsia="zh-CN"/>
                    </w:rPr>
                    <w:t>储罐区</w:t>
                  </w:r>
                  <w:r>
                    <w:rPr>
                      <w:rFonts w:hint="eastAsia" w:cs="Times New Roman"/>
                      <w:bCs/>
                      <w:color w:val="auto"/>
                      <w:kern w:val="0"/>
                      <w:sz w:val="18"/>
                      <w:szCs w:val="18"/>
                      <w:lang w:val="en-US" w:eastAsia="zh-CN"/>
                    </w:rPr>
                    <w:t>东</w:t>
                  </w:r>
                  <w:r>
                    <w:rPr>
                      <w:rFonts w:hint="default" w:ascii="Times New Roman" w:hAnsi="Times New Roman" w:cs="Times New Roman"/>
                      <w:bCs/>
                      <w:color w:val="auto"/>
                      <w:kern w:val="0"/>
                      <w:sz w:val="18"/>
                      <w:szCs w:val="18"/>
                      <w:lang w:val="en-US" w:eastAsia="zh-CN"/>
                    </w:rPr>
                    <w:t>侧拟设为装卸区</w:t>
                  </w:r>
                  <w:r>
                    <w:rPr>
                      <w:rFonts w:hint="default" w:ascii="Times New Roman" w:hAnsi="Times New Roman" w:cs="Times New Roman"/>
                      <w:bCs/>
                      <w:color w:val="auto"/>
                      <w:kern w:val="0"/>
                      <w:sz w:val="18"/>
                      <w:szCs w:val="18"/>
                    </w:rPr>
                    <w:t>1个（卸车和装车共用）</w:t>
                  </w:r>
                  <w:r>
                    <w:rPr>
                      <w:rFonts w:hint="default" w:ascii="Times New Roman" w:hAnsi="Times New Roman" w:cs="Times New Roman"/>
                      <w:bCs/>
                      <w:color w:val="auto"/>
                      <w:kern w:val="0"/>
                      <w:sz w:val="18"/>
                      <w:szCs w:val="18"/>
                      <w:lang w:val="en-US" w:eastAsia="zh-CN"/>
                    </w:rPr>
                    <w:t>，</w:t>
                  </w:r>
                  <w:r>
                    <w:rPr>
                      <w:rFonts w:hint="default" w:ascii="Times New Roman" w:hAnsi="Times New Roman" w:cs="Times New Roman"/>
                      <w:bCs/>
                      <w:color w:val="auto"/>
                      <w:kern w:val="0"/>
                      <w:sz w:val="18"/>
                      <w:szCs w:val="18"/>
                    </w:rPr>
                    <w:t>四周建5cm的</w:t>
                  </w:r>
                  <w:r>
                    <w:rPr>
                      <w:rFonts w:hint="default" w:ascii="Times New Roman" w:hAnsi="Times New Roman" w:cs="Times New Roman"/>
                      <w:bCs/>
                      <w:color w:val="auto"/>
                      <w:kern w:val="0"/>
                      <w:sz w:val="18"/>
                      <w:szCs w:val="18"/>
                      <w:lang w:val="en-US" w:eastAsia="zh-CN"/>
                    </w:rPr>
                    <w:t>防</w:t>
                  </w:r>
                  <w:r>
                    <w:rPr>
                      <w:rFonts w:hint="default" w:ascii="Times New Roman" w:hAnsi="Times New Roman" w:cs="Times New Roman"/>
                      <w:bCs/>
                      <w:color w:val="auto"/>
                      <w:kern w:val="0"/>
                      <w:sz w:val="18"/>
                      <w:szCs w:val="18"/>
                    </w:rPr>
                    <w:t>溢流围堰；配置移动式接油托盘</w:t>
                  </w:r>
                  <w:r>
                    <w:rPr>
                      <w:rFonts w:hint="default" w:ascii="Times New Roman" w:hAnsi="Times New Roman" w:cs="Times New Roman"/>
                      <w:bCs/>
                      <w:color w:val="auto"/>
                      <w:kern w:val="0"/>
                      <w:sz w:val="18"/>
                      <w:szCs w:val="18"/>
                      <w:lang w:eastAsia="zh-CN"/>
                    </w:rPr>
                    <w:t>（</w:t>
                  </w:r>
                  <w:r>
                    <w:rPr>
                      <w:rFonts w:hint="default" w:ascii="Times New Roman" w:hAnsi="Times New Roman" w:cs="Times New Roman"/>
                      <w:bCs/>
                      <w:color w:val="auto"/>
                      <w:kern w:val="0"/>
                      <w:sz w:val="18"/>
                      <w:szCs w:val="18"/>
                      <w:lang w:val="en-US" w:eastAsia="zh-CN"/>
                    </w:rPr>
                    <w:t>或接油桶等其他容器</w:t>
                  </w:r>
                  <w:r>
                    <w:rPr>
                      <w:rFonts w:hint="default" w:ascii="Times New Roman" w:hAnsi="Times New Roman" w:cs="Times New Roman"/>
                      <w:bCs/>
                      <w:color w:val="auto"/>
                      <w:kern w:val="0"/>
                      <w:sz w:val="18"/>
                      <w:szCs w:val="18"/>
                      <w:lang w:eastAsia="zh-CN"/>
                    </w:rPr>
                    <w:t>）</w:t>
                  </w:r>
                  <w:r>
                    <w:rPr>
                      <w:rFonts w:hint="default" w:ascii="Times New Roman" w:hAnsi="Times New Roman" w:cs="Times New Roman"/>
                      <w:bCs/>
                      <w:color w:val="auto"/>
                      <w:kern w:val="0"/>
                      <w:sz w:val="18"/>
                      <w:szCs w:val="18"/>
                    </w:rPr>
                    <w:t>；储油罐至装卸</w:t>
                  </w:r>
                  <w:r>
                    <w:rPr>
                      <w:rFonts w:hint="default" w:ascii="Times New Roman" w:hAnsi="Times New Roman" w:cs="Times New Roman"/>
                      <w:bCs/>
                      <w:color w:val="auto"/>
                      <w:kern w:val="0"/>
                      <w:sz w:val="18"/>
                      <w:szCs w:val="18"/>
                      <w:lang w:eastAsia="zh-CN"/>
                    </w:rPr>
                    <w:t>区</w:t>
                  </w:r>
                  <w:r>
                    <w:rPr>
                      <w:rFonts w:hint="eastAsia" w:cs="Times New Roman"/>
                      <w:bCs/>
                      <w:color w:val="auto"/>
                      <w:kern w:val="0"/>
                      <w:sz w:val="18"/>
                      <w:szCs w:val="18"/>
                      <w:lang w:val="en-US" w:eastAsia="zh-CN"/>
                    </w:rPr>
                    <w:t>配置</w:t>
                  </w:r>
                  <w:r>
                    <w:rPr>
                      <w:rFonts w:hint="default" w:ascii="Times New Roman" w:hAnsi="Times New Roman" w:cs="Times New Roman"/>
                      <w:bCs/>
                      <w:color w:val="auto"/>
                      <w:kern w:val="0"/>
                      <w:sz w:val="18"/>
                      <w:szCs w:val="18"/>
                    </w:rPr>
                    <w:t>输油软管</w:t>
                  </w:r>
                  <w:r>
                    <w:rPr>
                      <w:rFonts w:hint="eastAsia" w:cs="Times New Roman"/>
                      <w:bCs/>
                      <w:color w:val="auto"/>
                      <w:kern w:val="0"/>
                      <w:sz w:val="18"/>
                      <w:szCs w:val="18"/>
                      <w:lang w:eastAsia="zh-CN"/>
                    </w:rPr>
                    <w:t>；</w:t>
                  </w:r>
                  <w:r>
                    <w:rPr>
                      <w:rFonts w:hint="default" w:ascii="Times New Roman" w:hAnsi="Times New Roman" w:cs="Times New Roman"/>
                      <w:bCs/>
                      <w:color w:val="auto"/>
                      <w:kern w:val="0"/>
                      <w:sz w:val="18"/>
                      <w:szCs w:val="18"/>
                      <w:lang w:val="en-US" w:eastAsia="zh-CN"/>
                    </w:rPr>
                    <w:t>车间内设收集沟至事故水池</w:t>
                  </w:r>
                  <w:r>
                    <w:rPr>
                      <w:rFonts w:hint="eastAsia" w:cs="Times New Roman"/>
                      <w:bCs/>
                      <w:color w:val="auto"/>
                      <w:kern w:val="0"/>
                      <w:sz w:val="18"/>
                      <w:szCs w:val="18"/>
                      <w:lang w:val="en-US" w:eastAsia="zh-CN"/>
                    </w:rPr>
                    <w:t>；</w:t>
                  </w:r>
                </w:p>
                <w:p>
                  <w:pPr>
                    <w:keepNext w:val="0"/>
                    <w:keepLines w:val="0"/>
                    <w:pageBreakBefore w:val="0"/>
                    <w:widowControl/>
                    <w:kinsoku/>
                    <w:wordWrap/>
                    <w:overflowPunct/>
                    <w:topLinePunct w:val="0"/>
                    <w:autoSpaceDE/>
                    <w:autoSpaceDN/>
                    <w:bidi w:val="0"/>
                    <w:spacing w:line="280" w:lineRule="exact"/>
                    <w:ind w:left="21" w:leftChars="10" w:right="21" w:rightChars="1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lang w:val="en-US" w:eastAsia="zh-CN"/>
                    </w:rPr>
                    <w:t>储罐区、卸油区及围堰等</w:t>
                  </w:r>
                  <w:r>
                    <w:rPr>
                      <w:rFonts w:hint="default" w:ascii="Times New Roman" w:hAnsi="Times New Roman" w:cs="Times New Roman"/>
                      <w:bCs/>
                      <w:color w:val="auto"/>
                      <w:kern w:val="0"/>
                      <w:sz w:val="18"/>
                      <w:szCs w:val="18"/>
                    </w:rPr>
                    <w:t>进行防腐防渗（</w:t>
                  </w:r>
                  <w:r>
                    <w:rPr>
                      <w:rFonts w:hint="eastAsia" w:cs="Times New Roman"/>
                      <w:bCs/>
                      <w:color w:val="auto"/>
                      <w:kern w:val="0"/>
                      <w:sz w:val="18"/>
                      <w:szCs w:val="18"/>
                      <w:lang w:val="en-US" w:eastAsia="zh-CN"/>
                    </w:rPr>
                    <w:t>20cm混凝土硬化+5mm防渗砂浆+2mm高密度聚乙烯地坪漆</w:t>
                  </w:r>
                  <w:r>
                    <w:rPr>
                      <w:rFonts w:hint="default" w:ascii="Times New Roman" w:hAnsi="Times New Roman" w:cs="Times New Roman"/>
                      <w:bCs/>
                      <w:color w:val="auto"/>
                      <w:kern w:val="0"/>
                      <w:sz w:val="18"/>
                      <w:szCs w:val="18"/>
                    </w:rPr>
                    <w:t>），满足《建筑地面设计规范》（GB50037-2013）的“防油渗地面”及《环境影响评价技术导则 地下水环境》（HJ610-2016）中“重点防渗区”防渗要求。</w:t>
                  </w:r>
                </w:p>
              </w:tc>
              <w:tc>
                <w:tcPr>
                  <w:tcW w:w="760" w:type="dxa"/>
                  <w:vMerge w:val="restart"/>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施工废气、施工废水、噪声、固体废物等</w:t>
                  </w:r>
                </w:p>
              </w:tc>
              <w:tc>
                <w:tcPr>
                  <w:tcW w:w="835" w:type="dxa"/>
                  <w:noWrap w:val="0"/>
                  <w:tcMar>
                    <w:left w:w="0" w:type="dxa"/>
                    <w:right w:w="0" w:type="dxa"/>
                  </w:tcMar>
                  <w:vAlign w:val="center"/>
                </w:tcPr>
                <w:p>
                  <w:pPr>
                    <w:keepNext w:val="0"/>
                    <w:keepLines w:val="0"/>
                    <w:pageBreakBefore w:val="0"/>
                    <w:tabs>
                      <w:tab w:val="left" w:pos="420"/>
                    </w:tabs>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噪声、</w:t>
                  </w:r>
                  <w:r>
                    <w:rPr>
                      <w:rFonts w:hint="default" w:ascii="Times New Roman" w:hAnsi="Times New Roman" w:cs="Times New Roman"/>
                      <w:bCs/>
                      <w:color w:val="auto"/>
                      <w:kern w:val="0"/>
                      <w:sz w:val="18"/>
                      <w:szCs w:val="18"/>
                      <w:lang w:val="en-US" w:eastAsia="zh-CN"/>
                    </w:rPr>
                    <w:t>废气、</w:t>
                  </w:r>
                  <w:r>
                    <w:rPr>
                      <w:rFonts w:hint="default" w:ascii="Times New Roman" w:hAnsi="Times New Roman" w:cs="Times New Roman"/>
                      <w:bCs/>
                      <w:color w:val="auto"/>
                      <w:kern w:val="0"/>
                      <w:sz w:val="18"/>
                      <w:szCs w:val="18"/>
                    </w:rPr>
                    <w:t>环境风险</w:t>
                  </w:r>
                </w:p>
              </w:tc>
              <w:tc>
                <w:tcPr>
                  <w:tcW w:w="542" w:type="dxa"/>
                  <w:noWrap w:val="0"/>
                  <w:tcMar>
                    <w:left w:w="0" w:type="dxa"/>
                    <w:right w:w="0" w:type="dxa"/>
                  </w:tcMar>
                  <w:vAlign w:val="center"/>
                </w:tcPr>
                <w:p>
                  <w:pPr>
                    <w:keepNext w:val="0"/>
                    <w:keepLines w:val="0"/>
                    <w:pageBreakBefore w:val="0"/>
                    <w:tabs>
                      <w:tab w:val="left" w:pos="420"/>
                    </w:tabs>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466" w:type="dxa"/>
                  <w:vMerge w:val="restart"/>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辅助</w:t>
                  </w:r>
                </w:p>
                <w:p>
                  <w:pPr>
                    <w:keepNext w:val="0"/>
                    <w:keepLines w:val="0"/>
                    <w:pageBreakBefore w:val="0"/>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w:t>
                  </w:r>
                </w:p>
              </w:tc>
              <w:tc>
                <w:tcPr>
                  <w:tcW w:w="892"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办公室</w:t>
                  </w:r>
                </w:p>
              </w:tc>
              <w:tc>
                <w:tcPr>
                  <w:tcW w:w="4623"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租用君璜公司已建</w:t>
                  </w:r>
                  <w:r>
                    <w:rPr>
                      <w:rFonts w:hint="default" w:ascii="Times New Roman" w:hAnsi="Times New Roman" w:cs="Times New Roman"/>
                      <w:color w:val="auto"/>
                      <w:kern w:val="0"/>
                      <w:sz w:val="18"/>
                      <w:szCs w:val="18"/>
                    </w:rPr>
                    <w:t>的办公用房</w:t>
                  </w:r>
                  <w:r>
                    <w:rPr>
                      <w:rFonts w:hint="eastAsia" w:cs="Times New Roman"/>
                      <w:color w:val="auto"/>
                      <w:kern w:val="0"/>
                      <w:sz w:val="18"/>
                      <w:szCs w:val="18"/>
                      <w:lang w:val="en-US" w:eastAsia="zh-CN"/>
                    </w:rPr>
                    <w:t>1</w:t>
                  </w:r>
                  <w:r>
                    <w:rPr>
                      <w:rFonts w:hint="default" w:ascii="Times New Roman" w:hAnsi="Times New Roman" w:cs="Times New Roman"/>
                      <w:color w:val="auto"/>
                      <w:kern w:val="0"/>
                      <w:sz w:val="18"/>
                      <w:szCs w:val="18"/>
                    </w:rPr>
                    <w:t>间，面积</w:t>
                  </w:r>
                  <w:r>
                    <w:rPr>
                      <w:rFonts w:hint="default" w:ascii="Times New Roman" w:hAnsi="Times New Roman" w:cs="Times New Roman"/>
                      <w:color w:val="auto"/>
                      <w:kern w:val="0"/>
                      <w:sz w:val="18"/>
                      <w:szCs w:val="18"/>
                      <w:lang w:val="en-US" w:eastAsia="zh-CN"/>
                    </w:rPr>
                    <w:t>均</w:t>
                  </w:r>
                  <w:r>
                    <w:rPr>
                      <w:rFonts w:hint="default" w:ascii="Times New Roman" w:hAnsi="Times New Roman" w:cs="Times New Roman"/>
                      <w:color w:val="auto"/>
                      <w:kern w:val="0"/>
                      <w:sz w:val="18"/>
                      <w:szCs w:val="18"/>
                    </w:rPr>
                    <w:t>约</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rPr>
                    <w:t>0m</w:t>
                  </w:r>
                  <w:r>
                    <w:rPr>
                      <w:rFonts w:hint="default" w:ascii="Times New Roman" w:hAnsi="Times New Roman" w:cs="Times New Roman"/>
                      <w:color w:val="auto"/>
                      <w:kern w:val="0"/>
                      <w:sz w:val="18"/>
                      <w:szCs w:val="18"/>
                      <w:vertAlign w:val="superscript"/>
                    </w:rPr>
                    <w:t>2</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tabs>
                      <w:tab w:val="left" w:pos="420"/>
                    </w:tabs>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废水、固废</w:t>
                  </w:r>
                </w:p>
              </w:tc>
              <w:tc>
                <w:tcPr>
                  <w:tcW w:w="542" w:type="dxa"/>
                  <w:noWrap w:val="0"/>
                  <w:tcMar>
                    <w:left w:w="0" w:type="dxa"/>
                    <w:right w:w="0" w:type="dxa"/>
                  </w:tcMar>
                  <w:vAlign w:val="center"/>
                </w:tcPr>
                <w:p>
                  <w:pPr>
                    <w:keepNext w:val="0"/>
                    <w:keepLines w:val="0"/>
                    <w:pageBreakBefore w:val="0"/>
                    <w:kinsoku/>
                    <w:wordWrap/>
                    <w:overflowPunct/>
                    <w:topLinePunct w:val="0"/>
                    <w:autoSpaceDE/>
                    <w:autoSpaceDN/>
                    <w:bidi w:val="0"/>
                    <w:adjustRightInd w:val="0"/>
                    <w:spacing w:line="280" w:lineRule="exact"/>
                    <w:ind w:left="21" w:leftChars="10" w:right="21" w:rightChars="10"/>
                    <w:jc w:val="center"/>
                    <w:textAlignment w:val="baseline"/>
                    <w:rPr>
                      <w:rFonts w:hint="eastAsia" w:ascii="Times New Roman" w:hAnsi="Times New Roman" w:eastAsia="宋体" w:cs="Times New Roman"/>
                      <w:bCs/>
                      <w:color w:val="auto"/>
                      <w:sz w:val="18"/>
                      <w:szCs w:val="18"/>
                      <w:lang w:eastAsia="zh-CN"/>
                    </w:rPr>
                  </w:pPr>
                  <w:r>
                    <w:rPr>
                      <w:rFonts w:hint="eastAsia" w:cs="Times New Roman"/>
                      <w:bCs/>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466"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p>
              </w:tc>
              <w:tc>
                <w:tcPr>
                  <w:tcW w:w="892"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运输车辆</w:t>
                  </w:r>
                </w:p>
              </w:tc>
              <w:tc>
                <w:tcPr>
                  <w:tcW w:w="4623"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rPr>
                    <w:t>项目</w:t>
                  </w:r>
                  <w:r>
                    <w:rPr>
                      <w:rFonts w:hint="default" w:ascii="Times New Roman" w:hAnsi="Times New Roman" w:cs="Times New Roman"/>
                      <w:color w:val="auto"/>
                      <w:kern w:val="0"/>
                      <w:sz w:val="18"/>
                      <w:szCs w:val="18"/>
                      <w:lang w:val="en-US" w:eastAsia="zh-CN"/>
                    </w:rPr>
                    <w:t>废矿物油收集</w:t>
                  </w:r>
                  <w:r>
                    <w:rPr>
                      <w:rFonts w:hint="default" w:ascii="Times New Roman" w:hAnsi="Times New Roman" w:cs="Times New Roman"/>
                      <w:color w:val="auto"/>
                      <w:kern w:val="0"/>
                      <w:sz w:val="18"/>
                      <w:szCs w:val="18"/>
                    </w:rPr>
                    <w:t>运输作业委托</w:t>
                  </w:r>
                  <w:r>
                    <w:rPr>
                      <w:rFonts w:hint="eastAsia" w:cs="Times New Roman"/>
                      <w:color w:val="auto"/>
                      <w:kern w:val="0"/>
                      <w:sz w:val="18"/>
                      <w:szCs w:val="18"/>
                      <w:lang w:val="en-US" w:eastAsia="zh-CN"/>
                    </w:rPr>
                    <w:t>南充市通发运业有限公司</w:t>
                  </w:r>
                  <w:r>
                    <w:rPr>
                      <w:rFonts w:hint="default" w:ascii="Times New Roman" w:hAnsi="Times New Roman" w:cs="Times New Roman"/>
                      <w:color w:val="auto"/>
                      <w:kern w:val="0"/>
                      <w:sz w:val="18"/>
                      <w:szCs w:val="18"/>
                    </w:rPr>
                    <w:t>进行</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废矿物油外运由下游处置单位（四川金谷环保科技有限公司）负责运输</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tabs>
                      <w:tab w:val="left" w:pos="420"/>
                    </w:tabs>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噪声、废气、环境风险</w:t>
                  </w:r>
                </w:p>
              </w:tc>
              <w:tc>
                <w:tcPr>
                  <w:tcW w:w="542" w:type="dxa"/>
                  <w:noWrap w:val="0"/>
                  <w:tcMar>
                    <w:left w:w="0" w:type="dxa"/>
                    <w:right w:w="0" w:type="dxa"/>
                  </w:tcMar>
                  <w:vAlign w:val="center"/>
                </w:tcPr>
                <w:p>
                  <w:pPr>
                    <w:keepNext w:val="0"/>
                    <w:keepLines w:val="0"/>
                    <w:pageBreakBefore w:val="0"/>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466"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p>
              </w:tc>
              <w:tc>
                <w:tcPr>
                  <w:tcW w:w="892" w:type="dxa"/>
                  <w:vMerge w:val="restart"/>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消防设施</w:t>
                  </w:r>
                </w:p>
              </w:tc>
              <w:tc>
                <w:tcPr>
                  <w:tcW w:w="4623"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消防水池1个，</w:t>
                  </w:r>
                  <w:r>
                    <w:rPr>
                      <w:rFonts w:hint="eastAsia" w:cs="Times New Roman"/>
                      <w:bCs/>
                      <w:color w:val="auto"/>
                      <w:kern w:val="0"/>
                      <w:sz w:val="18"/>
                      <w:szCs w:val="18"/>
                      <w:lang w:val="en-US" w:eastAsia="zh-CN"/>
                    </w:rPr>
                    <w:t>3.5</w:t>
                  </w:r>
                  <w:r>
                    <w:rPr>
                      <w:rFonts w:hint="default" w:ascii="Times New Roman" w:hAnsi="Times New Roman" w:cs="Times New Roman"/>
                      <w:bCs/>
                      <w:color w:val="auto"/>
                      <w:kern w:val="0"/>
                      <w:sz w:val="18"/>
                      <w:szCs w:val="18"/>
                    </w:rPr>
                    <w:t>m×</w:t>
                  </w:r>
                  <w:r>
                    <w:rPr>
                      <w:rFonts w:hint="eastAsia" w:ascii="Times New Roman" w:hAnsi="Times New Roman" w:cs="Times New Roman"/>
                      <w:bCs/>
                      <w:color w:val="auto"/>
                      <w:kern w:val="0"/>
                      <w:sz w:val="18"/>
                      <w:szCs w:val="18"/>
                      <w:lang w:val="en-US" w:eastAsia="zh-CN"/>
                    </w:rPr>
                    <w:t>3</w:t>
                  </w:r>
                  <w:r>
                    <w:rPr>
                      <w:rFonts w:hint="default" w:ascii="Times New Roman" w:hAnsi="Times New Roman" w:cs="Times New Roman"/>
                      <w:bCs/>
                      <w:color w:val="auto"/>
                      <w:kern w:val="0"/>
                      <w:sz w:val="18"/>
                      <w:szCs w:val="18"/>
                    </w:rPr>
                    <w:t>m×</w:t>
                  </w:r>
                  <w:r>
                    <w:rPr>
                      <w:rFonts w:hint="eastAsia" w:ascii="Times New Roman" w:hAnsi="Times New Roman" w:cs="Times New Roman"/>
                      <w:bCs/>
                      <w:color w:val="auto"/>
                      <w:kern w:val="0"/>
                      <w:sz w:val="18"/>
                      <w:szCs w:val="18"/>
                      <w:lang w:val="en-US" w:eastAsia="zh-CN"/>
                    </w:rPr>
                    <w:t>1.6</w:t>
                  </w:r>
                  <w:r>
                    <w:rPr>
                      <w:rFonts w:hint="default" w:ascii="Times New Roman" w:hAnsi="Times New Roman" w:cs="Times New Roman"/>
                      <w:bCs/>
                      <w:color w:val="auto"/>
                      <w:kern w:val="0"/>
                      <w:sz w:val="18"/>
                      <w:szCs w:val="18"/>
                    </w:rPr>
                    <w:t>m</w:t>
                  </w:r>
                  <w:r>
                    <w:rPr>
                      <w:rFonts w:hint="eastAsia" w:ascii="Times New Roman" w:hAnsi="Times New Roman" w:cs="Times New Roman"/>
                      <w:bCs/>
                      <w:color w:val="auto"/>
                      <w:kern w:val="0"/>
                      <w:sz w:val="18"/>
                      <w:szCs w:val="18"/>
                      <w:lang w:eastAsia="zh-CN"/>
                    </w:rPr>
                    <w:t>，</w:t>
                  </w:r>
                  <w:r>
                    <w:rPr>
                      <w:rFonts w:hint="default" w:ascii="Times New Roman" w:hAnsi="Times New Roman" w:cs="Times New Roman"/>
                      <w:bCs/>
                      <w:color w:val="auto"/>
                      <w:kern w:val="0"/>
                      <w:sz w:val="18"/>
                      <w:szCs w:val="18"/>
                    </w:rPr>
                    <w:t>容积</w:t>
                  </w:r>
                  <w:r>
                    <w:rPr>
                      <w:rFonts w:hint="eastAsia" w:cs="Times New Roman"/>
                      <w:bCs/>
                      <w:color w:val="auto"/>
                      <w:kern w:val="0"/>
                      <w:sz w:val="18"/>
                      <w:szCs w:val="18"/>
                      <w:lang w:val="en-US" w:eastAsia="zh-CN"/>
                    </w:rPr>
                    <w:t>约16</w:t>
                  </w:r>
                  <w:r>
                    <w:rPr>
                      <w:rFonts w:hint="default" w:ascii="Times New Roman" w:hAnsi="Times New Roman" w:cs="Times New Roman"/>
                      <w:bCs/>
                      <w:color w:val="auto"/>
                      <w:kern w:val="0"/>
                      <w:sz w:val="18"/>
                      <w:szCs w:val="18"/>
                    </w:rPr>
                    <w:t>m</w:t>
                  </w:r>
                  <w:r>
                    <w:rPr>
                      <w:rFonts w:hint="default" w:ascii="Times New Roman" w:hAnsi="Times New Roman" w:cs="Times New Roman"/>
                      <w:bCs/>
                      <w:color w:val="auto"/>
                      <w:kern w:val="0"/>
                      <w:sz w:val="18"/>
                      <w:szCs w:val="18"/>
                      <w:vertAlign w:val="superscript"/>
                    </w:rPr>
                    <w:t>3</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tabs>
                      <w:tab w:val="left" w:pos="420"/>
                    </w:tabs>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w:t>
                  </w:r>
                </w:p>
              </w:tc>
              <w:tc>
                <w:tcPr>
                  <w:tcW w:w="542" w:type="dxa"/>
                  <w:noWrap w:val="0"/>
                  <w:tcMar>
                    <w:left w:w="0" w:type="dxa"/>
                    <w:right w:w="0" w:type="dxa"/>
                  </w:tcMar>
                  <w:vAlign w:val="center"/>
                </w:tcPr>
                <w:p>
                  <w:pPr>
                    <w:keepNext w:val="0"/>
                    <w:keepLines w:val="0"/>
                    <w:pageBreakBefore w:val="0"/>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cs="Times New Roman"/>
                      <w:bCs/>
                      <w:color w:val="auto"/>
                      <w:sz w:val="18"/>
                      <w:szCs w:val="18"/>
                    </w:rPr>
                  </w:pPr>
                  <w:r>
                    <w:rPr>
                      <w:rFonts w:hint="eastAsia" w:cs="Times New Roman"/>
                      <w:bCs/>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466"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p>
              </w:tc>
              <w:tc>
                <w:tcPr>
                  <w:tcW w:w="892"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Cs/>
                      <w:color w:val="auto"/>
                      <w:kern w:val="0"/>
                      <w:sz w:val="18"/>
                      <w:szCs w:val="18"/>
                    </w:rPr>
                  </w:pPr>
                </w:p>
              </w:tc>
              <w:tc>
                <w:tcPr>
                  <w:tcW w:w="4623"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rPr>
                      <w:rFonts w:hint="default" w:ascii="Times New Roman" w:hAnsi="Times New Roman" w:eastAsia="宋体" w:cs="Times New Roman"/>
                      <w:bCs/>
                      <w:color w:val="auto"/>
                      <w:kern w:val="0"/>
                      <w:sz w:val="18"/>
                      <w:szCs w:val="18"/>
                      <w:lang w:val="en-US" w:eastAsia="zh-CN"/>
                    </w:rPr>
                  </w:pPr>
                  <w:r>
                    <w:rPr>
                      <w:rFonts w:hint="default" w:ascii="Times New Roman" w:hAnsi="Times New Roman" w:cs="Times New Roman"/>
                      <w:bCs/>
                      <w:color w:val="auto"/>
                      <w:kern w:val="0"/>
                      <w:sz w:val="18"/>
                      <w:szCs w:val="18"/>
                      <w:lang w:val="en-US" w:eastAsia="zh-CN"/>
                    </w:rPr>
                    <w:t>储油罐区</w:t>
                  </w:r>
                  <w:r>
                    <w:rPr>
                      <w:rFonts w:hint="eastAsia" w:cs="Times New Roman"/>
                      <w:bCs/>
                      <w:color w:val="auto"/>
                      <w:kern w:val="0"/>
                      <w:sz w:val="18"/>
                      <w:szCs w:val="18"/>
                      <w:lang w:val="en-US" w:eastAsia="zh-CN"/>
                    </w:rPr>
                    <w:t>北</w:t>
                  </w:r>
                  <w:r>
                    <w:rPr>
                      <w:rFonts w:hint="default" w:ascii="Times New Roman" w:hAnsi="Times New Roman" w:cs="Times New Roman"/>
                      <w:bCs/>
                      <w:color w:val="auto"/>
                      <w:kern w:val="0"/>
                      <w:sz w:val="18"/>
                      <w:szCs w:val="18"/>
                      <w:lang w:val="en-US" w:eastAsia="zh-CN"/>
                    </w:rPr>
                    <w:t>面建</w:t>
                  </w:r>
                  <w:r>
                    <w:rPr>
                      <w:rFonts w:hint="default" w:ascii="Times New Roman" w:hAnsi="Times New Roman" w:cs="Times New Roman"/>
                      <w:bCs/>
                      <w:color w:val="auto"/>
                      <w:kern w:val="0"/>
                      <w:sz w:val="18"/>
                      <w:szCs w:val="18"/>
                    </w:rPr>
                    <w:t>消防沙池1个，</w:t>
                  </w:r>
                  <w:r>
                    <w:rPr>
                      <w:rFonts w:hint="default" w:ascii="Times New Roman" w:hAnsi="Times New Roman" w:cs="Times New Roman"/>
                      <w:bCs/>
                      <w:color w:val="auto"/>
                      <w:kern w:val="0"/>
                      <w:sz w:val="18"/>
                      <w:szCs w:val="18"/>
                      <w:lang w:val="en-US" w:eastAsia="zh-CN"/>
                    </w:rPr>
                    <w:t>容积1.2</w:t>
                  </w:r>
                  <w:r>
                    <w:rPr>
                      <w:rFonts w:hint="default" w:ascii="Times New Roman" w:hAnsi="Times New Roman" w:cs="Times New Roman"/>
                      <w:bCs/>
                      <w:color w:val="auto"/>
                      <w:kern w:val="0"/>
                      <w:sz w:val="18"/>
                      <w:szCs w:val="18"/>
                    </w:rPr>
                    <w:t>m</w:t>
                  </w:r>
                  <w:r>
                    <w:rPr>
                      <w:rFonts w:hint="default" w:ascii="Times New Roman" w:hAnsi="Times New Roman" w:cs="Times New Roman"/>
                      <w:bCs/>
                      <w:color w:val="auto"/>
                      <w:kern w:val="0"/>
                      <w:sz w:val="18"/>
                      <w:szCs w:val="18"/>
                      <w:vertAlign w:val="superscript"/>
                    </w:rPr>
                    <w:t>3</w:t>
                  </w:r>
                  <w:r>
                    <w:rPr>
                      <w:rFonts w:hint="default" w:ascii="Times New Roman" w:hAnsi="Times New Roman" w:cs="Times New Roman"/>
                      <w:bCs/>
                      <w:color w:val="auto"/>
                      <w:kern w:val="0"/>
                      <w:sz w:val="18"/>
                      <w:szCs w:val="18"/>
                    </w:rPr>
                    <w:t>；储存间配备灭火器</w:t>
                  </w:r>
                  <w:r>
                    <w:rPr>
                      <w:rFonts w:hint="default" w:ascii="Times New Roman" w:hAnsi="Times New Roman" w:cs="Times New Roman"/>
                      <w:bCs/>
                      <w:color w:val="auto"/>
                      <w:kern w:val="0"/>
                      <w:sz w:val="18"/>
                      <w:szCs w:val="18"/>
                      <w:lang w:val="en-US" w:eastAsia="zh-CN"/>
                    </w:rPr>
                    <w:t>6个；车间外安装防雷天线和避雷针；厂区及车间内分别安装视频监控</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tabs>
                      <w:tab w:val="left" w:pos="420"/>
                    </w:tabs>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w:t>
                  </w:r>
                </w:p>
              </w:tc>
              <w:tc>
                <w:tcPr>
                  <w:tcW w:w="542" w:type="dxa"/>
                  <w:noWrap w:val="0"/>
                  <w:tcMar>
                    <w:left w:w="0" w:type="dxa"/>
                    <w:right w:w="0" w:type="dxa"/>
                  </w:tcMar>
                  <w:vAlign w:val="center"/>
                </w:tcPr>
                <w:p>
                  <w:pPr>
                    <w:keepNext w:val="0"/>
                    <w:keepLines w:val="0"/>
                    <w:pageBreakBefore w:val="0"/>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466" w:type="dxa"/>
                  <w:vMerge w:val="restart"/>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公用</w:t>
                  </w:r>
                </w:p>
                <w:p>
                  <w:pPr>
                    <w:keepNext w:val="0"/>
                    <w:keepLines w:val="0"/>
                    <w:pageBreakBefore w:val="0"/>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w:t>
                  </w:r>
                </w:p>
              </w:tc>
              <w:tc>
                <w:tcPr>
                  <w:tcW w:w="892"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供水设施</w:t>
                  </w:r>
                </w:p>
              </w:tc>
              <w:tc>
                <w:tcPr>
                  <w:tcW w:w="4623"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来自</w:t>
                  </w:r>
                  <w:r>
                    <w:rPr>
                      <w:rFonts w:hint="default" w:ascii="Times New Roman" w:hAnsi="Times New Roman" w:cs="Times New Roman"/>
                      <w:color w:val="auto"/>
                      <w:sz w:val="18"/>
                      <w:szCs w:val="18"/>
                      <w:lang w:val="en-US" w:eastAsia="zh-CN"/>
                    </w:rPr>
                    <w:t>园区供水管网</w:t>
                  </w:r>
                  <w:r>
                    <w:rPr>
                      <w:rFonts w:hint="eastAsia" w:cs="Times New Roman"/>
                      <w:color w:val="auto"/>
                      <w:sz w:val="18"/>
                      <w:szCs w:val="18"/>
                      <w:lang w:val="en-US" w:eastAsia="zh-CN"/>
                    </w:rPr>
                    <w:t>，依托厂区已有的供水设施</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tabs>
                      <w:tab w:val="left" w:pos="420"/>
                    </w:tabs>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542" w:type="dxa"/>
                  <w:noWrap w:val="0"/>
                  <w:tcMar>
                    <w:left w:w="0" w:type="dxa"/>
                    <w:right w:w="0" w:type="dxa"/>
                  </w:tcMar>
                  <w:vAlign w:val="center"/>
                </w:tcPr>
                <w:p>
                  <w:pPr>
                    <w:keepNext w:val="0"/>
                    <w:keepLines w:val="0"/>
                    <w:pageBreakBefore w:val="0"/>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cs="Times New Roman"/>
                      <w:bCs/>
                      <w:color w:val="auto"/>
                      <w:sz w:val="18"/>
                      <w:szCs w:val="18"/>
                    </w:rPr>
                  </w:pPr>
                  <w:r>
                    <w:rPr>
                      <w:rFonts w:hint="eastAsia" w:cs="Times New Roman"/>
                      <w:bCs/>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466"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0000FF"/>
                      <w:sz w:val="18"/>
                      <w:szCs w:val="18"/>
                    </w:rPr>
                  </w:pPr>
                </w:p>
              </w:tc>
              <w:tc>
                <w:tcPr>
                  <w:tcW w:w="892"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排水设施</w:t>
                  </w:r>
                </w:p>
              </w:tc>
              <w:tc>
                <w:tcPr>
                  <w:tcW w:w="4623"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项目</w:t>
                  </w:r>
                  <w:r>
                    <w:rPr>
                      <w:rFonts w:hint="eastAsia" w:cs="Times New Roman"/>
                      <w:color w:val="auto"/>
                      <w:sz w:val="18"/>
                      <w:szCs w:val="18"/>
                      <w:lang w:val="en-US" w:eastAsia="zh-CN"/>
                    </w:rPr>
                    <w:t>车间全封闭，车间外雨水依托君璜公司已建的雨水沟；</w:t>
                  </w:r>
                  <w:r>
                    <w:rPr>
                      <w:rFonts w:hint="default" w:ascii="Times New Roman" w:hAnsi="Times New Roman" w:cs="Times New Roman"/>
                      <w:color w:val="auto"/>
                      <w:sz w:val="18"/>
                      <w:szCs w:val="18"/>
                    </w:rPr>
                    <w:t>场外不进入场内；办公生活区已建</w:t>
                  </w:r>
                  <w:r>
                    <w:rPr>
                      <w:rFonts w:hint="default" w:ascii="Times New Roman" w:hAnsi="Times New Roman" w:cs="Times New Roman"/>
                      <w:color w:val="auto"/>
                      <w:sz w:val="18"/>
                      <w:szCs w:val="18"/>
                      <w:lang w:val="en-US" w:eastAsia="zh-CN"/>
                    </w:rPr>
                    <w:t>化粪池和排污</w:t>
                  </w:r>
                  <w:r>
                    <w:rPr>
                      <w:rFonts w:hint="default" w:ascii="Times New Roman" w:hAnsi="Times New Roman" w:cs="Times New Roman"/>
                      <w:color w:val="auto"/>
                      <w:sz w:val="18"/>
                      <w:szCs w:val="18"/>
                    </w:rPr>
                    <w:t>管道，接至</w:t>
                  </w:r>
                  <w:r>
                    <w:rPr>
                      <w:rFonts w:hint="default" w:ascii="Times New Roman" w:hAnsi="Times New Roman" w:cs="Times New Roman"/>
                      <w:color w:val="auto"/>
                      <w:sz w:val="18"/>
                      <w:szCs w:val="18"/>
                      <w:lang w:val="en-US" w:eastAsia="zh-CN"/>
                    </w:rPr>
                    <w:t>园区污水管道，依托厂区已有的</w:t>
                  </w:r>
                  <w:r>
                    <w:rPr>
                      <w:rFonts w:hint="eastAsia" w:cs="Times New Roman"/>
                      <w:color w:val="auto"/>
                      <w:sz w:val="18"/>
                      <w:szCs w:val="18"/>
                      <w:lang w:val="en-US" w:eastAsia="zh-CN"/>
                    </w:rPr>
                    <w:t>排水设施</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tabs>
                      <w:tab w:val="left" w:pos="420"/>
                    </w:tabs>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542" w:type="dxa"/>
                  <w:noWrap w:val="0"/>
                  <w:tcMar>
                    <w:left w:w="0" w:type="dxa"/>
                    <w:right w:w="0" w:type="dxa"/>
                  </w:tcMar>
                  <w:vAlign w:val="center"/>
                </w:tcPr>
                <w:p>
                  <w:pPr>
                    <w:keepNext w:val="0"/>
                    <w:keepLines w:val="0"/>
                    <w:pageBreakBefore w:val="0"/>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cs="Times New Roman"/>
                      <w:bCs/>
                      <w:color w:val="auto"/>
                      <w:sz w:val="18"/>
                      <w:szCs w:val="18"/>
                    </w:rPr>
                  </w:pPr>
                  <w:r>
                    <w:rPr>
                      <w:rFonts w:hint="eastAsia" w:cs="Times New Roman"/>
                      <w:bCs/>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466"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0000FF"/>
                      <w:sz w:val="18"/>
                      <w:szCs w:val="18"/>
                    </w:rPr>
                  </w:pPr>
                </w:p>
              </w:tc>
              <w:tc>
                <w:tcPr>
                  <w:tcW w:w="892"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供电设施</w:t>
                  </w:r>
                </w:p>
              </w:tc>
              <w:tc>
                <w:tcPr>
                  <w:tcW w:w="4623" w:type="dxa"/>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来自附近电网，不设变压器</w:t>
                  </w:r>
                  <w:r>
                    <w:rPr>
                      <w:rFonts w:hint="eastAsia" w:cs="Times New Roman"/>
                      <w:color w:val="auto"/>
                      <w:sz w:val="18"/>
                      <w:szCs w:val="18"/>
                      <w:lang w:eastAsia="zh-CN"/>
                    </w:rPr>
                    <w:t>，</w:t>
                  </w:r>
                  <w:r>
                    <w:rPr>
                      <w:rFonts w:hint="eastAsia" w:cs="Times New Roman"/>
                      <w:color w:val="auto"/>
                      <w:sz w:val="18"/>
                      <w:szCs w:val="18"/>
                      <w:lang w:val="en-US" w:eastAsia="zh-CN"/>
                    </w:rPr>
                    <w:t>依托厂区已有的供电系统</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0000FF"/>
                      <w:sz w:val="18"/>
                      <w:szCs w:val="18"/>
                    </w:rPr>
                  </w:pPr>
                </w:p>
              </w:tc>
              <w:tc>
                <w:tcPr>
                  <w:tcW w:w="835" w:type="dxa"/>
                  <w:noWrap w:val="0"/>
                  <w:tcMar>
                    <w:left w:w="0" w:type="dxa"/>
                    <w:right w:w="0" w:type="dxa"/>
                  </w:tcMar>
                  <w:vAlign w:val="center"/>
                </w:tcPr>
                <w:p>
                  <w:pPr>
                    <w:keepNext w:val="0"/>
                    <w:keepLines w:val="0"/>
                    <w:pageBreakBefore w:val="0"/>
                    <w:tabs>
                      <w:tab w:val="left" w:pos="420"/>
                    </w:tabs>
                    <w:kinsoku/>
                    <w:wordWrap/>
                    <w:overflowPunct/>
                    <w:topLinePunct w:val="0"/>
                    <w:autoSpaceDE/>
                    <w:autoSpaceDN/>
                    <w:bidi w:val="0"/>
                    <w:adjustRightInd w:val="0"/>
                    <w:spacing w:line="280" w:lineRule="exact"/>
                    <w:ind w:left="21" w:leftChars="10" w:right="21" w:rightChars="10"/>
                    <w:jc w:val="center"/>
                    <w:textAlignment w:val="baseline"/>
                    <w:rPr>
                      <w:rFonts w:hint="default" w:ascii="Times New Roman" w:hAnsi="Times New Roman" w:cs="Times New Roman"/>
                      <w:bCs/>
                      <w:color w:val="0000FF"/>
                      <w:sz w:val="18"/>
                      <w:szCs w:val="18"/>
                    </w:rPr>
                  </w:pPr>
                  <w:r>
                    <w:rPr>
                      <w:rFonts w:hint="default" w:ascii="Times New Roman" w:hAnsi="Times New Roman" w:cs="Times New Roman"/>
                      <w:bCs/>
                      <w:color w:val="0000FF"/>
                      <w:sz w:val="18"/>
                      <w:szCs w:val="18"/>
                    </w:rPr>
                    <w:t>/</w:t>
                  </w:r>
                </w:p>
              </w:tc>
              <w:tc>
                <w:tcPr>
                  <w:tcW w:w="542" w:type="dxa"/>
                  <w:noWrap w:val="0"/>
                  <w:tcMar>
                    <w:left w:w="0" w:type="dxa"/>
                    <w:right w:w="0" w:type="dxa"/>
                  </w:tcMar>
                  <w:vAlign w:val="center"/>
                </w:tcPr>
                <w:p>
                  <w:pPr>
                    <w:keepNext w:val="0"/>
                    <w:keepLines w:val="0"/>
                    <w:pageBreakBefore w:val="0"/>
                    <w:tabs>
                      <w:tab w:val="left" w:pos="420"/>
                    </w:tabs>
                    <w:kinsoku/>
                    <w:wordWrap/>
                    <w:overflowPunct/>
                    <w:topLinePunct w:val="0"/>
                    <w:autoSpaceDE/>
                    <w:autoSpaceDN/>
                    <w:bidi w:val="0"/>
                    <w:adjustRightInd w:val="0"/>
                    <w:spacing w:line="280" w:lineRule="exact"/>
                    <w:ind w:left="21" w:leftChars="10" w:right="21" w:rightChars="10"/>
                    <w:jc w:val="center"/>
                    <w:textAlignment w:val="baseline"/>
                    <w:rPr>
                      <w:rFonts w:hint="eastAsia" w:ascii="Times New Roman" w:hAnsi="Times New Roman" w:eastAsia="宋体" w:cs="Times New Roman"/>
                      <w:bCs/>
                      <w:color w:val="auto"/>
                      <w:sz w:val="18"/>
                      <w:szCs w:val="18"/>
                      <w:lang w:eastAsia="zh-CN"/>
                    </w:rPr>
                  </w:pPr>
                  <w:r>
                    <w:rPr>
                      <w:rFonts w:hint="eastAsia" w:cs="Times New Roman"/>
                      <w:bCs/>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466" w:type="dxa"/>
                  <w:vMerge w:val="restart"/>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w:t>
                  </w:r>
                </w:p>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w:t>
                  </w:r>
                </w:p>
              </w:tc>
              <w:tc>
                <w:tcPr>
                  <w:tcW w:w="892" w:type="dxa"/>
                  <w:vMerge w:val="restart"/>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固废处置</w:t>
                  </w:r>
                </w:p>
              </w:tc>
              <w:tc>
                <w:tcPr>
                  <w:tcW w:w="4623"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配备移动式接油托盘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或接油桶等其他容器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收集滴漏废油；废吸收绵、废锯末、含油手套及工作服设置专门的收集桶收集，临时储存在废油暂存间内的指定区域</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环境风险</w:t>
                  </w:r>
                </w:p>
              </w:tc>
              <w:tc>
                <w:tcPr>
                  <w:tcW w:w="542"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466"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92"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4623"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一般固废：办公区设生活垃圾收集桶收集</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42"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466"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92"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w:t>
                  </w:r>
                </w:p>
              </w:tc>
              <w:tc>
                <w:tcPr>
                  <w:tcW w:w="4623"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运输车辆噪声：合理安排运输时间，限速禁鸣</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42"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466"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92"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废气治理</w:t>
                  </w:r>
                </w:p>
              </w:tc>
              <w:tc>
                <w:tcPr>
                  <w:tcW w:w="4623"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储存车间封闭，加强储油间的通风换气，规范操作，减少装卸时滴漏量</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542"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466"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92" w:type="dxa"/>
                  <w:vMerge w:val="restart"/>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废水处理</w:t>
                  </w:r>
                </w:p>
              </w:tc>
              <w:tc>
                <w:tcPr>
                  <w:tcW w:w="4623"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生活污水利用已有的化粪池（</w:t>
                  </w:r>
                  <w:r>
                    <w:rPr>
                      <w:rFonts w:hint="eastAsia" w:cs="Times New Roman"/>
                      <w:bCs/>
                      <w:color w:val="auto"/>
                      <w:sz w:val="18"/>
                      <w:szCs w:val="18"/>
                      <w:lang w:val="en-US" w:eastAsia="zh-CN"/>
                    </w:rPr>
                    <w:t>10</w:t>
                  </w:r>
                  <w:r>
                    <w:rPr>
                      <w:rFonts w:hint="default" w:ascii="Times New Roman" w:hAnsi="Times New Roman" w:cs="Times New Roman"/>
                      <w:bCs/>
                      <w:color w:val="auto"/>
                      <w:sz w:val="18"/>
                      <w:szCs w:val="18"/>
                    </w:rPr>
                    <w:t>0m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）收集后</w:t>
                  </w:r>
                  <w:r>
                    <w:rPr>
                      <w:rFonts w:hint="default" w:ascii="Times New Roman" w:hAnsi="Times New Roman" w:cs="Times New Roman"/>
                      <w:bCs/>
                      <w:color w:val="auto"/>
                      <w:sz w:val="18"/>
                      <w:szCs w:val="18"/>
                      <w:lang w:val="en-US" w:eastAsia="zh-CN"/>
                    </w:rPr>
                    <w:t>排至园区管网</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42"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eastAsia" w:cs="Times New Roman"/>
                      <w:bCs/>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466"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92"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4623"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对厂区四周的雨水沟进行梳理、维护，确保厂外雨水不进入厂；车间内无废水排出至车间外</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42"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eastAsia" w:cs="Times New Roman"/>
                      <w:bCs/>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3" w:hRule="atLeast"/>
                <w:jc w:val="center"/>
              </w:trPr>
              <w:tc>
                <w:tcPr>
                  <w:tcW w:w="466"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92"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环境风险</w:t>
                  </w:r>
                </w:p>
              </w:tc>
              <w:tc>
                <w:tcPr>
                  <w:tcW w:w="4623"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color w:val="auto"/>
                      <w:sz w:val="18"/>
                      <w:szCs w:val="18"/>
                      <w:lang w:val="en-US" w:eastAsia="zh-CN"/>
                    </w:rPr>
                    <w:t>选用双层钢质储油罐；储油罐区及四周围堰重点防渗；利用储油车间</w:t>
                  </w:r>
                  <w:r>
                    <w:rPr>
                      <w:rFonts w:hint="eastAsia" w:cs="Times New Roman"/>
                      <w:color w:val="auto"/>
                      <w:sz w:val="18"/>
                      <w:szCs w:val="18"/>
                      <w:lang w:val="en-US" w:eastAsia="zh-CN"/>
                    </w:rPr>
                    <w:t>西南</w:t>
                  </w:r>
                  <w:r>
                    <w:rPr>
                      <w:rFonts w:hint="default" w:ascii="Times New Roman" w:hAnsi="Times New Roman" w:cs="Times New Roman"/>
                      <w:color w:val="auto"/>
                      <w:sz w:val="18"/>
                      <w:szCs w:val="18"/>
                      <w:lang w:val="en-US" w:eastAsia="zh-CN"/>
                    </w:rPr>
                    <w:t>面的水池</w:t>
                  </w:r>
                  <w:r>
                    <w:rPr>
                      <w:rFonts w:hint="eastAsia" w:cs="Times New Roman"/>
                      <w:color w:val="auto"/>
                      <w:sz w:val="18"/>
                      <w:szCs w:val="18"/>
                      <w:lang w:val="en-US" w:eastAsia="zh-CN"/>
                    </w:rPr>
                    <w:t>（2个，容积52.8m³）</w:t>
                  </w:r>
                  <w:r>
                    <w:rPr>
                      <w:rFonts w:hint="default" w:ascii="Times New Roman" w:hAnsi="Times New Roman" w:cs="Times New Roman"/>
                      <w:color w:val="auto"/>
                      <w:sz w:val="18"/>
                      <w:szCs w:val="18"/>
                      <w:lang w:val="en-US" w:eastAsia="zh-CN"/>
                    </w:rPr>
                    <w:t>改造成消防废水收集用事故池</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储罐区</w:t>
                  </w:r>
                  <w:r>
                    <w:rPr>
                      <w:rFonts w:hint="default" w:ascii="Times New Roman" w:hAnsi="Times New Roman" w:cs="Times New Roman"/>
                      <w:color w:val="auto"/>
                      <w:sz w:val="18"/>
                      <w:szCs w:val="18"/>
                    </w:rPr>
                    <w:t>、装卸</w:t>
                  </w:r>
                  <w:r>
                    <w:rPr>
                      <w:rFonts w:hint="default" w:ascii="Times New Roman" w:hAnsi="Times New Roman" w:cs="Times New Roman"/>
                      <w:color w:val="auto"/>
                      <w:sz w:val="18"/>
                      <w:szCs w:val="18"/>
                      <w:lang w:val="en-US" w:eastAsia="zh-CN"/>
                    </w:rPr>
                    <w:t>区</w:t>
                  </w:r>
                  <w:r>
                    <w:rPr>
                      <w:rFonts w:hint="default" w:ascii="Times New Roman" w:hAnsi="Times New Roman" w:cs="Times New Roman"/>
                      <w:color w:val="auto"/>
                      <w:sz w:val="18"/>
                      <w:szCs w:val="18"/>
                    </w:rPr>
                    <w:t>、危废间、事故池等按重点防渗要求建设</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42"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466"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92"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地下水</w:t>
                  </w:r>
                </w:p>
              </w:tc>
              <w:tc>
                <w:tcPr>
                  <w:tcW w:w="4623" w:type="dxa"/>
                  <w:noWrap w:val="0"/>
                  <w:tcMar>
                    <w:left w:w="0" w:type="dxa"/>
                    <w:right w:w="0" w:type="dxa"/>
                  </w:tcMar>
                  <w:vAlign w:val="center"/>
                </w:tcPr>
                <w:p>
                  <w:pPr>
                    <w:keepNext w:val="0"/>
                    <w:keepLines w:val="0"/>
                    <w:pageBreakBefore w:val="0"/>
                    <w:kinsoku/>
                    <w:wordWrap/>
                    <w:overflowPunct/>
                    <w:topLinePunct w:val="0"/>
                    <w:autoSpaceDE/>
                    <w:autoSpaceDN/>
                    <w:bidi w:val="0"/>
                    <w:spacing w:line="280" w:lineRule="exact"/>
                    <w:ind w:left="21" w:leftChars="10" w:right="21" w:rightChars="1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项目区</w:t>
                  </w:r>
                  <w:r>
                    <w:rPr>
                      <w:rFonts w:hint="default" w:ascii="Times New Roman" w:hAnsi="Times New Roman" w:cs="Times New Roman"/>
                      <w:color w:val="auto"/>
                      <w:sz w:val="18"/>
                      <w:szCs w:val="18"/>
                      <w:lang w:val="en-US" w:eastAsia="zh-CN"/>
                    </w:rPr>
                    <w:t>下游（西</w:t>
                  </w:r>
                  <w:r>
                    <w:rPr>
                      <w:rFonts w:hint="eastAsia" w:cs="Times New Roman"/>
                      <w:color w:val="auto"/>
                      <w:sz w:val="18"/>
                      <w:szCs w:val="18"/>
                      <w:lang w:val="en-US" w:eastAsia="zh-CN"/>
                    </w:rPr>
                    <w:t>南</w:t>
                  </w:r>
                  <w:r>
                    <w:rPr>
                      <w:rFonts w:hint="default" w:ascii="Times New Roman" w:hAnsi="Times New Roman" w:cs="Times New Roman"/>
                      <w:color w:val="auto"/>
                      <w:sz w:val="18"/>
                      <w:szCs w:val="18"/>
                      <w:lang w:val="en-US" w:eastAsia="zh-CN"/>
                    </w:rPr>
                    <w:t>侧）</w:t>
                  </w:r>
                  <w:r>
                    <w:rPr>
                      <w:rFonts w:hint="default" w:ascii="Times New Roman" w:hAnsi="Times New Roman" w:cs="Times New Roman"/>
                      <w:color w:val="auto"/>
                      <w:sz w:val="18"/>
                      <w:szCs w:val="18"/>
                      <w:highlight w:val="none"/>
                      <w:lang w:val="en-US" w:eastAsia="zh-CN"/>
                    </w:rPr>
                    <w:t>设置地下水监测井</w:t>
                  </w:r>
                </w:p>
              </w:tc>
              <w:tc>
                <w:tcPr>
                  <w:tcW w:w="760" w:type="dxa"/>
                  <w:vMerge w:val="continue"/>
                  <w:noWrap w:val="0"/>
                  <w:tcMar>
                    <w:left w:w="0" w:type="dxa"/>
                    <w:right w:w="0" w:type="dxa"/>
                  </w:tcMar>
                  <w:vAlign w:val="center"/>
                </w:tcPr>
                <w:p>
                  <w:pPr>
                    <w:keepNext w:val="0"/>
                    <w:keepLines w:val="0"/>
                    <w:pageBreakBefore w:val="0"/>
                    <w:widowControl/>
                    <w:kinsoku/>
                    <w:wordWrap/>
                    <w:overflowPunct/>
                    <w:topLinePunct w:val="0"/>
                    <w:autoSpaceDE/>
                    <w:autoSpaceDN/>
                    <w:bidi w:val="0"/>
                    <w:spacing w:line="280" w:lineRule="exact"/>
                    <w:ind w:left="21" w:leftChars="10" w:right="21" w:rightChars="10"/>
                    <w:jc w:val="center"/>
                    <w:rPr>
                      <w:rFonts w:hint="default" w:ascii="Times New Roman" w:hAnsi="Times New Roman" w:cs="Times New Roman"/>
                      <w:color w:val="auto"/>
                      <w:sz w:val="18"/>
                      <w:szCs w:val="18"/>
                    </w:rPr>
                  </w:pPr>
                </w:p>
              </w:tc>
              <w:tc>
                <w:tcPr>
                  <w:tcW w:w="835"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42" w:type="dxa"/>
                  <w:noWrap w:val="0"/>
                  <w:tcMar>
                    <w:left w:w="0" w:type="dxa"/>
                    <w:right w:w="0" w:type="dxa"/>
                  </w:tcMar>
                  <w:vAlign w:val="center"/>
                </w:tcPr>
                <w:p>
                  <w:pPr>
                    <w:keepNext w:val="0"/>
                    <w:keepLines w:val="0"/>
                    <w:pageBreakBefore w:val="0"/>
                    <w:widowControl/>
                    <w:kinsoku/>
                    <w:wordWrap/>
                    <w:overflowPunct/>
                    <w:topLinePunct w:val="0"/>
                    <w:autoSpaceDE/>
                    <w:autoSpaceDN/>
                    <w:bidi w:val="0"/>
                    <w:snapToGrid w:val="0"/>
                    <w:spacing w:line="280" w:lineRule="exact"/>
                    <w:ind w:left="21" w:leftChars="10" w:right="21" w:rightChars="1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依托</w:t>
                  </w:r>
                </w:p>
              </w:tc>
            </w:tr>
          </w:tbl>
          <w:p>
            <w:p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2、产品方案及产能</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本项目产品为收集的废</w:t>
            </w:r>
            <w:r>
              <w:rPr>
                <w:rFonts w:hint="default" w:ascii="Times New Roman" w:hAnsi="Times New Roman" w:cs="Times New Roman"/>
                <w:color w:val="auto"/>
                <w:kern w:val="0"/>
                <w:szCs w:val="21"/>
                <w:lang w:val="en-US" w:eastAsia="zh-CN"/>
              </w:rPr>
              <w:t>矿物</w:t>
            </w:r>
            <w:r>
              <w:rPr>
                <w:rFonts w:hint="default" w:ascii="Times New Roman" w:hAnsi="Times New Roman" w:cs="Times New Roman"/>
                <w:color w:val="auto"/>
                <w:kern w:val="0"/>
                <w:szCs w:val="21"/>
              </w:rPr>
              <w:t>油，预计年收集废</w:t>
            </w:r>
            <w:r>
              <w:rPr>
                <w:rFonts w:hint="default" w:ascii="Times New Roman" w:hAnsi="Times New Roman" w:cs="Times New Roman"/>
                <w:color w:val="auto"/>
                <w:kern w:val="0"/>
                <w:szCs w:val="21"/>
                <w:lang w:val="en-US" w:eastAsia="zh-CN"/>
              </w:rPr>
              <w:t>矿物</w:t>
            </w:r>
            <w:r>
              <w:rPr>
                <w:rFonts w:hint="default" w:ascii="Times New Roman" w:hAnsi="Times New Roman" w:cs="Times New Roman"/>
                <w:color w:val="auto"/>
                <w:kern w:val="0"/>
                <w:szCs w:val="21"/>
              </w:rPr>
              <w:t>油</w:t>
            </w:r>
            <w:r>
              <w:rPr>
                <w:rFonts w:hint="default" w:ascii="Times New Roman" w:hAnsi="Times New Roman" w:cs="Times New Roman"/>
                <w:color w:val="auto"/>
                <w:kern w:val="0"/>
                <w:szCs w:val="21"/>
                <w:lang w:val="en-US" w:eastAsia="zh-CN"/>
              </w:rPr>
              <w:t>20</w:t>
            </w:r>
            <w:r>
              <w:rPr>
                <w:rFonts w:hint="default" w:ascii="Times New Roman" w:hAnsi="Times New Roman" w:cs="Times New Roman"/>
                <w:color w:val="auto"/>
                <w:kern w:val="0"/>
                <w:szCs w:val="21"/>
              </w:rPr>
              <w:t>00吨</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设计安装</w:t>
            </w:r>
            <w:r>
              <w:rPr>
                <w:rFonts w:hint="eastAsia" w:cs="Times New Roman"/>
                <w:color w:val="auto"/>
                <w:kern w:val="0"/>
                <w:szCs w:val="21"/>
                <w:lang w:val="en-US" w:eastAsia="zh-CN"/>
              </w:rPr>
              <w:t>1</w:t>
            </w:r>
            <w:r>
              <w:rPr>
                <w:rFonts w:hint="default" w:ascii="Times New Roman" w:hAnsi="Times New Roman" w:cs="Times New Roman"/>
                <w:color w:val="auto"/>
                <w:kern w:val="0"/>
                <w:szCs w:val="21"/>
              </w:rPr>
              <w:t>个容积</w:t>
            </w:r>
            <w:r>
              <w:rPr>
                <w:rFonts w:hint="eastAsia" w:cs="Times New Roman"/>
                <w:color w:val="auto"/>
                <w:kern w:val="0"/>
                <w:szCs w:val="21"/>
                <w:lang w:val="en-US" w:eastAsia="zh-CN"/>
              </w:rPr>
              <w:t>约50</w:t>
            </w:r>
            <w:r>
              <w:rPr>
                <w:rFonts w:hint="default" w:ascii="Times New Roman" w:hAnsi="Times New Roman" w:cs="Times New Roman"/>
                <w:color w:val="auto"/>
                <w:kern w:val="0"/>
                <w:szCs w:val="21"/>
                <w:lang w:val="en-US" w:eastAsia="zh-CN"/>
              </w:rPr>
              <w:t>m</w:t>
            </w:r>
            <w:r>
              <w:rPr>
                <w:rFonts w:hint="default" w:ascii="Times New Roman" w:hAnsi="Times New Roman" w:cs="Times New Roman"/>
                <w:color w:val="auto"/>
                <w:kern w:val="0"/>
                <w:szCs w:val="21"/>
                <w:vertAlign w:val="superscript"/>
                <w:lang w:val="en-US" w:eastAsia="zh-CN"/>
              </w:rPr>
              <w:t>3</w:t>
            </w:r>
            <w:r>
              <w:rPr>
                <w:rFonts w:hint="default" w:ascii="Times New Roman" w:hAnsi="Times New Roman" w:cs="Times New Roman"/>
                <w:color w:val="auto"/>
                <w:kern w:val="0"/>
                <w:szCs w:val="21"/>
              </w:rPr>
              <w:t>的储油罐，最大储存量按80%计，约为</w:t>
            </w:r>
            <w:r>
              <w:rPr>
                <w:rFonts w:hint="eastAsia" w:cs="Times New Roman"/>
                <w:color w:val="auto"/>
                <w:kern w:val="0"/>
                <w:szCs w:val="21"/>
                <w:lang w:val="en-US" w:eastAsia="zh-CN"/>
              </w:rPr>
              <w:t>4</w:t>
            </w:r>
            <w:r>
              <w:rPr>
                <w:rFonts w:hint="default" w:ascii="Times New Roman" w:hAnsi="Times New Roman" w:cs="Times New Roman"/>
                <w:color w:val="auto"/>
                <w:kern w:val="0"/>
                <w:szCs w:val="21"/>
                <w:lang w:val="en-US" w:eastAsia="zh-CN"/>
              </w:rPr>
              <w:t>0m</w:t>
            </w:r>
            <w:r>
              <w:rPr>
                <w:rFonts w:hint="default" w:ascii="Times New Roman" w:hAnsi="Times New Roman" w:cs="Times New Roman"/>
                <w:color w:val="auto"/>
                <w:kern w:val="0"/>
                <w:szCs w:val="21"/>
                <w:vertAlign w:val="superscript"/>
                <w:lang w:val="en-US" w:eastAsia="zh-CN"/>
              </w:rPr>
              <w:t>3</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折合约</w:t>
            </w:r>
            <w:r>
              <w:rPr>
                <w:rFonts w:hint="eastAsia" w:cs="Times New Roman"/>
                <w:color w:val="auto"/>
                <w:kern w:val="0"/>
                <w:szCs w:val="21"/>
                <w:lang w:val="en-US" w:eastAsia="zh-CN"/>
              </w:rPr>
              <w:t>35</w:t>
            </w:r>
            <w:r>
              <w:rPr>
                <w:rFonts w:hint="default" w:ascii="Times New Roman" w:hAnsi="Times New Roman" w:cs="Times New Roman"/>
                <w:color w:val="auto"/>
                <w:kern w:val="0"/>
                <w:szCs w:val="21"/>
                <w:lang w:val="en-US" w:eastAsia="zh-CN"/>
              </w:rPr>
              <w:t>t（废矿物油密度约</w:t>
            </w:r>
            <w:r>
              <w:rPr>
                <w:rFonts w:hint="default" w:ascii="Times New Roman" w:hAnsi="Times New Roman" w:cs="Times New Roman"/>
                <w:color w:val="auto"/>
                <w:kern w:val="0"/>
                <w:szCs w:val="21"/>
              </w:rPr>
              <w:t>875kg/m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按转运车辆1次转运</w:t>
            </w:r>
            <w:r>
              <w:rPr>
                <w:rFonts w:hint="eastAsia" w:cs="Times New Roman"/>
                <w:color w:val="auto"/>
                <w:kern w:val="0"/>
                <w:szCs w:val="21"/>
                <w:lang w:val="en-US" w:eastAsia="zh-CN"/>
              </w:rPr>
              <w:t>30</w:t>
            </w:r>
            <w:r>
              <w:rPr>
                <w:rFonts w:hint="default" w:ascii="Times New Roman" w:hAnsi="Times New Roman" w:cs="Times New Roman"/>
                <w:color w:val="auto"/>
                <w:kern w:val="0"/>
                <w:szCs w:val="21"/>
              </w:rPr>
              <w:t>t计，则需转运</w:t>
            </w:r>
            <w:r>
              <w:rPr>
                <w:rFonts w:hint="eastAsia" w:cs="Times New Roman"/>
                <w:color w:val="auto"/>
                <w:kern w:val="0"/>
                <w:szCs w:val="21"/>
                <w:lang w:val="en-US" w:eastAsia="zh-CN"/>
              </w:rPr>
              <w:t>7</w:t>
            </w:r>
            <w:r>
              <w:rPr>
                <w:rFonts w:hint="default" w:ascii="Times New Roman" w:hAnsi="Times New Roman" w:cs="Times New Roman"/>
                <w:color w:val="auto"/>
                <w:kern w:val="0"/>
                <w:szCs w:val="21"/>
              </w:rPr>
              <w:t>0次/年，平均约5天转运1次。由</w:t>
            </w:r>
            <w:r>
              <w:rPr>
                <w:rFonts w:hint="default" w:ascii="Times New Roman" w:hAnsi="Times New Roman" w:cs="Times New Roman"/>
                <w:color w:val="auto"/>
                <w:kern w:val="0"/>
                <w:szCs w:val="21"/>
                <w:lang w:val="en-US" w:eastAsia="zh-CN"/>
              </w:rPr>
              <w:t>下游接收处置单位四川金谷环保科技有限公司负责运输，该公司已与</w:t>
            </w:r>
            <w:r>
              <w:rPr>
                <w:rFonts w:hint="eastAsia" w:cs="Times New Roman"/>
                <w:color w:val="auto"/>
                <w:kern w:val="0"/>
                <w:szCs w:val="21"/>
                <w:highlight w:val="none"/>
                <w:lang w:val="en-US" w:eastAsia="zh-CN"/>
              </w:rPr>
              <w:t>南充市宏远运业服务有限公司</w:t>
            </w:r>
            <w:r>
              <w:rPr>
                <w:rFonts w:hint="default" w:ascii="Times New Roman" w:hAnsi="Times New Roman" w:cs="Times New Roman"/>
                <w:color w:val="auto"/>
                <w:kern w:val="0"/>
                <w:szCs w:val="21"/>
                <w:lang w:val="en-US" w:eastAsia="zh-CN"/>
              </w:rPr>
              <w:t>签订了《危险品运输协议》</w:t>
            </w:r>
            <w:r>
              <w:rPr>
                <w:rFonts w:hint="default" w:ascii="Times New Roman" w:hAnsi="Times New Roman" w:cs="Times New Roman"/>
                <w:color w:val="auto"/>
                <w:kern w:val="0"/>
                <w:szCs w:val="21"/>
              </w:rPr>
              <w:t>。</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根据《国家危险废物名录（2021年版）》，</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HW08废矿物油与含矿物油废物</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的种类见下表。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项目废矿物油收集种类清单</w:t>
            </w:r>
          </w:p>
          <w:tbl>
            <w:tblPr>
              <w:tblStyle w:val="18"/>
              <w:tblW w:w="8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088"/>
              <w:gridCol w:w="1123"/>
              <w:gridCol w:w="331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6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废物类别</w:t>
                  </w:r>
                </w:p>
              </w:tc>
              <w:tc>
                <w:tcPr>
                  <w:tcW w:w="10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行业来源</w:t>
                  </w:r>
                </w:p>
              </w:tc>
              <w:tc>
                <w:tcPr>
                  <w:tcW w:w="11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废物代码</w:t>
                  </w:r>
                </w:p>
              </w:tc>
              <w:tc>
                <w:tcPr>
                  <w:tcW w:w="33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危 险 废 物</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6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HW08废矿物油与含矿物油废物</w:t>
                  </w:r>
                </w:p>
              </w:tc>
              <w:tc>
                <w:tcPr>
                  <w:tcW w:w="10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非特定行业</w:t>
                  </w:r>
                </w:p>
              </w:tc>
              <w:tc>
                <w:tcPr>
                  <w:tcW w:w="11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900-214-08</w:t>
                  </w:r>
                </w:p>
              </w:tc>
              <w:tc>
                <w:tcPr>
                  <w:tcW w:w="33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车辆</w:t>
                  </w:r>
                  <w:r>
                    <w:rPr>
                      <w:rFonts w:hint="default" w:ascii="Times New Roman" w:hAnsi="Times New Roman" w:cs="Times New Roman"/>
                      <w:bCs/>
                      <w:color w:val="auto"/>
                      <w:sz w:val="18"/>
                      <w:szCs w:val="18"/>
                      <w:lang w:eastAsia="zh-CN"/>
                    </w:rPr>
                    <w:t>、</w:t>
                  </w:r>
                  <w:r>
                    <w:rPr>
                      <w:rFonts w:hint="default" w:ascii="Times New Roman" w:hAnsi="Times New Roman" w:cs="Times New Roman"/>
                      <w:bCs/>
                      <w:color w:val="auto"/>
                      <w:sz w:val="18"/>
                      <w:szCs w:val="18"/>
                      <w:lang w:val="en-US" w:eastAsia="zh-CN"/>
                    </w:rPr>
                    <w:t>船舶及其他机械维修过程中产生的</w:t>
                  </w:r>
                  <w:r>
                    <w:rPr>
                      <w:rFonts w:hint="default" w:ascii="Times New Roman" w:hAnsi="Times New Roman" w:cs="Times New Roman"/>
                      <w:bCs/>
                      <w:color w:val="auto"/>
                      <w:sz w:val="18"/>
                      <w:szCs w:val="18"/>
                    </w:rPr>
                    <w:t>废</w:t>
                  </w:r>
                  <w:r>
                    <w:rPr>
                      <w:rFonts w:hint="default" w:ascii="Times New Roman" w:hAnsi="Times New Roman" w:cs="Times New Roman"/>
                      <w:bCs/>
                      <w:color w:val="auto"/>
                      <w:sz w:val="18"/>
                      <w:szCs w:val="18"/>
                      <w:lang w:val="en-US" w:eastAsia="zh-CN"/>
                    </w:rPr>
                    <w:t>发动机油、制动器油、自动变速器油、齿轮油等分润滑油</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T，I</w:t>
                  </w:r>
                </w:p>
              </w:tc>
            </w:tr>
          </w:tbl>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根据《危险废物经营许可证管理办法》（2016修订）</w:t>
            </w:r>
            <w:r>
              <w:rPr>
                <w:rFonts w:hint="default" w:ascii="Times New Roman" w:hAnsi="Times New Roman" w:cs="Times New Roman"/>
                <w:color w:val="auto"/>
                <w:kern w:val="0"/>
                <w:szCs w:val="21"/>
                <w:lang w:eastAsia="zh-CN"/>
              </w:rPr>
              <w:t>的</w:t>
            </w:r>
            <w:r>
              <w:rPr>
                <w:rFonts w:hint="default" w:ascii="Times New Roman" w:hAnsi="Times New Roman" w:cs="Times New Roman"/>
                <w:b/>
                <w:bCs/>
                <w:color w:val="auto"/>
                <w:kern w:val="0"/>
                <w:szCs w:val="21"/>
                <w:lang w:val="en-US" w:eastAsia="zh-CN"/>
              </w:rPr>
              <w:t>第三条</w:t>
            </w:r>
            <w:r>
              <w:rPr>
                <w:rFonts w:hint="default" w:ascii="Times New Roman" w:hAnsi="Times New Roman" w:cs="Times New Roman"/>
                <w:color w:val="auto"/>
                <w:kern w:val="0"/>
                <w:szCs w:val="21"/>
                <w:lang w:val="en-US" w:eastAsia="zh-CN"/>
              </w:rPr>
              <w:t>：</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lang w:val="en-US" w:eastAsia="zh-CN"/>
              </w:rPr>
              <w:t>“危险废物经营许可证按照经营方式，分为危险废物收集、贮存、处置综合经营许可证和危险废物收集经营许可证。</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lang w:val="en-US" w:eastAsia="zh-CN"/>
              </w:rPr>
              <w:t>领取危险废物综合经营许可证的单位，可以从事各类别危险废物的收集、贮存、处置经营活动；</w:t>
            </w:r>
            <w:r>
              <w:rPr>
                <w:rFonts w:hint="default" w:ascii="Times New Roman" w:hAnsi="Times New Roman" w:eastAsia="仿宋" w:cs="Times New Roman"/>
                <w:b/>
                <w:bCs/>
                <w:color w:val="auto"/>
                <w:kern w:val="0"/>
                <w:szCs w:val="21"/>
                <w:lang w:val="en-US" w:eastAsia="zh-CN"/>
              </w:rPr>
              <w:t>领取危险废物收集经营许可证的单位，只能从事机动车维修活动中产生的废矿物油</w:t>
            </w:r>
            <w:r>
              <w:rPr>
                <w:rFonts w:hint="default" w:ascii="Times New Roman" w:hAnsi="Times New Roman" w:eastAsia="仿宋" w:cs="Times New Roman"/>
                <w:color w:val="auto"/>
                <w:kern w:val="0"/>
                <w:szCs w:val="21"/>
                <w:lang w:val="en-US" w:eastAsia="zh-CN"/>
              </w:rPr>
              <w:t>和居民日常生活中产生的废</w:t>
            </w:r>
            <w:r>
              <w:rPr>
                <w:rFonts w:hint="default" w:ascii="Times New Roman" w:hAnsi="Times New Roman" w:eastAsia="仿宋" w:cs="Times New Roman"/>
                <w:color w:val="auto"/>
                <w:kern w:val="0"/>
                <w:szCs w:val="21"/>
                <w:lang w:val="en-US" w:eastAsia="zh-CN"/>
              </w:rPr>
              <w:fldChar w:fldCharType="begin"/>
            </w:r>
            <w:r>
              <w:rPr>
                <w:rFonts w:hint="default" w:ascii="Times New Roman" w:hAnsi="Times New Roman" w:eastAsia="仿宋" w:cs="Times New Roman"/>
                <w:color w:val="auto"/>
                <w:kern w:val="0"/>
                <w:szCs w:val="21"/>
                <w:lang w:val="en-US" w:eastAsia="zh-CN"/>
              </w:rPr>
              <w:instrText xml:space="preserve"> HYPERLINK "https://baike.baidu.com/item/%E9%95%89%E9%95%8D%E7%94%B5%E6%B1%A0/10540703" \t "https://baike.baidu.com/item/%E5%8D%B1%E9%99%A9%E5%BA%9F%E7%89%A9%E7%BB%8F%E8%90%A5%E8%AE%B8%E5%8F%AF%E8%AF%81%E7%AE%A1%E7%90%86%E5%8A%9E%E6%B3%95/_blank" </w:instrText>
            </w:r>
            <w:r>
              <w:rPr>
                <w:rFonts w:hint="default" w:ascii="Times New Roman" w:hAnsi="Times New Roman" w:eastAsia="仿宋" w:cs="Times New Roman"/>
                <w:color w:val="auto"/>
                <w:kern w:val="0"/>
                <w:szCs w:val="21"/>
                <w:lang w:val="en-US" w:eastAsia="zh-CN"/>
              </w:rPr>
              <w:fldChar w:fldCharType="separate"/>
            </w:r>
            <w:r>
              <w:rPr>
                <w:rFonts w:hint="default" w:ascii="Times New Roman" w:hAnsi="Times New Roman" w:eastAsia="仿宋" w:cs="Times New Roman"/>
                <w:color w:val="auto"/>
                <w:kern w:val="0"/>
                <w:szCs w:val="21"/>
              </w:rPr>
              <w:t>镉镍电池</w:t>
            </w:r>
            <w:r>
              <w:rPr>
                <w:rFonts w:hint="default" w:ascii="Times New Roman" w:hAnsi="Times New Roman" w:eastAsia="仿宋" w:cs="Times New Roman"/>
                <w:color w:val="auto"/>
                <w:kern w:val="0"/>
                <w:szCs w:val="21"/>
                <w:lang w:val="en-US" w:eastAsia="zh-CN"/>
              </w:rPr>
              <w:fldChar w:fldCharType="end"/>
            </w:r>
            <w:r>
              <w:rPr>
                <w:rFonts w:hint="default" w:ascii="Times New Roman" w:hAnsi="Times New Roman" w:eastAsia="仿宋" w:cs="Times New Roman"/>
                <w:color w:val="auto"/>
                <w:kern w:val="0"/>
                <w:szCs w:val="21"/>
                <w:lang w:val="en-US" w:eastAsia="zh-CN"/>
              </w:rPr>
              <w:t>的危险废物收集经营活动。”</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b/>
                <w:bCs/>
                <w:color w:val="auto"/>
                <w:kern w:val="0"/>
                <w:szCs w:val="21"/>
                <w:lang w:val="en-US" w:eastAsia="zh-CN"/>
              </w:rPr>
            </w:pPr>
            <w:r>
              <w:rPr>
                <w:rFonts w:hint="default" w:ascii="Times New Roman" w:hAnsi="Times New Roman" w:cs="Times New Roman"/>
                <w:color w:val="auto"/>
                <w:kern w:val="0"/>
                <w:szCs w:val="21"/>
                <w:lang w:val="en-US" w:eastAsia="zh-CN"/>
              </w:rPr>
              <w:t>根据上述规定，</w:t>
            </w:r>
            <w:r>
              <w:rPr>
                <w:rFonts w:hint="default" w:ascii="Times New Roman" w:hAnsi="Times New Roman" w:cs="Times New Roman"/>
                <w:b/>
                <w:bCs/>
                <w:color w:val="auto"/>
                <w:kern w:val="0"/>
                <w:szCs w:val="21"/>
                <w:lang w:val="en-US" w:eastAsia="zh-CN"/>
              </w:rPr>
              <w:t>本项目收集范围</w:t>
            </w:r>
            <w:r>
              <w:rPr>
                <w:rFonts w:hint="eastAsia" w:cs="Times New Roman"/>
                <w:b/>
                <w:bCs/>
                <w:color w:val="auto"/>
                <w:kern w:val="0"/>
                <w:szCs w:val="21"/>
                <w:lang w:val="en-US" w:eastAsia="zh-CN"/>
              </w:rPr>
              <w:t>仅</w:t>
            </w:r>
            <w:r>
              <w:rPr>
                <w:rFonts w:hint="default" w:ascii="Times New Roman" w:hAnsi="Times New Roman" w:cs="Times New Roman"/>
                <w:b/>
                <w:bCs/>
                <w:color w:val="auto"/>
                <w:kern w:val="0"/>
                <w:szCs w:val="21"/>
                <w:lang w:val="en-US" w:eastAsia="zh-CN"/>
              </w:rPr>
              <w:t>为机动车维修活动中产生的废矿物油</w:t>
            </w:r>
            <w:r>
              <w:rPr>
                <w:rFonts w:hint="eastAsia" w:cs="Times New Roman"/>
                <w:b/>
                <w:bCs/>
                <w:color w:val="auto"/>
                <w:kern w:val="0"/>
                <w:szCs w:val="21"/>
                <w:lang w:val="en-US" w:eastAsia="zh-CN"/>
              </w:rPr>
              <w:t>，不得收集其他行业产生的废矿物油</w:t>
            </w:r>
            <w:r>
              <w:rPr>
                <w:rFonts w:hint="default" w:ascii="Times New Roman" w:hAnsi="Times New Roman" w:cs="Times New Roman"/>
                <w:b/>
                <w:bCs/>
                <w:color w:val="auto"/>
                <w:kern w:val="0"/>
                <w:szCs w:val="21"/>
                <w:lang w:val="en-US" w:eastAsia="zh-CN"/>
              </w:rPr>
              <w:t>。</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同时</w:t>
            </w:r>
            <w:r>
              <w:rPr>
                <w:rFonts w:hint="eastAsia" w:cs="Times New Roman"/>
                <w:color w:val="auto"/>
                <w:kern w:val="0"/>
                <w:szCs w:val="21"/>
                <w:lang w:val="en-US" w:eastAsia="zh-CN"/>
              </w:rPr>
              <w:t>项目</w:t>
            </w:r>
            <w:r>
              <w:rPr>
                <w:rFonts w:hint="default" w:ascii="Times New Roman" w:hAnsi="Times New Roman" w:cs="Times New Roman"/>
                <w:color w:val="auto"/>
                <w:kern w:val="0"/>
                <w:szCs w:val="21"/>
                <w:lang w:val="en-US" w:eastAsia="zh-CN"/>
              </w:rPr>
              <w:t>收集的废矿物油应满足下表要求。</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项目收集废</w:t>
            </w:r>
            <w:r>
              <w:rPr>
                <w:rFonts w:hint="default" w:ascii="Times New Roman" w:hAnsi="Times New Roman" w:eastAsia="黑体" w:cs="Times New Roman"/>
                <w:color w:val="auto"/>
                <w:kern w:val="0"/>
                <w:sz w:val="20"/>
                <w:szCs w:val="20"/>
                <w:lang w:val="en-US" w:eastAsia="zh-CN"/>
              </w:rPr>
              <w:t>矿物</w:t>
            </w:r>
            <w:r>
              <w:rPr>
                <w:rFonts w:hint="default" w:ascii="Times New Roman" w:hAnsi="Times New Roman" w:eastAsia="黑体" w:cs="Times New Roman"/>
                <w:color w:val="auto"/>
                <w:kern w:val="0"/>
                <w:sz w:val="20"/>
                <w:szCs w:val="20"/>
                <w:lang w:val="zh-CN" w:eastAsia="zh-CN"/>
              </w:rPr>
              <w:t>油质量参数表</w:t>
            </w:r>
          </w:p>
          <w:tbl>
            <w:tblPr>
              <w:tblStyle w:val="17"/>
              <w:tblW w:w="8139"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2714"/>
              <w:gridCol w:w="2711"/>
              <w:gridCol w:w="2714"/>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2714" w:type="dxa"/>
                  <w:tcBorders>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项目</w:t>
                  </w:r>
                </w:p>
              </w:tc>
              <w:tc>
                <w:tcPr>
                  <w:tcW w:w="2711"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单位</w:t>
                  </w:r>
                </w:p>
              </w:tc>
              <w:tc>
                <w:tcPr>
                  <w:tcW w:w="2714"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指标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2714"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密度（20℃）</w:t>
                  </w:r>
                </w:p>
              </w:tc>
              <w:tc>
                <w:tcPr>
                  <w:tcW w:w="27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t/m</w:t>
                  </w:r>
                  <w:r>
                    <w:rPr>
                      <w:rFonts w:hint="default" w:ascii="Times New Roman" w:hAnsi="Times New Roman" w:cs="Times New Roman"/>
                      <w:bCs/>
                      <w:color w:val="auto"/>
                      <w:sz w:val="18"/>
                      <w:szCs w:val="18"/>
                      <w:vertAlign w:val="superscript"/>
                    </w:rPr>
                    <w:t>3</w:t>
                  </w:r>
                </w:p>
              </w:tc>
              <w:tc>
                <w:tcPr>
                  <w:tcW w:w="2714"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0.875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2714"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运动黏度</w:t>
                  </w:r>
                </w:p>
              </w:tc>
              <w:tc>
                <w:tcPr>
                  <w:tcW w:w="27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mm</w:t>
                  </w:r>
                  <w:r>
                    <w:rPr>
                      <w:rFonts w:hint="default" w:ascii="Times New Roman" w:hAnsi="Times New Roman" w:cs="Times New Roman"/>
                      <w:bCs/>
                      <w:color w:val="auto"/>
                      <w:sz w:val="18"/>
                      <w:szCs w:val="18"/>
                      <w:vertAlign w:val="superscript"/>
                    </w:rPr>
                    <w:t>2</w:t>
                  </w:r>
                  <w:r>
                    <w:rPr>
                      <w:rFonts w:hint="default" w:ascii="Times New Roman" w:hAnsi="Times New Roman" w:cs="Times New Roman"/>
                      <w:bCs/>
                      <w:color w:val="auto"/>
                      <w:sz w:val="18"/>
                      <w:szCs w:val="18"/>
                    </w:rPr>
                    <w:t>/s</w:t>
                  </w:r>
                </w:p>
              </w:tc>
              <w:tc>
                <w:tcPr>
                  <w:tcW w:w="2714"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29.05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2714"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外观</w:t>
                  </w:r>
                </w:p>
              </w:tc>
              <w:tc>
                <w:tcPr>
                  <w:tcW w:w="27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2714"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棕黄色、黑色</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2714"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闪点</w:t>
                  </w:r>
                </w:p>
              </w:tc>
              <w:tc>
                <w:tcPr>
                  <w:tcW w:w="27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2714"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2714"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水分</w:t>
                  </w:r>
                </w:p>
              </w:tc>
              <w:tc>
                <w:tcPr>
                  <w:tcW w:w="27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2714"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2714"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灰分</w:t>
                  </w:r>
                </w:p>
              </w:tc>
              <w:tc>
                <w:tcPr>
                  <w:tcW w:w="27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2714"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0.7901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7" w:hRule="atLeast"/>
                <w:jc w:val="center"/>
              </w:trPr>
              <w:tc>
                <w:tcPr>
                  <w:tcW w:w="2714" w:type="dxa"/>
                  <w:tcBorders>
                    <w:top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含硫量</w:t>
                  </w:r>
                </w:p>
              </w:tc>
              <w:tc>
                <w:tcPr>
                  <w:tcW w:w="2711"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2714"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53" w:leftChars="-25" w:right="-53" w:rightChars="-25"/>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0.595</w:t>
                  </w:r>
                </w:p>
              </w:tc>
            </w:tr>
          </w:tbl>
          <w:p>
            <w:pPr>
              <w:numPr>
                <w:ilvl w:val="0"/>
                <w:numId w:val="8"/>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主要生产单元</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本项目不涉及生产加工，仅为储存，生产单</w:t>
            </w:r>
            <w:r>
              <w:rPr>
                <w:rFonts w:hint="default" w:ascii="Times New Roman" w:hAnsi="Times New Roman" w:cs="Times New Roman"/>
                <w:color w:val="auto"/>
                <w:kern w:val="0"/>
                <w:szCs w:val="21"/>
                <w:lang w:val="en-US" w:eastAsia="zh-CN"/>
              </w:rPr>
              <w:t>元</w:t>
            </w:r>
            <w:r>
              <w:rPr>
                <w:rFonts w:hint="default" w:ascii="Times New Roman" w:hAnsi="Times New Roman" w:cs="Times New Roman"/>
                <w:color w:val="auto"/>
                <w:kern w:val="0"/>
                <w:szCs w:val="21"/>
              </w:rPr>
              <w:t>为储存</w:t>
            </w:r>
            <w:r>
              <w:rPr>
                <w:rFonts w:hint="default" w:ascii="Times New Roman" w:hAnsi="Times New Roman" w:cs="Times New Roman"/>
                <w:color w:val="auto"/>
                <w:kern w:val="0"/>
                <w:szCs w:val="21"/>
                <w:lang w:val="en-US" w:eastAsia="zh-CN"/>
              </w:rPr>
              <w:t>区</w:t>
            </w:r>
            <w:r>
              <w:rPr>
                <w:rFonts w:hint="default" w:ascii="Times New Roman" w:hAnsi="Times New Roman" w:cs="Times New Roman"/>
                <w:color w:val="auto"/>
                <w:kern w:val="0"/>
                <w:szCs w:val="21"/>
              </w:rPr>
              <w:t>，面积为</w:t>
            </w:r>
            <w:r>
              <w:rPr>
                <w:rFonts w:hint="eastAsia" w:cs="Times New Roman"/>
                <w:color w:val="auto"/>
                <w:kern w:val="0"/>
                <w:szCs w:val="21"/>
                <w:lang w:val="en-US" w:eastAsia="zh-CN"/>
              </w:rPr>
              <w:t>64</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，均采取防渗、防腐处理。储存罐</w:t>
            </w:r>
            <w:r>
              <w:rPr>
                <w:rFonts w:hint="default" w:ascii="Times New Roman" w:hAnsi="Times New Roman" w:cs="Times New Roman"/>
                <w:color w:val="auto"/>
                <w:kern w:val="0"/>
                <w:szCs w:val="21"/>
                <w:lang w:val="en-US" w:eastAsia="zh-CN"/>
              </w:rPr>
              <w:t>区</w:t>
            </w:r>
            <w:r>
              <w:rPr>
                <w:rFonts w:hint="default" w:ascii="Times New Roman" w:hAnsi="Times New Roman" w:cs="Times New Roman"/>
                <w:color w:val="auto"/>
                <w:kern w:val="0"/>
                <w:szCs w:val="21"/>
              </w:rPr>
              <w:t>四周设置围堰，围堰高度0.</w:t>
            </w:r>
            <w:r>
              <w:rPr>
                <w:rFonts w:hint="eastAsia" w:cs="Times New Roman"/>
                <w:color w:val="auto"/>
                <w:kern w:val="0"/>
                <w:szCs w:val="21"/>
                <w:lang w:val="en-US" w:eastAsia="zh-CN"/>
              </w:rPr>
              <w:t>8</w:t>
            </w:r>
            <w:r>
              <w:rPr>
                <w:rFonts w:hint="default" w:ascii="Times New Roman" w:hAnsi="Times New Roman" w:cs="Times New Roman"/>
                <w:color w:val="auto"/>
                <w:kern w:val="0"/>
                <w:szCs w:val="21"/>
              </w:rPr>
              <w:t>m，有效容积约</w:t>
            </w:r>
            <w:r>
              <w:rPr>
                <w:rFonts w:hint="eastAsia" w:cs="Times New Roman"/>
                <w:color w:val="auto"/>
                <w:kern w:val="0"/>
                <w:szCs w:val="21"/>
                <w:lang w:val="en-US" w:eastAsia="zh-CN"/>
              </w:rPr>
              <w:t>45</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扣除储油罐底部占的空间约</w:t>
            </w:r>
            <w:r>
              <w:rPr>
                <w:rFonts w:hint="eastAsia" w:cs="Times New Roman"/>
                <w:color w:val="auto"/>
                <w:kern w:val="0"/>
                <w:szCs w:val="21"/>
                <w:lang w:val="en-US" w:eastAsia="zh-CN"/>
              </w:rPr>
              <w:t>6</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lang w:eastAsia="zh-CN"/>
              </w:rPr>
              <w:t>）。</w:t>
            </w:r>
          </w:p>
          <w:p>
            <w:pPr>
              <w:numPr>
                <w:ilvl w:val="0"/>
                <w:numId w:val="8"/>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主要工艺</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本项目属仓储项目，无生产加工工艺。</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营运期场内工艺流程为：运输车辆进场→卸油进罐→储存→装车外运。</w:t>
            </w:r>
          </w:p>
          <w:p>
            <w:pPr>
              <w:numPr>
                <w:ilvl w:val="0"/>
                <w:numId w:val="8"/>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主要生产设施及设施参数</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eastAsia" w:cs="Times New Roman"/>
                <w:color w:val="auto"/>
                <w:kern w:val="0"/>
                <w:szCs w:val="21"/>
                <w:lang w:val="en-US" w:eastAsia="zh-CN"/>
              </w:rPr>
              <w:t>本次迁建不新增、更换储油罐、运输车辆等设施，建成后将现有储油间的设施全部搬迁至本项目</w:t>
            </w:r>
            <w:r>
              <w:rPr>
                <w:rFonts w:hint="default" w:ascii="Times New Roman" w:hAnsi="Times New Roman" w:cs="Times New Roman"/>
                <w:color w:val="auto"/>
                <w:kern w:val="0"/>
                <w:szCs w:val="21"/>
              </w:rPr>
              <w:t>。</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项目主要设备清单</w:t>
            </w:r>
          </w:p>
          <w:tbl>
            <w:tblPr>
              <w:tblStyle w:val="17"/>
              <w:tblW w:w="8157" w:type="dxa"/>
              <w:jc w:val="center"/>
              <w:tblLayout w:type="fixed"/>
              <w:tblCellMar>
                <w:top w:w="0" w:type="dxa"/>
                <w:left w:w="0" w:type="dxa"/>
                <w:bottom w:w="0" w:type="dxa"/>
                <w:right w:w="0" w:type="dxa"/>
              </w:tblCellMar>
            </w:tblPr>
            <w:tblGrid>
              <w:gridCol w:w="684"/>
              <w:gridCol w:w="2336"/>
              <w:gridCol w:w="2568"/>
              <w:gridCol w:w="853"/>
              <w:gridCol w:w="773"/>
              <w:gridCol w:w="943"/>
            </w:tblGrid>
            <w:tr>
              <w:tblPrEx>
                <w:tblCellMar>
                  <w:top w:w="0" w:type="dxa"/>
                  <w:left w:w="0" w:type="dxa"/>
                  <w:bottom w:w="0" w:type="dxa"/>
                  <w:right w:w="0" w:type="dxa"/>
                </w:tblCellMar>
              </w:tblPrEx>
              <w:trPr>
                <w:trHeight w:val="345" w:hRule="atLeast"/>
                <w:jc w:val="center"/>
              </w:trPr>
              <w:tc>
                <w:tcPr>
                  <w:tcW w:w="684" w:type="dxa"/>
                  <w:tcBorders>
                    <w:top w:val="single" w:color="auto" w:sz="4" w:space="0"/>
                    <w:left w:val="single" w:color="auto" w:sz="0"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2336" w:type="dxa"/>
                  <w:tcBorders>
                    <w:top w:val="single" w:color="auto"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设备</w:t>
                  </w:r>
                </w:p>
              </w:tc>
              <w:tc>
                <w:tcPr>
                  <w:tcW w:w="2568" w:type="dxa"/>
                  <w:tcBorders>
                    <w:top w:val="single" w:color="auto"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规格</w:t>
                  </w:r>
                </w:p>
              </w:tc>
              <w:tc>
                <w:tcPr>
                  <w:tcW w:w="853" w:type="dxa"/>
                  <w:tcBorders>
                    <w:top w:val="single" w:color="auto"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单位</w:t>
                  </w:r>
                </w:p>
              </w:tc>
              <w:tc>
                <w:tcPr>
                  <w:tcW w:w="773" w:type="dxa"/>
                  <w:tcBorders>
                    <w:top w:val="single" w:color="auto"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数量</w:t>
                  </w:r>
                </w:p>
              </w:tc>
              <w:tc>
                <w:tcPr>
                  <w:tcW w:w="943" w:type="dxa"/>
                  <w:tcBorders>
                    <w:top w:val="single" w:color="auto" w:sz="4" w:space="0"/>
                    <w:left w:val="single" w:color="000000" w:sz="4" w:space="0"/>
                    <w:bottom w:val="single" w:color="000000" w:sz="4" w:space="0"/>
                    <w:right w:val="single" w:color="auto" w:sz="4" w:space="0"/>
                  </w:tcBorders>
                  <w:noWrap w:val="0"/>
                  <w:vAlign w:val="center"/>
                </w:tcPr>
                <w:p>
                  <w:pPr>
                    <w:spacing w:line="280" w:lineRule="exact"/>
                    <w:ind w:left="21" w:leftChars="10" w:right="21" w:rightChar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备注</w:t>
                  </w:r>
                </w:p>
              </w:tc>
            </w:tr>
            <w:tr>
              <w:tblPrEx>
                <w:tblCellMar>
                  <w:top w:w="0" w:type="dxa"/>
                  <w:left w:w="0" w:type="dxa"/>
                  <w:bottom w:w="0" w:type="dxa"/>
                  <w:right w:w="0" w:type="dxa"/>
                </w:tblCellMar>
              </w:tblPrEx>
              <w:trPr>
                <w:trHeight w:val="345" w:hRule="atLeast"/>
                <w:jc w:val="center"/>
              </w:trPr>
              <w:tc>
                <w:tcPr>
                  <w:tcW w:w="684" w:type="dxa"/>
                  <w:tcBorders>
                    <w:top w:val="single" w:color="000000" w:sz="4" w:space="0"/>
                    <w:left w:val="single" w:color="auto"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33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卧式储油罐</w:t>
                  </w:r>
                  <w:r>
                    <w:rPr>
                      <w:rFonts w:hint="eastAsia" w:cs="Times New Roman"/>
                      <w:color w:val="auto"/>
                      <w:sz w:val="18"/>
                      <w:szCs w:val="18"/>
                      <w:lang w:eastAsia="zh-CN"/>
                    </w:rPr>
                    <w:t>（</w:t>
                  </w:r>
                  <w:r>
                    <w:rPr>
                      <w:rFonts w:hint="default" w:ascii="Times New Roman" w:hAnsi="Times New Roman" w:cs="Times New Roman"/>
                      <w:color w:val="auto"/>
                      <w:sz w:val="18"/>
                      <w:szCs w:val="18"/>
                    </w:rPr>
                    <w:t>配套油泵</w:t>
                  </w:r>
                  <w:r>
                    <w:rPr>
                      <w:rFonts w:hint="eastAsia" w:cs="Times New Roman"/>
                      <w:color w:val="auto"/>
                      <w:sz w:val="18"/>
                      <w:szCs w:val="18"/>
                      <w:lang w:eastAsia="zh-CN"/>
                    </w:rPr>
                    <w:t>）</w:t>
                  </w:r>
                </w:p>
              </w:tc>
              <w:tc>
                <w:tcPr>
                  <w:tcW w:w="256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w:t>
                  </w:r>
                  <w:r>
                    <w:rPr>
                      <w:rFonts w:hint="eastAsia" w:cs="Times New Roman"/>
                      <w:color w:val="auto"/>
                      <w:sz w:val="18"/>
                      <w:szCs w:val="18"/>
                      <w:lang w:val="en-US" w:eastAsia="zh-CN"/>
                    </w:rPr>
                    <w:t>50</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bCs/>
                      <w:color w:val="auto"/>
                      <w:sz w:val="18"/>
                      <w:szCs w:val="18"/>
                    </w:rPr>
                    <w:t>；</w:t>
                  </w:r>
                  <w:r>
                    <w:rPr>
                      <w:rFonts w:hint="default" w:ascii="Times New Roman" w:hAnsi="Times New Roman" w:cs="Times New Roman"/>
                      <w:color w:val="auto"/>
                      <w:sz w:val="18"/>
                      <w:szCs w:val="18"/>
                    </w:rPr>
                    <w:t>D=</w:t>
                  </w:r>
                  <w:r>
                    <w:rPr>
                      <w:rFonts w:hint="eastAsia" w:cs="Times New Roman"/>
                      <w:color w:val="auto"/>
                      <w:sz w:val="18"/>
                      <w:szCs w:val="18"/>
                      <w:lang w:val="en-US" w:eastAsia="zh-CN"/>
                    </w:rPr>
                    <w:t>2.8</w:t>
                  </w:r>
                  <w:r>
                    <w:rPr>
                      <w:rFonts w:hint="default" w:ascii="Times New Roman" w:hAnsi="Times New Roman" w:cs="Times New Roman"/>
                      <w:color w:val="auto"/>
                      <w:sz w:val="18"/>
                      <w:szCs w:val="18"/>
                    </w:rPr>
                    <w:t>m</w:t>
                  </w:r>
                  <w:r>
                    <w:rPr>
                      <w:rFonts w:hint="default" w:ascii="Times New Roman" w:hAnsi="Times New Roman" w:cs="Times New Roman"/>
                      <w:bCs/>
                      <w:color w:val="auto"/>
                      <w:sz w:val="18"/>
                      <w:szCs w:val="18"/>
                    </w:rPr>
                    <w:t>，</w:t>
                  </w:r>
                  <w:r>
                    <w:rPr>
                      <w:rFonts w:hint="default" w:ascii="Times New Roman" w:hAnsi="Times New Roman" w:cs="Times New Roman"/>
                      <w:color w:val="auto"/>
                      <w:sz w:val="18"/>
                      <w:szCs w:val="18"/>
                    </w:rPr>
                    <w:t>L=</w:t>
                  </w:r>
                  <w:r>
                    <w:rPr>
                      <w:rFonts w:hint="default" w:ascii="Times New Roman" w:hAnsi="Times New Roman" w:cs="Times New Roman"/>
                      <w:color w:val="auto"/>
                      <w:sz w:val="18"/>
                      <w:szCs w:val="18"/>
                      <w:lang w:val="en-US" w:eastAsia="zh-CN"/>
                    </w:rPr>
                    <w:t>8.2</w:t>
                  </w:r>
                  <w:r>
                    <w:rPr>
                      <w:rFonts w:hint="default" w:ascii="Times New Roman" w:hAnsi="Times New Roman" w:cs="Times New Roman"/>
                      <w:color w:val="auto"/>
                      <w:sz w:val="18"/>
                      <w:szCs w:val="18"/>
                    </w:rPr>
                    <w:t>m</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个</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1</w:t>
                  </w:r>
                </w:p>
              </w:tc>
              <w:tc>
                <w:tcPr>
                  <w:tcW w:w="943" w:type="dxa"/>
                  <w:tcBorders>
                    <w:top w:val="single" w:color="000000" w:sz="4" w:space="0"/>
                    <w:left w:val="single" w:color="000000" w:sz="4" w:space="0"/>
                    <w:bottom w:val="single" w:color="000000" w:sz="4" w:space="0"/>
                    <w:right w:val="single" w:color="auto" w:sz="4" w:space="0"/>
                  </w:tcBorders>
                  <w:noWrap w:val="0"/>
                  <w:vAlign w:val="center"/>
                </w:tcPr>
                <w:p>
                  <w:pPr>
                    <w:spacing w:line="280" w:lineRule="exact"/>
                    <w:ind w:left="21" w:leftChars="10" w:right="21" w:rightChars="1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搬迁利旧</w:t>
                  </w:r>
                </w:p>
              </w:tc>
            </w:tr>
            <w:tr>
              <w:tblPrEx>
                <w:tblCellMar>
                  <w:top w:w="0" w:type="dxa"/>
                  <w:left w:w="0" w:type="dxa"/>
                  <w:bottom w:w="0" w:type="dxa"/>
                  <w:right w:w="0" w:type="dxa"/>
                </w:tblCellMar>
              </w:tblPrEx>
              <w:trPr>
                <w:trHeight w:val="345" w:hRule="atLeast"/>
                <w:jc w:val="center"/>
              </w:trPr>
              <w:tc>
                <w:tcPr>
                  <w:tcW w:w="684" w:type="dxa"/>
                  <w:tcBorders>
                    <w:top w:val="single" w:color="000000" w:sz="4" w:space="0"/>
                    <w:left w:val="single" w:color="auto"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33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运输车辆</w:t>
                  </w:r>
                  <w:r>
                    <w:rPr>
                      <w:rFonts w:hint="eastAsia" w:cs="Times New Roman"/>
                      <w:color w:val="auto"/>
                      <w:sz w:val="18"/>
                      <w:szCs w:val="18"/>
                      <w:lang w:eastAsia="zh-CN"/>
                    </w:rPr>
                    <w:t>（</w:t>
                  </w:r>
                  <w:r>
                    <w:rPr>
                      <w:rFonts w:hint="default" w:ascii="Times New Roman" w:hAnsi="Times New Roman" w:cs="Times New Roman"/>
                      <w:color w:val="auto"/>
                      <w:sz w:val="18"/>
                      <w:szCs w:val="18"/>
                    </w:rPr>
                    <w:t>配套油泵</w:t>
                  </w:r>
                  <w:r>
                    <w:rPr>
                      <w:rFonts w:hint="eastAsia" w:cs="Times New Roman"/>
                      <w:color w:val="auto"/>
                      <w:sz w:val="18"/>
                      <w:szCs w:val="18"/>
                      <w:lang w:eastAsia="zh-CN"/>
                    </w:rPr>
                    <w:t>）</w:t>
                  </w:r>
                </w:p>
              </w:tc>
              <w:tc>
                <w:tcPr>
                  <w:tcW w:w="256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5t，配套</w:t>
                  </w:r>
                  <w:r>
                    <w:rPr>
                      <w:rFonts w:hint="default" w:ascii="Times New Roman" w:hAnsi="Times New Roman" w:cs="Times New Roman"/>
                      <w:color w:val="auto"/>
                      <w:sz w:val="18"/>
                      <w:szCs w:val="18"/>
                    </w:rPr>
                    <w:t>输油软管</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辆</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1</w:t>
                  </w:r>
                </w:p>
              </w:tc>
              <w:tc>
                <w:tcPr>
                  <w:tcW w:w="943" w:type="dxa"/>
                  <w:tcBorders>
                    <w:top w:val="single" w:color="000000" w:sz="4" w:space="0"/>
                    <w:left w:val="single" w:color="000000" w:sz="4" w:space="0"/>
                    <w:bottom w:val="single" w:color="000000" w:sz="4" w:space="0"/>
                    <w:right w:val="single" w:color="auto" w:sz="4" w:space="0"/>
                  </w:tcBorders>
                  <w:noWrap w:val="0"/>
                  <w:vAlign w:val="center"/>
                </w:tcPr>
                <w:p>
                  <w:pPr>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搬迁利旧</w:t>
                  </w:r>
                </w:p>
              </w:tc>
            </w:tr>
            <w:tr>
              <w:tblPrEx>
                <w:tblCellMar>
                  <w:top w:w="0" w:type="dxa"/>
                  <w:left w:w="0" w:type="dxa"/>
                  <w:bottom w:w="0" w:type="dxa"/>
                  <w:right w:w="0" w:type="dxa"/>
                </w:tblCellMar>
              </w:tblPrEx>
              <w:trPr>
                <w:trHeight w:val="378" w:hRule="atLeast"/>
                <w:jc w:val="center"/>
              </w:trPr>
              <w:tc>
                <w:tcPr>
                  <w:tcW w:w="684" w:type="dxa"/>
                  <w:tcBorders>
                    <w:top w:val="single" w:color="000000" w:sz="4" w:space="0"/>
                    <w:left w:val="single" w:color="auto"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33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干粉灭火器</w:t>
                  </w:r>
                </w:p>
              </w:tc>
              <w:tc>
                <w:tcPr>
                  <w:tcW w:w="256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个</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ind w:left="21" w:leftChars="10" w:right="21" w:rightChar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6</w:t>
                  </w:r>
                </w:p>
              </w:tc>
              <w:tc>
                <w:tcPr>
                  <w:tcW w:w="943" w:type="dxa"/>
                  <w:tcBorders>
                    <w:top w:val="single" w:color="000000" w:sz="4" w:space="0"/>
                    <w:left w:val="single" w:color="000000" w:sz="4" w:space="0"/>
                    <w:bottom w:val="single" w:color="000000" w:sz="4" w:space="0"/>
                    <w:right w:val="single" w:color="auto" w:sz="4" w:space="0"/>
                  </w:tcBorders>
                  <w:noWrap w:val="0"/>
                  <w:vAlign w:val="center"/>
                </w:tcPr>
                <w:p>
                  <w:pPr>
                    <w:spacing w:line="280" w:lineRule="exact"/>
                    <w:ind w:left="21" w:leftChars="10" w:right="21" w:rightChars="10"/>
                    <w:jc w:val="center"/>
                    <w:rPr>
                      <w:rFonts w:hint="default" w:ascii="Times New Roman" w:hAnsi="Times New Roman" w:cs="Times New Roman"/>
                      <w:color w:val="auto"/>
                      <w:sz w:val="18"/>
                      <w:szCs w:val="18"/>
                    </w:rPr>
                  </w:pPr>
                </w:p>
              </w:tc>
            </w:tr>
          </w:tbl>
          <w:p>
            <w:pPr>
              <w:numPr>
                <w:ilvl w:val="0"/>
                <w:numId w:val="8"/>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主要原辅材料及燃料的种类和用量</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本项目原料为</w:t>
            </w:r>
            <w:r>
              <w:rPr>
                <w:rFonts w:hint="default" w:ascii="Times New Roman" w:hAnsi="Times New Roman" w:cs="Times New Roman"/>
                <w:color w:val="auto"/>
                <w:kern w:val="0"/>
                <w:szCs w:val="21"/>
                <w:lang w:eastAsia="zh-CN"/>
              </w:rPr>
              <w:t>废矿物油</w:t>
            </w:r>
            <w:r>
              <w:rPr>
                <w:rFonts w:hint="default" w:ascii="Times New Roman" w:hAnsi="Times New Roman" w:cs="Times New Roman"/>
                <w:color w:val="auto"/>
                <w:kern w:val="0"/>
                <w:szCs w:val="21"/>
              </w:rPr>
              <w:t>，收集范围及对象为达州市范围的汽车4S店、汽修厂等产生的</w:t>
            </w:r>
            <w:r>
              <w:rPr>
                <w:rFonts w:hint="default" w:ascii="Times New Roman" w:hAnsi="Times New Roman" w:cs="Times New Roman"/>
                <w:color w:val="auto"/>
                <w:kern w:val="0"/>
                <w:szCs w:val="21"/>
                <w:lang w:eastAsia="zh-CN"/>
              </w:rPr>
              <w:t>废矿物油</w:t>
            </w:r>
            <w:r>
              <w:rPr>
                <w:rFonts w:hint="default" w:ascii="Times New Roman" w:hAnsi="Times New Roman" w:cs="Times New Roman"/>
                <w:color w:val="auto"/>
                <w:kern w:val="0"/>
                <w:szCs w:val="21"/>
              </w:rPr>
              <w:t>，预计年收集量为2</w:t>
            </w:r>
            <w:r>
              <w:rPr>
                <w:rFonts w:hint="default" w:ascii="Times New Roman" w:hAnsi="Times New Roman" w:cs="Times New Roman"/>
                <w:color w:val="auto"/>
                <w:kern w:val="0"/>
                <w:szCs w:val="21"/>
                <w:lang w:val="en-US" w:eastAsia="zh-CN"/>
              </w:rPr>
              <w:t>0</w:t>
            </w:r>
            <w:r>
              <w:rPr>
                <w:rFonts w:hint="default" w:ascii="Times New Roman" w:hAnsi="Times New Roman" w:cs="Times New Roman"/>
                <w:color w:val="auto"/>
                <w:kern w:val="0"/>
                <w:szCs w:val="21"/>
              </w:rPr>
              <w:t>00吨。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主要原辅材料及能源消耗预计表</w:t>
            </w:r>
          </w:p>
          <w:tbl>
            <w:tblPr>
              <w:tblStyle w:val="17"/>
              <w:tblW w:w="7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96"/>
              <w:gridCol w:w="2017"/>
              <w:gridCol w:w="1339"/>
              <w:gridCol w:w="3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1296" w:type="dxa"/>
                  <w:noWrap w:val="0"/>
                  <w:vAlign w:val="center"/>
                </w:tcPr>
                <w:p>
                  <w:pPr>
                    <w:pStyle w:val="33"/>
                    <w:spacing w:line="320" w:lineRule="exact"/>
                    <w:ind w:left="42" w:leftChars="20" w:right="42" w:rightChars="2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类别</w:t>
                  </w:r>
                </w:p>
              </w:tc>
              <w:tc>
                <w:tcPr>
                  <w:tcW w:w="2017" w:type="dxa"/>
                  <w:noWrap w:val="0"/>
                  <w:vAlign w:val="center"/>
                </w:tcPr>
                <w:p>
                  <w:pPr>
                    <w:pStyle w:val="33"/>
                    <w:spacing w:line="320" w:lineRule="exact"/>
                    <w:ind w:left="42" w:leftChars="20" w:right="42" w:rightChars="2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339" w:type="dxa"/>
                  <w:noWrap w:val="0"/>
                  <w:vAlign w:val="center"/>
                </w:tcPr>
                <w:p>
                  <w:pPr>
                    <w:pStyle w:val="33"/>
                    <w:spacing w:line="320" w:lineRule="exact"/>
                    <w:ind w:left="42" w:leftChars="20" w:right="42" w:rightChars="2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年耗量</w:t>
                  </w:r>
                </w:p>
              </w:tc>
              <w:tc>
                <w:tcPr>
                  <w:tcW w:w="3326" w:type="dxa"/>
                  <w:noWrap w:val="0"/>
                  <w:vAlign w:val="center"/>
                </w:tcPr>
                <w:p>
                  <w:pPr>
                    <w:pStyle w:val="33"/>
                    <w:spacing w:line="320" w:lineRule="exact"/>
                    <w:ind w:left="42" w:leftChars="20" w:right="42" w:rightChars="2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1296" w:type="dxa"/>
                  <w:vMerge w:val="restart"/>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原辅料</w:t>
                  </w:r>
                </w:p>
              </w:tc>
              <w:tc>
                <w:tcPr>
                  <w:tcW w:w="2017" w:type="dxa"/>
                  <w:noWrap w:val="0"/>
                  <w:vAlign w:val="center"/>
                </w:tcPr>
                <w:p>
                  <w:pPr>
                    <w:pStyle w:val="33"/>
                    <w:spacing w:line="320" w:lineRule="exact"/>
                    <w:ind w:left="42" w:leftChars="20" w:right="42" w:rightChars="2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废矿物油</w:t>
                  </w:r>
                </w:p>
              </w:tc>
              <w:tc>
                <w:tcPr>
                  <w:tcW w:w="1339"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r>
                    <w:rPr>
                      <w:rFonts w:hint="default" w:ascii="Times New Roman" w:hAnsi="Times New Roman" w:cs="Times New Roman"/>
                      <w:color w:val="auto"/>
                      <w:sz w:val="18"/>
                      <w:szCs w:val="18"/>
                      <w:lang w:val="en-US" w:eastAsia="zh-CN"/>
                    </w:rPr>
                    <w:t>0</w:t>
                  </w:r>
                  <w:r>
                    <w:rPr>
                      <w:rFonts w:hint="default" w:ascii="Times New Roman" w:hAnsi="Times New Roman" w:cs="Times New Roman"/>
                      <w:color w:val="auto"/>
                      <w:sz w:val="18"/>
                      <w:szCs w:val="18"/>
                    </w:rPr>
                    <w:t>00t</w:t>
                  </w:r>
                </w:p>
              </w:tc>
              <w:tc>
                <w:tcPr>
                  <w:tcW w:w="3326"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达州市范围的汽车4S店、汽修厂等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1296" w:type="dxa"/>
                  <w:vMerge w:val="continue"/>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p>
              </w:tc>
              <w:tc>
                <w:tcPr>
                  <w:tcW w:w="2017"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吸油棉</w:t>
                  </w:r>
                </w:p>
              </w:tc>
              <w:tc>
                <w:tcPr>
                  <w:tcW w:w="1339"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0.01t</w:t>
                  </w:r>
                </w:p>
              </w:tc>
              <w:tc>
                <w:tcPr>
                  <w:tcW w:w="3326"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1296" w:type="dxa"/>
                  <w:vMerge w:val="continue"/>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p>
              </w:tc>
              <w:tc>
                <w:tcPr>
                  <w:tcW w:w="2017"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手套</w:t>
                  </w:r>
                </w:p>
              </w:tc>
              <w:tc>
                <w:tcPr>
                  <w:tcW w:w="1339"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w:t>
                  </w:r>
                  <w:r>
                    <w:rPr>
                      <w:rFonts w:hint="default" w:ascii="Times New Roman" w:hAnsi="Times New Roman" w:cs="Times New Roman"/>
                      <w:color w:val="auto"/>
                      <w:sz w:val="18"/>
                      <w:szCs w:val="18"/>
                    </w:rPr>
                    <w:t>.5t</w:t>
                  </w:r>
                </w:p>
              </w:tc>
              <w:tc>
                <w:tcPr>
                  <w:tcW w:w="3326"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1296"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能耗</w:t>
                  </w:r>
                </w:p>
              </w:tc>
              <w:tc>
                <w:tcPr>
                  <w:tcW w:w="2017"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w:t>
                  </w:r>
                </w:p>
              </w:tc>
              <w:tc>
                <w:tcPr>
                  <w:tcW w:w="1339"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3000kW·h</w:t>
                  </w:r>
                </w:p>
              </w:tc>
              <w:tc>
                <w:tcPr>
                  <w:tcW w:w="3326"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当地电网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1296"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水耗</w:t>
                  </w:r>
                </w:p>
              </w:tc>
              <w:tc>
                <w:tcPr>
                  <w:tcW w:w="2017"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w:t>
                  </w:r>
                </w:p>
              </w:tc>
              <w:tc>
                <w:tcPr>
                  <w:tcW w:w="1339" w:type="dxa"/>
                  <w:noWrap w:val="0"/>
                  <w:vAlign w:val="center"/>
                </w:tcPr>
                <w:p>
                  <w:pPr>
                    <w:pStyle w:val="33"/>
                    <w:spacing w:line="320" w:lineRule="exact"/>
                    <w:ind w:left="42" w:leftChars="20" w:right="42" w:rightChars="2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168</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p>
              </w:tc>
              <w:tc>
                <w:tcPr>
                  <w:tcW w:w="3326" w:type="dxa"/>
                  <w:noWrap w:val="0"/>
                  <w:vAlign w:val="center"/>
                </w:tcPr>
                <w:p>
                  <w:pPr>
                    <w:pStyle w:val="33"/>
                    <w:spacing w:line="320" w:lineRule="exact"/>
                    <w:ind w:left="42" w:leftChars="20" w:right="42" w:rightChars="2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自来水</w:t>
                  </w:r>
                </w:p>
              </w:tc>
            </w:tr>
          </w:tbl>
          <w:p>
            <w:pPr>
              <w:numPr>
                <w:ilvl w:val="0"/>
                <w:numId w:val="8"/>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水平衡分析</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项目油罐不进行清洗，用水环节为生活用水，</w:t>
            </w:r>
            <w:r>
              <w:rPr>
                <w:rFonts w:hint="default" w:ascii="Times New Roman" w:hAnsi="Times New Roman" w:cs="Times New Roman"/>
                <w:color w:val="auto"/>
                <w:kern w:val="0"/>
                <w:szCs w:val="21"/>
                <w:lang w:val="en-US" w:eastAsia="zh-CN"/>
              </w:rPr>
              <w:t>生活污水收集后排至园区污水管网</w:t>
            </w:r>
            <w:r>
              <w:rPr>
                <w:rFonts w:hint="default" w:ascii="Times New Roman" w:hAnsi="Times New Roman" w:cs="Times New Roman"/>
                <w:color w:val="auto"/>
                <w:kern w:val="0"/>
                <w:szCs w:val="21"/>
              </w:rPr>
              <w:t>。</w:t>
            </w:r>
          </w:p>
          <w:p>
            <w:pPr>
              <w:numPr>
                <w:ilvl w:val="0"/>
                <w:numId w:val="8"/>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劳动定员及工作制度</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r>
              <w:rPr>
                <w:rFonts w:hint="default" w:ascii="Times New Roman" w:hAnsi="Times New Roman" w:cs="Times New Roman"/>
                <w:color w:val="auto"/>
                <w:kern w:val="0"/>
                <w:szCs w:val="21"/>
              </w:rPr>
              <w:t>项目劳动定员</w:t>
            </w:r>
            <w:r>
              <w:rPr>
                <w:rFonts w:hint="default" w:ascii="Times New Roman" w:hAnsi="Times New Roman" w:cs="Times New Roman"/>
                <w:color w:val="auto"/>
                <w:kern w:val="0"/>
                <w:szCs w:val="21"/>
                <w:lang w:val="en-US" w:eastAsia="zh-CN"/>
              </w:rPr>
              <w:t>4</w:t>
            </w:r>
            <w:r>
              <w:rPr>
                <w:rFonts w:hint="default" w:ascii="Times New Roman" w:hAnsi="Times New Roman" w:cs="Times New Roman"/>
                <w:color w:val="auto"/>
                <w:kern w:val="0"/>
                <w:szCs w:val="21"/>
              </w:rPr>
              <w:t>人，年工作350天，每天24小时值班。</w:t>
            </w:r>
          </w:p>
          <w:p>
            <w:pPr>
              <w:numPr>
                <w:ilvl w:val="0"/>
                <w:numId w:val="8"/>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厂区平面布置介绍</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根据建设单位提供的平面布置图，项目</w:t>
            </w:r>
            <w:r>
              <w:rPr>
                <w:rFonts w:hint="default" w:ascii="Times New Roman" w:hAnsi="Times New Roman" w:cs="Times New Roman"/>
                <w:color w:val="auto"/>
                <w:kern w:val="0"/>
                <w:szCs w:val="21"/>
                <w:lang w:val="en-US" w:eastAsia="zh-CN"/>
              </w:rPr>
              <w:t>位于</w:t>
            </w:r>
            <w:r>
              <w:rPr>
                <w:rFonts w:hint="eastAsia" w:cs="Times New Roman"/>
                <w:color w:val="auto"/>
                <w:kern w:val="0"/>
                <w:szCs w:val="21"/>
                <w:lang w:val="en-US" w:eastAsia="zh-CN"/>
              </w:rPr>
              <w:t>四川君璜建材有限公司</w:t>
            </w:r>
            <w:r>
              <w:rPr>
                <w:rFonts w:hint="default" w:ascii="Times New Roman" w:hAnsi="Times New Roman" w:cs="Times New Roman"/>
                <w:color w:val="auto"/>
                <w:kern w:val="0"/>
                <w:szCs w:val="21"/>
                <w:lang w:val="en-US" w:eastAsia="zh-CN"/>
              </w:rPr>
              <w:t>地块的</w:t>
            </w:r>
            <w:r>
              <w:rPr>
                <w:rFonts w:hint="eastAsia" w:cs="Times New Roman"/>
                <w:color w:val="auto"/>
                <w:kern w:val="0"/>
                <w:szCs w:val="21"/>
                <w:lang w:val="en-US" w:eastAsia="zh-CN"/>
              </w:rPr>
              <w:t>北</w:t>
            </w:r>
            <w:r>
              <w:rPr>
                <w:rFonts w:hint="default" w:ascii="Times New Roman" w:hAnsi="Times New Roman" w:cs="Times New Roman"/>
                <w:color w:val="auto"/>
                <w:kern w:val="0"/>
                <w:szCs w:val="21"/>
                <w:lang w:val="en-US" w:eastAsia="zh-CN"/>
              </w:rPr>
              <w:t>侧</w:t>
            </w:r>
            <w:r>
              <w:rPr>
                <w:rFonts w:hint="default" w:ascii="Times New Roman" w:hAnsi="Times New Roman" w:cs="Times New Roman"/>
                <w:color w:val="auto"/>
                <w:kern w:val="0"/>
                <w:szCs w:val="21"/>
              </w:rPr>
              <w:t>。</w:t>
            </w:r>
            <w:r>
              <w:rPr>
                <w:rFonts w:hint="eastAsia" w:cs="Times New Roman"/>
                <w:color w:val="auto"/>
                <w:kern w:val="0"/>
                <w:szCs w:val="21"/>
                <w:lang w:val="en-US" w:eastAsia="zh-CN"/>
              </w:rPr>
              <w:t>项目拟用场地东</w:t>
            </w:r>
            <w:r>
              <w:rPr>
                <w:rFonts w:hint="default" w:ascii="Times New Roman" w:hAnsi="Times New Roman" w:cs="Times New Roman"/>
                <w:color w:val="auto"/>
                <w:kern w:val="0"/>
                <w:szCs w:val="21"/>
                <w:lang w:val="en-US" w:eastAsia="zh-CN"/>
              </w:rPr>
              <w:t>南</w:t>
            </w:r>
            <w:r>
              <w:rPr>
                <w:rFonts w:hint="eastAsia" w:cs="Times New Roman"/>
                <w:color w:val="auto"/>
                <w:kern w:val="0"/>
                <w:szCs w:val="21"/>
                <w:lang w:val="en-US" w:eastAsia="zh-CN"/>
              </w:rPr>
              <w:t>-西</w:t>
            </w:r>
            <w:r>
              <w:rPr>
                <w:rFonts w:hint="default" w:ascii="Times New Roman" w:hAnsi="Times New Roman" w:cs="Times New Roman"/>
                <w:color w:val="auto"/>
                <w:kern w:val="0"/>
                <w:szCs w:val="21"/>
                <w:lang w:val="en-US" w:eastAsia="zh-CN"/>
              </w:rPr>
              <w:t>北长约</w:t>
            </w:r>
            <w:r>
              <w:rPr>
                <w:rFonts w:hint="eastAsia" w:cs="Times New Roman"/>
                <w:color w:val="auto"/>
                <w:kern w:val="0"/>
                <w:szCs w:val="21"/>
                <w:lang w:val="en-US" w:eastAsia="zh-CN"/>
              </w:rPr>
              <w:t>16</w:t>
            </w:r>
            <w:r>
              <w:rPr>
                <w:rFonts w:hint="default" w:ascii="Times New Roman" w:hAnsi="Times New Roman" w:cs="Times New Roman"/>
                <w:color w:val="auto"/>
                <w:kern w:val="0"/>
                <w:szCs w:val="21"/>
                <w:lang w:val="en-US" w:eastAsia="zh-CN"/>
              </w:rPr>
              <w:t>m、东</w:t>
            </w:r>
            <w:r>
              <w:rPr>
                <w:rFonts w:hint="eastAsia" w:cs="Times New Roman"/>
                <w:color w:val="auto"/>
                <w:kern w:val="0"/>
                <w:szCs w:val="21"/>
                <w:lang w:val="en-US" w:eastAsia="zh-CN"/>
              </w:rPr>
              <w:t>北-</w:t>
            </w:r>
            <w:r>
              <w:rPr>
                <w:rFonts w:hint="default" w:ascii="Times New Roman" w:hAnsi="Times New Roman" w:cs="Times New Roman"/>
                <w:color w:val="auto"/>
                <w:kern w:val="0"/>
                <w:szCs w:val="21"/>
                <w:lang w:val="en-US" w:eastAsia="zh-CN"/>
              </w:rPr>
              <w:t>西</w:t>
            </w:r>
            <w:r>
              <w:rPr>
                <w:rFonts w:hint="eastAsia" w:cs="Times New Roman"/>
                <w:color w:val="auto"/>
                <w:kern w:val="0"/>
                <w:szCs w:val="21"/>
                <w:lang w:val="en-US" w:eastAsia="zh-CN"/>
              </w:rPr>
              <w:t>南</w:t>
            </w:r>
            <w:r>
              <w:rPr>
                <w:rFonts w:hint="default" w:ascii="Times New Roman" w:hAnsi="Times New Roman" w:cs="Times New Roman"/>
                <w:color w:val="auto"/>
                <w:kern w:val="0"/>
                <w:szCs w:val="21"/>
                <w:lang w:val="en-US" w:eastAsia="zh-CN"/>
              </w:rPr>
              <w:t>宽约13m，</w:t>
            </w:r>
            <w:r>
              <w:rPr>
                <w:rFonts w:hint="eastAsia" w:cs="Times New Roman"/>
                <w:color w:val="auto"/>
                <w:kern w:val="0"/>
                <w:szCs w:val="21"/>
                <w:lang w:val="en-US" w:eastAsia="zh-CN"/>
              </w:rPr>
              <w:t>拟建成封闭式的储油间，储油间</w:t>
            </w:r>
            <w:r>
              <w:rPr>
                <w:rFonts w:hint="default" w:ascii="Times New Roman" w:hAnsi="Times New Roman" w:cs="Times New Roman"/>
                <w:color w:val="auto"/>
                <w:kern w:val="0"/>
                <w:szCs w:val="21"/>
                <w:lang w:val="en-US" w:eastAsia="zh-CN"/>
              </w:rPr>
              <w:t>进出大门</w:t>
            </w:r>
            <w:r>
              <w:rPr>
                <w:rFonts w:hint="eastAsia" w:cs="Times New Roman"/>
                <w:color w:val="auto"/>
                <w:kern w:val="0"/>
                <w:szCs w:val="21"/>
                <w:lang w:val="en-US" w:eastAsia="zh-CN"/>
              </w:rPr>
              <w:t>设置在东南</w:t>
            </w:r>
            <w:r>
              <w:rPr>
                <w:rFonts w:hint="default" w:ascii="Times New Roman" w:hAnsi="Times New Roman" w:cs="Times New Roman"/>
                <w:color w:val="auto"/>
                <w:kern w:val="0"/>
                <w:szCs w:val="21"/>
                <w:lang w:val="en-US" w:eastAsia="zh-CN"/>
              </w:rPr>
              <w:t>面</w:t>
            </w:r>
            <w:r>
              <w:rPr>
                <w:rFonts w:hint="eastAsia" w:cs="Times New Roman"/>
                <w:color w:val="auto"/>
                <w:kern w:val="0"/>
                <w:szCs w:val="21"/>
                <w:lang w:val="en-US" w:eastAsia="zh-CN"/>
              </w:rPr>
              <w:t>，与四川君璜建材有限公司内部道路连接，直通西南面的厂区进出大门</w:t>
            </w:r>
            <w:r>
              <w:rPr>
                <w:rFonts w:hint="default" w:ascii="Times New Roman" w:hAnsi="Times New Roman" w:cs="Times New Roman"/>
                <w:color w:val="auto"/>
                <w:kern w:val="0"/>
                <w:szCs w:val="21"/>
                <w:lang w:val="en-US" w:eastAsia="zh-CN"/>
              </w:rPr>
              <w:t>。车间内储油罐区</w:t>
            </w:r>
            <w:r>
              <w:rPr>
                <w:rFonts w:hint="eastAsia" w:cs="Times New Roman"/>
                <w:color w:val="auto"/>
                <w:kern w:val="0"/>
                <w:szCs w:val="21"/>
                <w:lang w:val="en-US" w:eastAsia="zh-CN"/>
              </w:rPr>
              <w:t>拟</w:t>
            </w:r>
            <w:r>
              <w:rPr>
                <w:rFonts w:hint="default" w:ascii="Times New Roman" w:hAnsi="Times New Roman" w:cs="Times New Roman"/>
                <w:color w:val="auto"/>
                <w:kern w:val="0"/>
                <w:szCs w:val="21"/>
                <w:lang w:val="en-US" w:eastAsia="zh-CN"/>
              </w:rPr>
              <w:t>设置在</w:t>
            </w:r>
            <w:r>
              <w:rPr>
                <w:rFonts w:hint="eastAsia" w:cs="Times New Roman"/>
                <w:color w:val="auto"/>
                <w:kern w:val="0"/>
                <w:szCs w:val="21"/>
                <w:lang w:val="en-US" w:eastAsia="zh-CN"/>
              </w:rPr>
              <w:t>西南</w:t>
            </w:r>
            <w:r>
              <w:rPr>
                <w:rFonts w:hint="default" w:ascii="Times New Roman" w:hAnsi="Times New Roman" w:cs="Times New Roman"/>
                <w:color w:val="auto"/>
                <w:kern w:val="0"/>
                <w:szCs w:val="21"/>
                <w:lang w:val="en-US" w:eastAsia="zh-CN"/>
              </w:rPr>
              <w:t>侧，储油罐区</w:t>
            </w:r>
            <w:r>
              <w:rPr>
                <w:rFonts w:hint="eastAsia" w:cs="Times New Roman"/>
                <w:color w:val="auto"/>
                <w:kern w:val="0"/>
                <w:szCs w:val="21"/>
                <w:lang w:val="en-US" w:eastAsia="zh-CN"/>
              </w:rPr>
              <w:t>东北</w:t>
            </w:r>
            <w:r>
              <w:rPr>
                <w:rFonts w:hint="default" w:ascii="Times New Roman" w:hAnsi="Times New Roman" w:cs="Times New Roman"/>
                <w:color w:val="auto"/>
                <w:kern w:val="0"/>
                <w:szCs w:val="21"/>
                <w:lang w:val="en-US" w:eastAsia="zh-CN"/>
              </w:rPr>
              <w:t>侧拟设置为废矿物油装卸区；</w:t>
            </w:r>
            <w:r>
              <w:rPr>
                <w:rFonts w:hint="eastAsia" w:cs="Times New Roman"/>
                <w:color w:val="auto"/>
                <w:kern w:val="0"/>
                <w:szCs w:val="21"/>
                <w:lang w:val="en-US" w:eastAsia="zh-CN"/>
              </w:rPr>
              <w:t>事故应急池利用场地西南侧（储油区西南侧）已有的2个水池改造；北</w:t>
            </w:r>
            <w:r>
              <w:rPr>
                <w:rFonts w:hint="default" w:ascii="Times New Roman" w:hAnsi="Times New Roman" w:cs="Times New Roman"/>
                <w:color w:val="auto"/>
                <w:kern w:val="0"/>
                <w:szCs w:val="21"/>
                <w:lang w:val="en-US" w:eastAsia="zh-CN"/>
              </w:rPr>
              <w:t>侧</w:t>
            </w:r>
            <w:r>
              <w:rPr>
                <w:rFonts w:hint="eastAsia" w:cs="Times New Roman"/>
                <w:color w:val="auto"/>
                <w:kern w:val="0"/>
                <w:szCs w:val="21"/>
                <w:lang w:val="en-US" w:eastAsia="zh-CN"/>
              </w:rPr>
              <w:t>设置消防水池、消防沙池、危废暂存间各1个，车间东侧设置办公室、监控室1间</w:t>
            </w:r>
            <w:r>
              <w:rPr>
                <w:rFonts w:hint="default" w:ascii="Times New Roman" w:hAnsi="Times New Roman" w:cs="Times New Roman"/>
                <w:color w:val="auto"/>
                <w:kern w:val="0"/>
                <w:szCs w:val="21"/>
                <w:lang w:val="en-US" w:eastAsia="zh-CN"/>
              </w:rPr>
              <w:t>。</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bCs/>
                <w:color w:val="0000FF"/>
                <w:szCs w:val="21"/>
              </w:rPr>
            </w:pPr>
            <w:r>
              <w:rPr>
                <w:rFonts w:hint="default" w:ascii="Times New Roman" w:hAnsi="Times New Roman" w:cs="Times New Roman"/>
                <w:color w:val="auto"/>
                <w:kern w:val="0"/>
                <w:szCs w:val="21"/>
                <w:lang w:val="en-US" w:eastAsia="zh-CN"/>
              </w:rPr>
              <w:t>项目拟利用</w:t>
            </w:r>
            <w:r>
              <w:rPr>
                <w:rFonts w:hint="eastAsia" w:cs="Times New Roman"/>
                <w:color w:val="auto"/>
                <w:kern w:val="0"/>
                <w:szCs w:val="21"/>
                <w:lang w:val="en-US" w:eastAsia="zh-CN"/>
              </w:rPr>
              <w:t>四川君璜建材有限公司</w:t>
            </w:r>
            <w:r>
              <w:rPr>
                <w:rFonts w:hint="default" w:ascii="Times New Roman" w:hAnsi="Times New Roman" w:cs="Times New Roman"/>
                <w:color w:val="auto"/>
                <w:kern w:val="0"/>
                <w:szCs w:val="21"/>
                <w:lang w:val="en-US" w:eastAsia="zh-CN"/>
              </w:rPr>
              <w:t>已建的办公楼，作为办公、生活（值班）房，办公楼位于储油车间的西</w:t>
            </w:r>
            <w:r>
              <w:rPr>
                <w:rFonts w:hint="eastAsia" w:cs="Times New Roman"/>
                <w:color w:val="auto"/>
                <w:kern w:val="0"/>
                <w:szCs w:val="21"/>
                <w:lang w:val="en-US" w:eastAsia="zh-CN"/>
              </w:rPr>
              <w:t>南</w:t>
            </w:r>
            <w:r>
              <w:rPr>
                <w:rFonts w:hint="default" w:ascii="Times New Roman" w:hAnsi="Times New Roman" w:cs="Times New Roman"/>
                <w:color w:val="auto"/>
                <w:kern w:val="0"/>
                <w:szCs w:val="21"/>
                <w:lang w:val="en-US" w:eastAsia="zh-CN"/>
              </w:rPr>
              <w:t>面约10</w:t>
            </w:r>
            <w:r>
              <w:rPr>
                <w:rFonts w:hint="eastAsia" w:cs="Times New Roman"/>
                <w:color w:val="auto"/>
                <w:kern w:val="0"/>
                <w:szCs w:val="21"/>
                <w:lang w:val="en-US" w:eastAsia="zh-CN"/>
              </w:rPr>
              <w:t>5</w:t>
            </w:r>
            <w:r>
              <w:rPr>
                <w:rFonts w:hint="default" w:ascii="Times New Roman" w:hAnsi="Times New Roman" w:cs="Times New Roman"/>
                <w:color w:val="auto"/>
                <w:kern w:val="0"/>
                <w:szCs w:val="21"/>
                <w:lang w:val="en-US" w:eastAsia="zh-CN"/>
              </w:rPr>
              <w:t>m</w:t>
            </w:r>
            <w:r>
              <w:rPr>
                <w:rFonts w:hint="default" w:ascii="Times New Roman" w:hAnsi="Times New Roman" w:cs="Times New Roman"/>
                <w:color w:val="auto"/>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8" w:hRule="atLeast"/>
          <w:jc w:val="center"/>
        </w:trPr>
        <w:tc>
          <w:tcPr>
            <w:tcW w:w="539" w:type="dxa"/>
            <w:noWrap w:val="0"/>
            <w:vAlign w:val="center"/>
          </w:tcPr>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工艺流程和产排污环节</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工艺流程和产排污环节</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工艺流程和产排污环节</w:t>
            </w:r>
          </w:p>
        </w:tc>
        <w:tc>
          <w:tcPr>
            <w:tcW w:w="8445" w:type="dxa"/>
            <w:noWrap w:val="0"/>
            <w:vAlign w:val="top"/>
          </w:tcPr>
          <w:p>
            <w:pPr>
              <w:numPr>
                <w:ilvl w:val="0"/>
                <w:numId w:val="9"/>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施工期工艺流程和产排污环节</w:t>
            </w:r>
          </w:p>
          <w:p>
            <w:pPr>
              <w:autoSpaceDE w:val="0"/>
              <w:autoSpaceDN w:val="0"/>
              <w:adjustRightInd w:val="0"/>
              <w:snapToGrid w:val="0"/>
              <w:spacing w:line="400" w:lineRule="exact"/>
              <w:ind w:left="-31" w:leftChars="-15" w:right="-31" w:rightChars="-15" w:firstLine="422" w:firstLineChars="20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（1）工艺流程</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本项目为</w:t>
            </w:r>
            <w:r>
              <w:rPr>
                <w:rFonts w:hint="eastAsia" w:cs="Times New Roman"/>
                <w:color w:val="auto"/>
                <w:kern w:val="0"/>
                <w:szCs w:val="21"/>
                <w:lang w:val="en-US" w:eastAsia="zh-CN"/>
              </w:rPr>
              <w:t>迁</w:t>
            </w:r>
            <w:r>
              <w:rPr>
                <w:rFonts w:hint="default" w:ascii="Times New Roman" w:hAnsi="Times New Roman" w:cs="Times New Roman"/>
                <w:color w:val="auto"/>
                <w:kern w:val="0"/>
                <w:szCs w:val="21"/>
              </w:rPr>
              <w:t>建项目，</w:t>
            </w:r>
            <w:r>
              <w:rPr>
                <w:rFonts w:hint="default" w:ascii="Times New Roman" w:hAnsi="Times New Roman" w:cs="Times New Roman"/>
                <w:color w:val="auto"/>
                <w:kern w:val="0"/>
                <w:szCs w:val="21"/>
                <w:lang w:val="en-US" w:eastAsia="zh-CN"/>
              </w:rPr>
              <w:t>租用</w:t>
            </w:r>
            <w:r>
              <w:rPr>
                <w:rFonts w:hint="eastAsia" w:cs="Times New Roman"/>
                <w:color w:val="auto"/>
                <w:kern w:val="0"/>
                <w:szCs w:val="21"/>
                <w:lang w:val="en-US" w:eastAsia="zh-CN"/>
              </w:rPr>
              <w:t>四川君璜建材有限公司空地</w:t>
            </w:r>
            <w:r>
              <w:rPr>
                <w:rFonts w:hint="default" w:ascii="Times New Roman" w:hAnsi="Times New Roman" w:cs="Times New Roman"/>
                <w:color w:val="auto"/>
                <w:kern w:val="0"/>
                <w:szCs w:val="21"/>
              </w:rPr>
              <w:t>建设。本项目拟</w:t>
            </w:r>
            <w:r>
              <w:rPr>
                <w:rFonts w:hint="eastAsia" w:cs="Times New Roman"/>
                <w:color w:val="auto"/>
                <w:kern w:val="0"/>
                <w:szCs w:val="21"/>
                <w:lang w:val="en-US" w:eastAsia="zh-CN"/>
              </w:rPr>
              <w:t>在该空地上建设</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主要是进行储存间建设、</w:t>
            </w:r>
            <w:r>
              <w:rPr>
                <w:rFonts w:hint="default" w:ascii="Times New Roman" w:hAnsi="Times New Roman" w:cs="Times New Roman"/>
                <w:color w:val="auto"/>
                <w:kern w:val="0"/>
                <w:szCs w:val="21"/>
                <w:lang w:val="en-US" w:eastAsia="zh-CN"/>
              </w:rPr>
              <w:t>地面防渗处理（采用“</w:t>
            </w:r>
            <w:r>
              <w:rPr>
                <w:rFonts w:hint="eastAsia" w:cs="Times New Roman"/>
                <w:color w:val="auto"/>
                <w:kern w:val="0"/>
                <w:szCs w:val="21"/>
                <w:lang w:val="en-US" w:eastAsia="zh-CN"/>
              </w:rPr>
              <w:t>20cm混凝土硬化+5mm防渗砂浆+2mm高密度聚乙烯地坪漆</w:t>
            </w:r>
            <w:r>
              <w:rPr>
                <w:rFonts w:hint="default" w:ascii="Times New Roman" w:hAnsi="Times New Roman" w:cs="Times New Roman"/>
                <w:color w:val="auto"/>
                <w:kern w:val="0"/>
                <w:szCs w:val="21"/>
                <w:lang w:val="en-US" w:eastAsia="zh-CN"/>
              </w:rPr>
              <w:t>”的多层组合防渗，渗透系数小于1.0×10</w:t>
            </w:r>
            <w:r>
              <w:rPr>
                <w:rFonts w:hint="default" w:ascii="Times New Roman" w:hAnsi="Times New Roman" w:cs="Times New Roman"/>
                <w:color w:val="auto"/>
                <w:kern w:val="0"/>
                <w:szCs w:val="21"/>
                <w:vertAlign w:val="superscript"/>
                <w:lang w:val="en-US" w:eastAsia="zh-CN"/>
              </w:rPr>
              <w:t>-10</w:t>
            </w:r>
            <w:r>
              <w:rPr>
                <w:rFonts w:hint="default" w:ascii="Times New Roman" w:hAnsi="Times New Roman" w:cs="Times New Roman"/>
                <w:color w:val="auto"/>
                <w:kern w:val="0"/>
                <w:szCs w:val="21"/>
                <w:lang w:val="en-US" w:eastAsia="zh-CN"/>
              </w:rPr>
              <w:t>厘米/秒），并安装储油罐等</w:t>
            </w:r>
            <w:r>
              <w:rPr>
                <w:rFonts w:hint="default" w:ascii="Times New Roman" w:hAnsi="Times New Roman" w:cs="Times New Roman"/>
                <w:color w:val="auto"/>
                <w:kern w:val="0"/>
                <w:szCs w:val="21"/>
              </w:rPr>
              <w:t>，办公生活用房利用已有的建筑。施工期主要为</w:t>
            </w:r>
            <w:r>
              <w:rPr>
                <w:rFonts w:hint="default" w:ascii="Times New Roman" w:hAnsi="Times New Roman" w:cs="Times New Roman"/>
                <w:color w:val="auto"/>
                <w:kern w:val="0"/>
                <w:szCs w:val="21"/>
                <w:lang w:eastAsia="zh-CN"/>
              </w:rPr>
              <w:t>废矿物油</w:t>
            </w:r>
            <w:r>
              <w:rPr>
                <w:rFonts w:hint="default" w:ascii="Times New Roman" w:hAnsi="Times New Roman" w:cs="Times New Roman"/>
                <w:color w:val="auto"/>
                <w:kern w:val="0"/>
                <w:szCs w:val="21"/>
              </w:rPr>
              <w:t>储存间及辅助工程建设、地面防渗防腐、设备安装、工程验收等工序。</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施工期的产污工艺流程及产污位置如下图。</w:t>
            </w:r>
          </w:p>
          <w:p>
            <w:pPr>
              <w:keepNext w:val="0"/>
              <w:keepLines w:val="0"/>
              <w:pageBreakBefore w:val="0"/>
              <w:widowControl w:val="0"/>
              <w:kinsoku/>
              <w:wordWrap/>
              <w:overflowPunct/>
              <w:topLinePunct w:val="0"/>
              <w:autoSpaceDE w:val="0"/>
              <w:autoSpaceDN w:val="0"/>
              <w:bidi w:val="0"/>
              <w:adjustRightInd w:val="0"/>
              <w:snapToGrid w:val="0"/>
              <w:spacing w:line="240" w:lineRule="auto"/>
              <w:ind w:right="-31" w:rightChars="-15"/>
              <w:jc w:val="center"/>
              <w:textAlignment w:val="auto"/>
              <w:rPr>
                <w:rFonts w:hint="default" w:ascii="Times New Roman" w:hAnsi="Times New Roman" w:cs="Times New Roman"/>
                <w:color w:val="auto"/>
                <w:kern w:val="0"/>
                <w:szCs w:val="21"/>
              </w:rPr>
            </w:pPr>
            <w:r>
              <w:rPr>
                <w:color w:val="auto"/>
                <w:sz w:val="21"/>
              </w:rPr>
              <mc:AlternateContent>
                <mc:Choice Requires="wpg">
                  <w:drawing>
                    <wp:inline distT="0" distB="0" distL="114300" distR="114300">
                      <wp:extent cx="5011420" cy="1118870"/>
                      <wp:effectExtent l="4445" t="0" r="13335" b="5080"/>
                      <wp:docPr id="28" name="组合 12"/>
                      <wp:cNvGraphicFramePr/>
                      <a:graphic xmlns:a="http://schemas.openxmlformats.org/drawingml/2006/main">
                        <a:graphicData uri="http://schemas.microsoft.com/office/word/2010/wordprocessingGroup">
                          <wpg:wgp>
                            <wpg:cNvGrpSpPr/>
                            <wpg:grpSpPr>
                              <a:xfrm>
                                <a:off x="0" y="0"/>
                                <a:ext cx="5011420" cy="1118870"/>
                                <a:chOff x="2727" y="437200"/>
                                <a:chExt cx="7892" cy="1762"/>
                              </a:xfrm>
                            </wpg:grpSpPr>
                            <wps:wsp>
                              <wps:cNvPr id="11" name="文本框 25"/>
                              <wps:cNvSpPr txBox="1"/>
                              <wps:spPr>
                                <a:xfrm>
                                  <a:off x="7456" y="437455"/>
                                  <a:ext cx="1539" cy="356"/>
                                </a:xfrm>
                                <a:prstGeom prst="rect">
                                  <a:avLst/>
                                </a:prstGeom>
                                <a:noFill/>
                                <a:ln>
                                  <a:noFill/>
                                </a:ln>
                              </wps:spPr>
                              <wps:txbx>
                                <w:txbxContent>
                                  <w:p>
                                    <w:pPr>
                                      <w:spacing w:line="280" w:lineRule="exact"/>
                                      <w:rPr>
                                        <w:rFonts w:hint="eastAsia" w:eastAsia="仿宋体"/>
                                        <w:bCs/>
                                        <w:sz w:val="18"/>
                                      </w:rPr>
                                    </w:pPr>
                                    <w:r>
                                      <w:rPr>
                                        <w:rFonts w:hint="eastAsia" w:eastAsia="仿宋体"/>
                                        <w:bCs/>
                                        <w:sz w:val="18"/>
                                      </w:rPr>
                                      <w:t>废气、固废、噪声</w:t>
                                    </w:r>
                                  </w:p>
                                </w:txbxContent>
                              </wps:txbx>
                              <wps:bodyPr lIns="0" tIns="0" rIns="0" bIns="0" upright="1"/>
                            </wps:wsp>
                            <wps:wsp>
                              <wps:cNvPr id="12" name="文本框 26"/>
                              <wps:cNvSpPr txBox="1"/>
                              <wps:spPr>
                                <a:xfrm>
                                  <a:off x="2763" y="437200"/>
                                  <a:ext cx="1153" cy="662"/>
                                </a:xfrm>
                                <a:prstGeom prst="rect">
                                  <a:avLst/>
                                </a:prstGeom>
                                <a:noFill/>
                                <a:ln>
                                  <a:noFill/>
                                </a:ln>
                              </wps:spPr>
                              <wps:txbx>
                                <w:txbxContent>
                                  <w:p>
                                    <w:pPr>
                                      <w:spacing w:line="280" w:lineRule="exact"/>
                                      <w:jc w:val="center"/>
                                      <w:rPr>
                                        <w:rFonts w:eastAsia="仿宋体"/>
                                        <w:bCs/>
                                        <w:sz w:val="18"/>
                                      </w:rPr>
                                    </w:pPr>
                                    <w:r>
                                      <w:rPr>
                                        <w:rFonts w:hint="eastAsia" w:eastAsia="仿宋体"/>
                                        <w:bCs/>
                                        <w:sz w:val="18"/>
                                      </w:rPr>
                                      <w:t>废水、固废、噪声、废气</w:t>
                                    </w:r>
                                  </w:p>
                                </w:txbxContent>
                              </wps:txbx>
                              <wps:bodyPr lIns="0" tIns="0" rIns="0" bIns="0" upright="1"/>
                            </wps:wsp>
                            <wps:wsp>
                              <wps:cNvPr id="13" name="文本框 27"/>
                              <wps:cNvSpPr txBox="1"/>
                              <wps:spPr>
                                <a:xfrm>
                                  <a:off x="7549" y="438328"/>
                                  <a:ext cx="1516" cy="635"/>
                                </a:xfrm>
                                <a:prstGeom prst="rect">
                                  <a:avLst/>
                                </a:prstGeom>
                                <a:solidFill>
                                  <a:srgbClr val="DDDDDD"/>
                                </a:solid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lang w:val="en-US" w:eastAsia="zh-CN"/>
                                      </w:rPr>
                                      <w:t>车间、危废间、办公监控室建设</w:t>
                                    </w:r>
                                  </w:p>
                                </w:txbxContent>
                              </wps:txbx>
                              <wps:bodyPr lIns="0" tIns="36000" rIns="0" bIns="0" upright="1"/>
                            </wps:wsp>
                            <wps:wsp>
                              <wps:cNvPr id="14" name="文本框 28"/>
                              <wps:cNvSpPr txBox="1"/>
                              <wps:spPr>
                                <a:xfrm>
                                  <a:off x="2727" y="438318"/>
                                  <a:ext cx="1147" cy="634"/>
                                </a:xfrm>
                                <a:prstGeom prst="rect">
                                  <a:avLst/>
                                </a:prstGeom>
                                <a:solidFill>
                                  <a:srgbClr val="DDDDDD"/>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场地、事故水池等清理</w:t>
                                    </w:r>
                                  </w:p>
                                </w:txbxContent>
                              </wps:txbx>
                              <wps:bodyPr lIns="0" tIns="36000" rIns="0" bIns="0" upright="1"/>
                            </wps:wsp>
                            <wps:wsp>
                              <wps:cNvPr id="15" name="直接连接符 29"/>
                              <wps:cNvSpPr/>
                              <wps:spPr>
                                <a:xfrm>
                                  <a:off x="3900" y="438623"/>
                                  <a:ext cx="567" cy="1"/>
                                </a:xfrm>
                                <a:prstGeom prst="line">
                                  <a:avLst/>
                                </a:prstGeom>
                                <a:ln w="9525" cap="flat" cmpd="sng">
                                  <a:solidFill>
                                    <a:srgbClr val="000000"/>
                                  </a:solidFill>
                                  <a:prstDash val="solid"/>
                                  <a:headEnd type="none" w="med" len="med"/>
                                  <a:tailEnd type="triangle" w="med" len="med"/>
                                </a:ln>
                              </wps:spPr>
                              <wps:bodyPr upright="1"/>
                            </wps:wsp>
                            <wps:wsp>
                              <wps:cNvPr id="16" name="直接连接符 30"/>
                              <wps:cNvSpPr/>
                              <wps:spPr>
                                <a:xfrm>
                                  <a:off x="5501" y="438634"/>
                                  <a:ext cx="567" cy="1"/>
                                </a:xfrm>
                                <a:prstGeom prst="line">
                                  <a:avLst/>
                                </a:prstGeom>
                                <a:ln w="9525" cap="flat" cmpd="sng">
                                  <a:solidFill>
                                    <a:srgbClr val="000000"/>
                                  </a:solidFill>
                                  <a:prstDash val="solid"/>
                                  <a:headEnd type="none" w="med" len="med"/>
                                  <a:tailEnd type="triangle" w="med" len="med"/>
                                </a:ln>
                              </wps:spPr>
                              <wps:bodyPr upright="1"/>
                            </wps:wsp>
                            <wps:wsp>
                              <wps:cNvPr id="17" name="文本框 31"/>
                              <wps:cNvSpPr txBox="1"/>
                              <wps:spPr>
                                <a:xfrm>
                                  <a:off x="4464" y="438321"/>
                                  <a:ext cx="1003" cy="623"/>
                                </a:xfrm>
                                <a:prstGeom prst="rect">
                                  <a:avLst/>
                                </a:prstGeom>
                                <a:solidFill>
                                  <a:srgbClr val="DDDDDD"/>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rPr>
                                      <w:t>地面</w:t>
                                    </w:r>
                                    <w:r>
                                      <w:rPr>
                                        <w:rFonts w:hint="eastAsia"/>
                                        <w:lang w:val="en-US" w:eastAsia="zh-CN"/>
                                      </w:rPr>
                                      <w:t>硬化、</w:t>
                                    </w:r>
                                    <w:r>
                                      <w:rPr>
                                        <w:rFonts w:hint="eastAsia"/>
                                      </w:rPr>
                                      <w:t>防渗</w:t>
                                    </w:r>
                                    <w:r>
                                      <w:rPr>
                                        <w:rFonts w:hint="eastAsia"/>
                                        <w:lang w:val="en-US" w:eastAsia="zh-CN"/>
                                      </w:rPr>
                                      <w:t>等</w:t>
                                    </w:r>
                                  </w:p>
                                </w:txbxContent>
                              </wps:txbx>
                              <wps:bodyPr lIns="0" tIns="36000" rIns="0" bIns="0" upright="1"/>
                            </wps:wsp>
                            <wps:wsp>
                              <wps:cNvPr id="18" name="文本框 32"/>
                              <wps:cNvSpPr txBox="1"/>
                              <wps:spPr>
                                <a:xfrm>
                                  <a:off x="6056" y="438440"/>
                                  <a:ext cx="946" cy="377"/>
                                </a:xfrm>
                                <a:prstGeom prst="rect">
                                  <a:avLst/>
                                </a:prstGeom>
                                <a:solidFill>
                                  <a:srgbClr val="DDDDDD"/>
                                </a:solidFill>
                                <a:ln w="9525" cap="flat" cmpd="sng">
                                  <a:solidFill>
                                    <a:srgbClr val="000000"/>
                                  </a:solidFill>
                                  <a:prstDash val="solid"/>
                                  <a:miter/>
                                  <a:headEnd type="none" w="med" len="med"/>
                                  <a:tailEnd type="none" w="med" len="med"/>
                                </a:ln>
                              </wps:spPr>
                              <wps:txbx>
                                <w:txbxContent>
                                  <w:p>
                                    <w:pPr>
                                      <w:jc w:val="center"/>
                                    </w:pPr>
                                    <w:r>
                                      <w:rPr>
                                        <w:rFonts w:hint="eastAsia"/>
                                      </w:rPr>
                                      <w:t>储罐安装</w:t>
                                    </w:r>
                                  </w:p>
                                </w:txbxContent>
                              </wps:txbx>
                              <wps:bodyPr lIns="0" tIns="36000" rIns="0" bIns="0" upright="1"/>
                            </wps:wsp>
                            <wps:wsp>
                              <wps:cNvPr id="19" name="直接连接符 33"/>
                              <wps:cNvSpPr/>
                              <wps:spPr>
                                <a:xfrm flipH="1" flipV="1">
                                  <a:off x="8221" y="437762"/>
                                  <a:ext cx="1" cy="567"/>
                                </a:xfrm>
                                <a:prstGeom prst="line">
                                  <a:avLst/>
                                </a:prstGeom>
                                <a:ln w="6350" cap="flat" cmpd="sng">
                                  <a:solidFill>
                                    <a:srgbClr val="000000"/>
                                  </a:solidFill>
                                  <a:prstDash val="dash"/>
                                  <a:headEnd type="none" w="med" len="med"/>
                                  <a:tailEnd type="triangle" w="sm" len="lg"/>
                                </a:ln>
                              </wps:spPr>
                              <wps:bodyPr upright="1"/>
                            </wps:wsp>
                            <wps:wsp>
                              <wps:cNvPr id="20" name="直接连接符 34"/>
                              <wps:cNvSpPr/>
                              <wps:spPr>
                                <a:xfrm flipH="1" flipV="1">
                                  <a:off x="3336" y="437765"/>
                                  <a:ext cx="1" cy="567"/>
                                </a:xfrm>
                                <a:prstGeom prst="line">
                                  <a:avLst/>
                                </a:prstGeom>
                                <a:ln w="6350" cap="flat" cmpd="sng">
                                  <a:solidFill>
                                    <a:srgbClr val="000000"/>
                                  </a:solidFill>
                                  <a:prstDash val="dash"/>
                                  <a:headEnd type="none" w="med" len="med"/>
                                  <a:tailEnd type="triangle" w="sm" len="lg"/>
                                </a:ln>
                              </wps:spPr>
                              <wps:bodyPr upright="1"/>
                            </wps:wsp>
                            <wps:wsp>
                              <wps:cNvPr id="21" name="直接连接符 35"/>
                              <wps:cNvSpPr/>
                              <wps:spPr>
                                <a:xfrm>
                                  <a:off x="9081" y="438636"/>
                                  <a:ext cx="567" cy="1"/>
                                </a:xfrm>
                                <a:prstGeom prst="line">
                                  <a:avLst/>
                                </a:prstGeom>
                                <a:ln w="9525" cap="flat" cmpd="sng">
                                  <a:solidFill>
                                    <a:srgbClr val="000000"/>
                                  </a:solidFill>
                                  <a:prstDash val="solid"/>
                                  <a:headEnd type="none" w="med" len="med"/>
                                  <a:tailEnd type="triangle" w="med" len="med"/>
                                </a:ln>
                              </wps:spPr>
                              <wps:bodyPr upright="1"/>
                            </wps:wsp>
                            <wps:wsp>
                              <wps:cNvPr id="22" name="直接连接符 36"/>
                              <wps:cNvSpPr/>
                              <wps:spPr>
                                <a:xfrm flipH="1" flipV="1">
                                  <a:off x="4967" y="437757"/>
                                  <a:ext cx="1" cy="567"/>
                                </a:xfrm>
                                <a:prstGeom prst="line">
                                  <a:avLst/>
                                </a:prstGeom>
                                <a:ln w="6350" cap="flat" cmpd="sng">
                                  <a:solidFill>
                                    <a:srgbClr val="000000"/>
                                  </a:solidFill>
                                  <a:prstDash val="dash"/>
                                  <a:headEnd type="none" w="med" len="med"/>
                                  <a:tailEnd type="triangle" w="sm" len="lg"/>
                                </a:ln>
                              </wps:spPr>
                              <wps:bodyPr upright="1"/>
                            </wps:wsp>
                            <wps:wsp>
                              <wps:cNvPr id="23" name="文本框 37"/>
                              <wps:cNvSpPr txBox="1"/>
                              <wps:spPr>
                                <a:xfrm>
                                  <a:off x="4418" y="437480"/>
                                  <a:ext cx="1120" cy="314"/>
                                </a:xfrm>
                                <a:prstGeom prst="rect">
                                  <a:avLst/>
                                </a:prstGeom>
                                <a:noFill/>
                                <a:ln>
                                  <a:noFill/>
                                </a:ln>
                              </wps:spPr>
                              <wps:txbx>
                                <w:txbxContent>
                                  <w:p>
                                    <w:pPr>
                                      <w:spacing w:line="280" w:lineRule="exact"/>
                                      <w:jc w:val="center"/>
                                      <w:rPr>
                                        <w:rFonts w:eastAsia="仿宋体"/>
                                        <w:bCs/>
                                        <w:sz w:val="18"/>
                                      </w:rPr>
                                    </w:pPr>
                                    <w:r>
                                      <w:rPr>
                                        <w:rFonts w:hint="eastAsia" w:eastAsia="仿宋体"/>
                                        <w:bCs/>
                                        <w:sz w:val="18"/>
                                      </w:rPr>
                                      <w:t>废气、固废</w:t>
                                    </w:r>
                                  </w:p>
                                </w:txbxContent>
                              </wps:txbx>
                              <wps:bodyPr lIns="0" tIns="0" rIns="0" bIns="0" upright="1"/>
                            </wps:wsp>
                            <wps:wsp>
                              <wps:cNvPr id="24" name="直接连接符 38"/>
                              <wps:cNvSpPr/>
                              <wps:spPr>
                                <a:xfrm>
                                  <a:off x="6997" y="438635"/>
                                  <a:ext cx="567" cy="1"/>
                                </a:xfrm>
                                <a:prstGeom prst="line">
                                  <a:avLst/>
                                </a:prstGeom>
                                <a:ln w="9525" cap="flat" cmpd="sng">
                                  <a:solidFill>
                                    <a:srgbClr val="000000"/>
                                  </a:solidFill>
                                  <a:prstDash val="solid"/>
                                  <a:headEnd type="none" w="med" len="med"/>
                                  <a:tailEnd type="triangle" w="med" len="med"/>
                                </a:ln>
                              </wps:spPr>
                              <wps:bodyPr upright="1"/>
                            </wps:wsp>
                            <wps:wsp>
                              <wps:cNvPr id="25" name="文本框 39"/>
                              <wps:cNvSpPr txBox="1"/>
                              <wps:spPr>
                                <a:xfrm>
                                  <a:off x="9673" y="438443"/>
                                  <a:ext cx="946" cy="377"/>
                                </a:xfrm>
                                <a:prstGeom prst="rect">
                                  <a:avLst/>
                                </a:prstGeom>
                                <a:solidFill>
                                  <a:srgbClr val="DDDDDD"/>
                                </a:solid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验收</w:t>
                                    </w:r>
                                    <w:r>
                                      <w:rPr>
                                        <w:rFonts w:hint="eastAsia"/>
                                      </w:rPr>
                                      <w:t>使用</w:t>
                                    </w:r>
                                  </w:p>
                                </w:txbxContent>
                              </wps:txbx>
                              <wps:bodyPr lIns="0" tIns="36000" rIns="0" bIns="0" upright="1"/>
                            </wps:wsp>
                            <wps:wsp>
                              <wps:cNvPr id="26" name="直接连接符 40"/>
                              <wps:cNvSpPr/>
                              <wps:spPr>
                                <a:xfrm flipH="1" flipV="1">
                                  <a:off x="6540" y="437782"/>
                                  <a:ext cx="1" cy="680"/>
                                </a:xfrm>
                                <a:prstGeom prst="line">
                                  <a:avLst/>
                                </a:prstGeom>
                                <a:ln w="6350" cap="flat" cmpd="sng">
                                  <a:solidFill>
                                    <a:srgbClr val="000000"/>
                                  </a:solidFill>
                                  <a:prstDash val="dash"/>
                                  <a:headEnd type="none" w="med" len="med"/>
                                  <a:tailEnd type="triangle" w="sm" len="lg"/>
                                </a:ln>
                              </wps:spPr>
                              <wps:bodyPr upright="1"/>
                            </wps:wsp>
                            <wps:wsp>
                              <wps:cNvPr id="27" name="文本框 41"/>
                              <wps:cNvSpPr txBox="1"/>
                              <wps:spPr>
                                <a:xfrm>
                                  <a:off x="5978" y="437492"/>
                                  <a:ext cx="1120" cy="314"/>
                                </a:xfrm>
                                <a:prstGeom prst="rect">
                                  <a:avLst/>
                                </a:prstGeom>
                                <a:noFill/>
                                <a:ln>
                                  <a:noFill/>
                                </a:ln>
                              </wps:spPr>
                              <wps:txbx>
                                <w:txbxContent>
                                  <w:p>
                                    <w:pPr>
                                      <w:spacing w:line="280" w:lineRule="exact"/>
                                      <w:jc w:val="center"/>
                                      <w:rPr>
                                        <w:rFonts w:eastAsia="仿宋体"/>
                                        <w:bCs/>
                                        <w:sz w:val="18"/>
                                      </w:rPr>
                                    </w:pPr>
                                    <w:r>
                                      <w:rPr>
                                        <w:rFonts w:hint="eastAsia" w:eastAsia="仿宋体"/>
                                        <w:bCs/>
                                        <w:sz w:val="18"/>
                                      </w:rPr>
                                      <w:t>噪声</w:t>
                                    </w:r>
                                  </w:p>
                                </w:txbxContent>
                              </wps:txbx>
                              <wps:bodyPr lIns="0" tIns="0" rIns="0" bIns="0" upright="1"/>
                            </wps:wsp>
                          </wpg:wgp>
                        </a:graphicData>
                      </a:graphic>
                    </wp:inline>
                  </w:drawing>
                </mc:Choice>
                <mc:Fallback>
                  <w:pict>
                    <v:group id="组合 12" o:spid="_x0000_s1026" o:spt="203" style="height:88.1pt;width:394.6pt;" coordorigin="2727,437200" coordsize="7892,1762" o:gfxdata="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">
                      <o:lock v:ext="edit" aspectratio="f"/>
                      <v:shape id="文本框 25" o:spid="_x0000_s1026" o:spt="202" type="#_x0000_t202" style="position:absolute;left:7456;top:437455;height:356;width:1539;"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0" w:lineRule="exact"/>
                                <w:rPr>
                                  <w:rFonts w:hint="eastAsia" w:eastAsia="仿宋体"/>
                                  <w:bCs/>
                                  <w:sz w:val="18"/>
                                </w:rPr>
                              </w:pPr>
                              <w:r>
                                <w:rPr>
                                  <w:rFonts w:hint="eastAsia" w:eastAsia="仿宋体"/>
                                  <w:bCs/>
                                  <w:sz w:val="18"/>
                                </w:rPr>
                                <w:t>废气、固废、噪声</w:t>
                              </w:r>
                            </w:p>
                          </w:txbxContent>
                        </v:textbox>
                      </v:shape>
                      <v:shape id="文本框 26" o:spid="_x0000_s1026" o:spt="202" type="#_x0000_t202" style="position:absolute;left:2763;top:437200;height:662;width:11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0" w:lineRule="exact"/>
                                <w:jc w:val="center"/>
                                <w:rPr>
                                  <w:rFonts w:eastAsia="仿宋体"/>
                                  <w:bCs/>
                                  <w:sz w:val="18"/>
                                </w:rPr>
                              </w:pPr>
                              <w:r>
                                <w:rPr>
                                  <w:rFonts w:hint="eastAsia" w:eastAsia="仿宋体"/>
                                  <w:bCs/>
                                  <w:sz w:val="18"/>
                                </w:rPr>
                                <w:t>废水、固废、噪声、废气</w:t>
                              </w:r>
                            </w:p>
                          </w:txbxContent>
                        </v:textbox>
                      </v:shape>
                      <v:shape id="文本框 27" o:spid="_x0000_s1026" o:spt="202" type="#_x0000_t202" style="position:absolute;left:7549;top:438328;height:635;width:1516;" fillcolor="#DDDDDD" filled="t" stroked="t" coordsize="21600,21600" o:gfxdata="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naJ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1mm,0mm,0mm">
                          <w:txbxContent>
                            <w:p>
                              <w:pPr>
                                <w:jc w:val="center"/>
                                <w:rPr>
                                  <w:rFonts w:hint="default"/>
                                  <w:lang w:val="en-US"/>
                                </w:rPr>
                              </w:pPr>
                              <w:r>
                                <w:rPr>
                                  <w:rFonts w:hint="eastAsia"/>
                                  <w:lang w:val="en-US" w:eastAsia="zh-CN"/>
                                </w:rPr>
                                <w:t>车间、危废间、办公监控室建设</w:t>
                              </w:r>
                            </w:p>
                          </w:txbxContent>
                        </v:textbox>
                      </v:shape>
                      <v:shape id="文本框 28" o:spid="_x0000_s1026" o:spt="202" type="#_x0000_t202" style="position:absolute;left:2727;top:438318;height:634;width:1147;" fillcolor="#DDDDDD" filled="t" stroked="t" coordsize="21600,21600" o:gfxdata="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H+79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1mm,0mm,0mm">
                          <w:txbxContent>
                            <w:p>
                              <w:pPr>
                                <w:jc w:val="center"/>
                                <w:rPr>
                                  <w:rFonts w:hint="default" w:eastAsia="宋体"/>
                                  <w:lang w:val="en-US" w:eastAsia="zh-CN"/>
                                </w:rPr>
                              </w:pPr>
                              <w:r>
                                <w:rPr>
                                  <w:rFonts w:hint="eastAsia"/>
                                  <w:lang w:val="en-US" w:eastAsia="zh-CN"/>
                                </w:rPr>
                                <w:t>场地、事故水池等清理</w:t>
                              </w:r>
                            </w:p>
                          </w:txbxContent>
                        </v:textbox>
                      </v:shape>
                      <v:line id="直接连接符 29" o:spid="_x0000_s1026" o:spt="20" style="position:absolute;left:3900;top:438623;height:1;width:567;"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30" o:spid="_x0000_s1026" o:spt="20" style="position:absolute;left:5501;top:438634;height:1;width:567;" filled="f" stroked="t"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文本框 31" o:spid="_x0000_s1026" o:spt="202" type="#_x0000_t202" style="position:absolute;left:4464;top:438321;height:623;width:1003;" fillcolor="#DDDDDD" filled="t" stroked="t" coordsize="21600,21600" o:gfxdata="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zXC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1mm,0mm,0mm">
                          <w:txbxContent>
                            <w:p>
                              <w:pPr>
                                <w:jc w:val="center"/>
                                <w:rPr>
                                  <w:rFonts w:hint="default" w:eastAsia="宋体"/>
                                  <w:lang w:val="en-US" w:eastAsia="zh-CN"/>
                                </w:rPr>
                              </w:pPr>
                              <w:r>
                                <w:rPr>
                                  <w:rFonts w:hint="eastAsia"/>
                                </w:rPr>
                                <w:t>地面</w:t>
                              </w:r>
                              <w:r>
                                <w:rPr>
                                  <w:rFonts w:hint="eastAsia"/>
                                  <w:lang w:val="en-US" w:eastAsia="zh-CN"/>
                                </w:rPr>
                                <w:t>硬化、</w:t>
                              </w:r>
                              <w:r>
                                <w:rPr>
                                  <w:rFonts w:hint="eastAsia"/>
                                </w:rPr>
                                <w:t>防渗</w:t>
                              </w:r>
                              <w:r>
                                <w:rPr>
                                  <w:rFonts w:hint="eastAsia"/>
                                  <w:lang w:val="en-US" w:eastAsia="zh-CN"/>
                                </w:rPr>
                                <w:t>等</w:t>
                              </w:r>
                            </w:p>
                          </w:txbxContent>
                        </v:textbox>
                      </v:shape>
                      <v:shape id="文本框 32" o:spid="_x0000_s1026" o:spt="202" type="#_x0000_t202" style="position:absolute;left:6056;top:438440;height:377;width:946;" fillcolor="#DDDDDD" filled="t" stroked="t" coordsize="21600,21600" o:gfxdata="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S5P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mm,0mm,0mm">
                          <w:txbxContent>
                            <w:p>
                              <w:pPr>
                                <w:jc w:val="center"/>
                              </w:pPr>
                              <w:r>
                                <w:rPr>
                                  <w:rFonts w:hint="eastAsia"/>
                                </w:rPr>
                                <w:t>储罐安装</w:t>
                              </w:r>
                            </w:p>
                          </w:txbxContent>
                        </v:textbox>
                      </v:shape>
                      <v:line id="直接连接符 33" o:spid="_x0000_s1026" o:spt="20" style="position:absolute;left:8221;top:437762;flip:x y;height:567;width:1;" filled="f" stroked="t" coordsize="21600,21600" o:gfxdata="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LmL68AAAA&#10;2wAAAA8AAAAAAAAAAQAgAAAAIgAAAGRycy9kb3ducmV2LnhtbFBLAQIUABQAAAAIAIdO4kAzLwWe&#10;OwAAADkAAAAQAAAAAAAAAAEAIAAAAAsBAABkcnMvc2hhcGV4bWwueG1sUEsFBgAAAAAGAAYAWwEA&#10;ALUDAAAAAA==&#10;">
                        <v:fill on="f" focussize="0,0"/>
                        <v:stroke weight="0.5pt" color="#000000" joinstyle="round" dashstyle="dash" endarrow="block" endarrowwidth="narrow" endarrowlength="long"/>
                        <v:imagedata o:title=""/>
                        <o:lock v:ext="edit" aspectratio="f"/>
                      </v:line>
                      <v:line id="直接连接符 34" o:spid="_x0000_s1026" o:spt="20" style="position:absolute;left:3336;top:437765;flip:x y;height:567;width:1;" filled="f" stroked="t" coordsize="21600,21600" o:gfxdata="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d+565AAAA2wAA&#10;AA8AAAAAAAAAAQAgAAAAIgAAAGRycy9kb3ducmV2LnhtbFBLAQIUABQAAAAIAIdO4kAzLwWeOwAA&#10;ADkAAAAQAAAAAAAAAAEAIAAAAAgBAABkcnMvc2hhcGV4bWwueG1sUEsFBgAAAAAGAAYAWwEAALID&#10;AAAAAA==&#10;">
                        <v:fill on="f" focussize="0,0"/>
                        <v:stroke weight="0.5pt" color="#000000" joinstyle="round" dashstyle="dash" endarrow="block" endarrowwidth="narrow" endarrowlength="long"/>
                        <v:imagedata o:title=""/>
                        <o:lock v:ext="edit" aspectratio="f"/>
                      </v:line>
                      <v:line id="直接连接符 35" o:spid="_x0000_s1026" o:spt="20" style="position:absolute;left:9081;top:438636;height:1;width:567;"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36" o:spid="_x0000_s1026" o:spt="20" style="position:absolute;left:4967;top:437757;flip:x y;height:567;width:1;" filled="f" stroked="t" coordsize="21600,21600" o:gfxdata="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8ByvQAA&#10;ANsAAAAPAAAAAAAAAAEAIAAAACIAAABkcnMvZG93bnJldi54bWxQSwECFAAUAAAACACHTuJAMy8F&#10;njsAAAA5AAAAEAAAAAAAAAABACAAAAAMAQAAZHJzL3NoYXBleG1sLnhtbFBLBQYAAAAABgAGAFsB&#10;AAC2AwAAAAA=&#10;">
                        <v:fill on="f" focussize="0,0"/>
                        <v:stroke weight="0.5pt" color="#000000" joinstyle="round" dashstyle="dash" endarrow="block" endarrowwidth="narrow" endarrowlength="long"/>
                        <v:imagedata o:title=""/>
                        <o:lock v:ext="edit" aspectratio="f"/>
                      </v:line>
                      <v:shape id="文本框 37" o:spid="_x0000_s1026" o:spt="202" type="#_x0000_t202" style="position:absolute;left:4418;top:437480;height:314;width:1120;"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0" w:lineRule="exact"/>
                                <w:jc w:val="center"/>
                                <w:rPr>
                                  <w:rFonts w:eastAsia="仿宋体"/>
                                  <w:bCs/>
                                  <w:sz w:val="18"/>
                                </w:rPr>
                              </w:pPr>
                              <w:r>
                                <w:rPr>
                                  <w:rFonts w:hint="eastAsia" w:eastAsia="仿宋体"/>
                                  <w:bCs/>
                                  <w:sz w:val="18"/>
                                </w:rPr>
                                <w:t>废气、固废</w:t>
                              </w:r>
                            </w:p>
                          </w:txbxContent>
                        </v:textbox>
                      </v:shape>
                      <v:line id="直接连接符 38" o:spid="_x0000_s1026" o:spt="20" style="position:absolute;left:6997;top:438635;height:1;width:567;"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9" o:spid="_x0000_s1026" o:spt="202" type="#_x0000_t202" style="position:absolute;left:9673;top:438443;height:377;width:946;" fillcolor="#DDDDDD" filled="t" stroked="t" coordsize="21600,21600" o:gfxdata="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d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mm,0mm,0mm">
                          <w:txbxContent>
                            <w:p>
                              <w:pPr>
                                <w:jc w:val="center"/>
                              </w:pPr>
                              <w:r>
                                <w:rPr>
                                  <w:rFonts w:hint="eastAsia"/>
                                  <w:lang w:val="en-US" w:eastAsia="zh-CN"/>
                                </w:rPr>
                                <w:t>验收</w:t>
                              </w:r>
                              <w:r>
                                <w:rPr>
                                  <w:rFonts w:hint="eastAsia"/>
                                </w:rPr>
                                <w:t>使用</w:t>
                              </w:r>
                            </w:p>
                          </w:txbxContent>
                        </v:textbox>
                      </v:shape>
                      <v:line id="直接连接符 40" o:spid="_x0000_s1026" o:spt="20" style="position:absolute;left:6540;top:437782;flip:x y;height:680;width:1;" filled="f" stroked="t" coordsize="21600,21600" o:gfxdata="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jGcb4A&#10;AADbAAAADwAAAAAAAAABACAAAAAiAAAAZHJzL2Rvd25yZXYueG1sUEsBAhQAFAAAAAgAh07iQDMv&#10;BZ47AAAAOQAAABAAAAAAAAAAAQAgAAAADQEAAGRycy9zaGFwZXhtbC54bWxQSwUGAAAAAAYABgBb&#10;AQAAtwMAAAAA&#10;">
                        <v:fill on="f" focussize="0,0"/>
                        <v:stroke weight="0.5pt" color="#000000" joinstyle="round" dashstyle="dash" endarrow="block" endarrowwidth="narrow" endarrowlength="long"/>
                        <v:imagedata o:title=""/>
                        <o:lock v:ext="edit" aspectratio="f"/>
                      </v:line>
                      <v:shape id="文本框 41" o:spid="_x0000_s1026" o:spt="202" type="#_x0000_t202" style="position:absolute;left:5978;top:437492;height:314;width:1120;"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jc w:val="center"/>
                                <w:rPr>
                                  <w:rFonts w:eastAsia="仿宋体"/>
                                  <w:bCs/>
                                  <w:sz w:val="18"/>
                                </w:rPr>
                              </w:pPr>
                              <w:r>
                                <w:rPr>
                                  <w:rFonts w:hint="eastAsia" w:eastAsia="仿宋体"/>
                                  <w:bCs/>
                                  <w:sz w:val="18"/>
                                </w:rPr>
                                <w:t>噪声</w:t>
                              </w:r>
                            </w:p>
                          </w:txbxContent>
                        </v:textbox>
                      </v:shape>
                      <w10:wrap type="none"/>
                      <w10:anchorlock/>
                    </v:group>
                  </w:pict>
                </mc:Fallback>
              </mc:AlternateContent>
            </w: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zh-CN" w:eastAsia="zh-CN"/>
              </w:rPr>
              <w:t>施工工艺流程及产污环节图</w:t>
            </w:r>
          </w:p>
          <w:p>
            <w:pPr>
              <w:autoSpaceDE w:val="0"/>
              <w:autoSpaceDN w:val="0"/>
              <w:adjustRightInd w:val="0"/>
              <w:snapToGrid w:val="0"/>
              <w:spacing w:line="400" w:lineRule="exact"/>
              <w:ind w:left="-31" w:leftChars="-15" w:right="-31" w:rightChars="-15" w:firstLine="422" w:firstLineChars="20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（2）产污环节</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废气：主要来自施工作业产生的扬尘、地面刷防渗漆产生的有机废气。</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废水：主要包括少量施工废水及</w:t>
            </w:r>
            <w:r>
              <w:rPr>
                <w:rFonts w:hint="eastAsia" w:cs="Times New Roman"/>
                <w:color w:val="auto"/>
                <w:kern w:val="0"/>
                <w:szCs w:val="21"/>
                <w:lang w:eastAsia="zh-CN"/>
              </w:rPr>
              <w:t>生活污水</w:t>
            </w:r>
            <w:r>
              <w:rPr>
                <w:rFonts w:hint="default" w:ascii="Times New Roman" w:hAnsi="Times New Roman" w:cs="Times New Roman"/>
                <w:color w:val="auto"/>
                <w:kern w:val="0"/>
                <w:szCs w:val="21"/>
              </w:rPr>
              <w:t>。</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噪声：主要来源于钻机、切割机等产生的机械噪声。</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固体废物：主要为</w:t>
            </w:r>
            <w:r>
              <w:rPr>
                <w:rFonts w:hint="default" w:ascii="Times New Roman" w:hAnsi="Times New Roman" w:cs="Times New Roman"/>
                <w:color w:val="auto"/>
                <w:kern w:val="0"/>
                <w:szCs w:val="21"/>
                <w:lang w:val="en-US" w:eastAsia="zh-CN"/>
              </w:rPr>
              <w:t>原</w:t>
            </w:r>
            <w:r>
              <w:rPr>
                <w:rFonts w:hint="eastAsia" w:cs="Times New Roman"/>
                <w:color w:val="auto"/>
                <w:kern w:val="0"/>
                <w:szCs w:val="21"/>
                <w:lang w:val="en-US" w:eastAsia="zh-CN"/>
              </w:rPr>
              <w:t>场地清理</w:t>
            </w:r>
            <w:r>
              <w:rPr>
                <w:rFonts w:hint="default" w:ascii="Times New Roman" w:hAnsi="Times New Roman" w:cs="Times New Roman"/>
                <w:color w:val="auto"/>
                <w:kern w:val="0"/>
                <w:szCs w:val="21"/>
                <w:lang w:val="en-US" w:eastAsia="zh-CN"/>
              </w:rPr>
              <w:t>时产生</w:t>
            </w:r>
            <w:r>
              <w:rPr>
                <w:rFonts w:hint="default" w:ascii="Times New Roman" w:hAnsi="Times New Roman" w:cs="Times New Roman"/>
                <w:color w:val="auto"/>
                <w:kern w:val="0"/>
                <w:szCs w:val="21"/>
              </w:rPr>
              <w:t>建筑废渣、</w:t>
            </w:r>
            <w:r>
              <w:rPr>
                <w:rFonts w:hint="eastAsia" w:cs="Times New Roman"/>
                <w:color w:val="auto"/>
                <w:kern w:val="0"/>
                <w:szCs w:val="21"/>
                <w:lang w:val="en-US" w:eastAsia="zh-CN"/>
              </w:rPr>
              <w:t>废建材、</w:t>
            </w:r>
            <w:r>
              <w:rPr>
                <w:rFonts w:hint="default" w:ascii="Times New Roman" w:hAnsi="Times New Roman" w:cs="Times New Roman"/>
                <w:color w:val="auto"/>
                <w:kern w:val="0"/>
                <w:szCs w:val="21"/>
              </w:rPr>
              <w:t>废弃设备包装材料等固体废物，以及施工人员生活垃圾等。</w:t>
            </w:r>
          </w:p>
          <w:p>
            <w:pPr>
              <w:numPr>
                <w:ilvl w:val="0"/>
                <w:numId w:val="9"/>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bookmarkStart w:id="3" w:name="2、运营期"/>
            <w:bookmarkEnd w:id="3"/>
            <w:r>
              <w:rPr>
                <w:rFonts w:hint="default" w:ascii="Times New Roman" w:hAnsi="Times New Roman" w:eastAsia="黑体" w:cs="Times New Roman"/>
                <w:color w:val="auto"/>
                <w:kern w:val="0"/>
                <w:sz w:val="22"/>
                <w:szCs w:val="22"/>
              </w:rPr>
              <w:t>运营期工艺流程和产排污环节</w:t>
            </w:r>
          </w:p>
          <w:p>
            <w:pPr>
              <w:autoSpaceDE w:val="0"/>
              <w:autoSpaceDN w:val="0"/>
              <w:adjustRightInd w:val="0"/>
              <w:snapToGrid w:val="0"/>
              <w:spacing w:line="400" w:lineRule="exact"/>
              <w:ind w:left="-31" w:leftChars="-15" w:right="-31" w:rightChars="-15" w:firstLine="422" w:firstLineChars="20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（1）工艺流程</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lang w:val="en-US"/>
              </w:rPr>
            </w:pPr>
            <w:r>
              <w:rPr>
                <w:rFonts w:hint="default" w:ascii="Times New Roman" w:hAnsi="Times New Roman" w:cs="Times New Roman"/>
                <w:color w:val="auto"/>
                <w:kern w:val="0"/>
                <w:szCs w:val="21"/>
              </w:rPr>
              <w:t>本项目仅进行</w:t>
            </w:r>
            <w:r>
              <w:rPr>
                <w:rFonts w:hint="default" w:ascii="Times New Roman" w:hAnsi="Times New Roman" w:cs="Times New Roman"/>
                <w:color w:val="auto"/>
                <w:kern w:val="0"/>
                <w:szCs w:val="21"/>
                <w:lang w:eastAsia="zh-CN"/>
              </w:rPr>
              <w:t>废矿物油</w:t>
            </w:r>
            <w:r>
              <w:rPr>
                <w:rFonts w:hint="default" w:ascii="Times New Roman" w:hAnsi="Times New Roman" w:cs="Times New Roman"/>
                <w:color w:val="auto"/>
                <w:kern w:val="0"/>
                <w:szCs w:val="21"/>
              </w:rPr>
              <w:t>的收集和贮存，不涉及</w:t>
            </w:r>
            <w:r>
              <w:rPr>
                <w:rFonts w:hint="default" w:ascii="Times New Roman" w:hAnsi="Times New Roman" w:cs="Times New Roman"/>
                <w:color w:val="auto"/>
                <w:kern w:val="0"/>
                <w:szCs w:val="21"/>
                <w:lang w:eastAsia="zh-CN"/>
              </w:rPr>
              <w:t>废矿物油</w:t>
            </w:r>
            <w:r>
              <w:rPr>
                <w:rFonts w:hint="default" w:ascii="Times New Roman" w:hAnsi="Times New Roman" w:cs="Times New Roman"/>
                <w:color w:val="auto"/>
                <w:kern w:val="0"/>
                <w:szCs w:val="21"/>
              </w:rPr>
              <w:t>利用及后续处置再生环节。收集范围及对象为达州市范围内的4S店、汽修厂等产生的</w:t>
            </w:r>
            <w:r>
              <w:rPr>
                <w:rFonts w:hint="default" w:ascii="Times New Roman" w:hAnsi="Times New Roman" w:cs="Times New Roman"/>
                <w:color w:val="auto"/>
                <w:kern w:val="0"/>
                <w:szCs w:val="21"/>
                <w:lang w:eastAsia="zh-CN"/>
              </w:rPr>
              <w:t>废矿物油</w:t>
            </w:r>
            <w:r>
              <w:rPr>
                <w:rFonts w:hint="default" w:ascii="Times New Roman" w:hAnsi="Times New Roman" w:cs="Times New Roman"/>
                <w:color w:val="auto"/>
                <w:kern w:val="0"/>
                <w:szCs w:val="21"/>
              </w:rPr>
              <w:t>。项目</w:t>
            </w:r>
            <w:r>
              <w:rPr>
                <w:rFonts w:hint="default" w:ascii="Times New Roman" w:hAnsi="Times New Roman" w:cs="Times New Roman"/>
                <w:color w:val="auto"/>
                <w:kern w:val="0"/>
                <w:szCs w:val="21"/>
                <w:lang w:val="en-US" w:eastAsia="zh-CN"/>
              </w:rPr>
              <w:t>废矿物油收集</w:t>
            </w:r>
            <w:r>
              <w:rPr>
                <w:rFonts w:hint="default" w:ascii="Times New Roman" w:hAnsi="Times New Roman" w:cs="Times New Roman"/>
                <w:color w:val="auto"/>
                <w:kern w:val="0"/>
                <w:szCs w:val="21"/>
              </w:rPr>
              <w:t>运输作业委托</w:t>
            </w:r>
            <w:r>
              <w:rPr>
                <w:rFonts w:hint="eastAsia" w:cs="Times New Roman"/>
                <w:color w:val="auto"/>
                <w:kern w:val="0"/>
                <w:szCs w:val="21"/>
                <w:lang w:val="en-US" w:eastAsia="zh-CN"/>
              </w:rPr>
              <w:t>南充市通发运业有限公司</w:t>
            </w:r>
            <w:r>
              <w:rPr>
                <w:rFonts w:hint="default" w:ascii="Times New Roman" w:hAnsi="Times New Roman" w:cs="Times New Roman"/>
                <w:color w:val="auto"/>
                <w:kern w:val="0"/>
                <w:szCs w:val="21"/>
                <w:lang w:val="en-US" w:eastAsia="zh-CN"/>
              </w:rPr>
              <w:t>完成</w:t>
            </w:r>
            <w:r>
              <w:rPr>
                <w:rFonts w:hint="default" w:ascii="Times New Roman" w:hAnsi="Times New Roman" w:cs="Times New Roman"/>
                <w:color w:val="auto"/>
                <w:kern w:val="0"/>
                <w:szCs w:val="21"/>
              </w:rPr>
              <w:t>。项目建成后最大贮存量</w:t>
            </w:r>
            <w:r>
              <w:rPr>
                <w:rFonts w:hint="eastAsia" w:cs="Times New Roman"/>
                <w:color w:val="auto"/>
                <w:kern w:val="0"/>
                <w:szCs w:val="21"/>
                <w:lang w:val="en-US" w:eastAsia="zh-CN"/>
              </w:rPr>
              <w:t>35</w:t>
            </w:r>
            <w:r>
              <w:rPr>
                <w:rFonts w:hint="default" w:ascii="Times New Roman" w:hAnsi="Times New Roman" w:cs="Times New Roman"/>
                <w:color w:val="auto"/>
                <w:kern w:val="0"/>
                <w:szCs w:val="21"/>
              </w:rPr>
              <w:t>t（储油罐液位按80%计，</w:t>
            </w:r>
            <w:r>
              <w:rPr>
                <w:rFonts w:hint="default" w:ascii="Times New Roman" w:hAnsi="Times New Roman" w:cs="Times New Roman"/>
                <w:color w:val="auto"/>
                <w:kern w:val="0"/>
                <w:szCs w:val="21"/>
                <w:lang w:eastAsia="zh-CN"/>
              </w:rPr>
              <w:t>废矿物油</w:t>
            </w:r>
            <w:r>
              <w:rPr>
                <w:rFonts w:hint="default" w:ascii="Times New Roman" w:hAnsi="Times New Roman" w:cs="Times New Roman"/>
                <w:color w:val="auto"/>
                <w:kern w:val="0"/>
                <w:szCs w:val="21"/>
              </w:rPr>
              <w:t>密度按875kg/m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计），约5天转运一次，年最大转运次数为</w:t>
            </w:r>
            <w:r>
              <w:rPr>
                <w:rFonts w:hint="eastAsia" w:cs="Times New Roman"/>
                <w:color w:val="auto"/>
                <w:kern w:val="0"/>
                <w:szCs w:val="21"/>
                <w:lang w:val="en-US" w:eastAsia="zh-CN"/>
              </w:rPr>
              <w:t>7</w:t>
            </w:r>
            <w:r>
              <w:rPr>
                <w:rFonts w:hint="default" w:ascii="Times New Roman" w:hAnsi="Times New Roman" w:cs="Times New Roman"/>
                <w:color w:val="auto"/>
                <w:kern w:val="0"/>
                <w:szCs w:val="21"/>
              </w:rPr>
              <w:t>0次。由</w:t>
            </w:r>
            <w:r>
              <w:rPr>
                <w:rFonts w:hint="default" w:ascii="Times New Roman" w:hAnsi="Times New Roman" w:cs="Times New Roman"/>
                <w:color w:val="auto"/>
                <w:kern w:val="0"/>
                <w:szCs w:val="21"/>
                <w:lang w:val="en-US" w:eastAsia="zh-CN"/>
              </w:rPr>
              <w:t>下游接收处置单位四川金谷环保科技有限公司负责运输，该公司已与</w:t>
            </w:r>
            <w:r>
              <w:rPr>
                <w:rFonts w:hint="eastAsia" w:cs="Times New Roman"/>
                <w:color w:val="auto"/>
                <w:kern w:val="0"/>
                <w:szCs w:val="21"/>
                <w:lang w:val="en-US" w:eastAsia="zh-CN"/>
              </w:rPr>
              <w:t>南充市宏远运业服务有限公司</w:t>
            </w:r>
            <w:r>
              <w:rPr>
                <w:rFonts w:hint="default" w:ascii="Times New Roman" w:hAnsi="Times New Roman" w:cs="Times New Roman"/>
                <w:color w:val="auto"/>
                <w:kern w:val="0"/>
                <w:szCs w:val="21"/>
                <w:lang w:val="en-US" w:eastAsia="zh-CN"/>
              </w:rPr>
              <w:t>签订了《危险品运输协议》</w:t>
            </w:r>
            <w:r>
              <w:rPr>
                <w:rFonts w:hint="eastAsia" w:cs="Times New Roman"/>
                <w:color w:val="auto"/>
                <w:kern w:val="0"/>
                <w:szCs w:val="21"/>
                <w:lang w:val="en-US" w:eastAsia="zh-CN"/>
              </w:rPr>
              <w:t>。</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①项目收集范围内的</w:t>
            </w:r>
            <w:r>
              <w:rPr>
                <w:rFonts w:hint="eastAsia" w:cs="Times New Roman"/>
                <w:color w:val="auto"/>
                <w:kern w:val="0"/>
                <w:szCs w:val="21"/>
                <w:lang w:val="en-US" w:eastAsia="zh-CN"/>
              </w:rPr>
              <w:t>废矿物油产生企业</w:t>
            </w:r>
            <w:r>
              <w:rPr>
                <w:rFonts w:hint="default" w:ascii="Times New Roman" w:hAnsi="Times New Roman" w:cs="Times New Roman"/>
                <w:color w:val="auto"/>
                <w:kern w:val="0"/>
                <w:szCs w:val="21"/>
              </w:rPr>
              <w:t>各自厂内收集的</w:t>
            </w:r>
            <w:r>
              <w:rPr>
                <w:rFonts w:hint="default" w:ascii="Times New Roman" w:hAnsi="Times New Roman" w:cs="Times New Roman"/>
                <w:color w:val="auto"/>
                <w:kern w:val="0"/>
                <w:szCs w:val="21"/>
                <w:lang w:eastAsia="zh-CN"/>
              </w:rPr>
              <w:t>废矿物油</w:t>
            </w:r>
            <w:r>
              <w:rPr>
                <w:rFonts w:hint="default" w:ascii="Times New Roman" w:hAnsi="Times New Roman" w:cs="Times New Roman"/>
                <w:color w:val="auto"/>
                <w:kern w:val="0"/>
                <w:szCs w:val="21"/>
              </w:rPr>
              <w:t>达到一定量后，通知</w:t>
            </w:r>
            <w:r>
              <w:rPr>
                <w:rFonts w:hint="default" w:ascii="Times New Roman" w:hAnsi="Times New Roman" w:cs="Times New Roman"/>
                <w:color w:val="auto"/>
                <w:kern w:val="0"/>
                <w:szCs w:val="21"/>
                <w:lang w:eastAsia="zh-CN"/>
              </w:rPr>
              <w:t>达州市闽通环保科技有限公司</w:t>
            </w:r>
            <w:r>
              <w:rPr>
                <w:rFonts w:hint="default" w:ascii="Times New Roman" w:hAnsi="Times New Roman" w:cs="Times New Roman"/>
                <w:color w:val="auto"/>
                <w:kern w:val="0"/>
                <w:szCs w:val="21"/>
              </w:rPr>
              <w:t>进行收集。</w:t>
            </w:r>
            <w:r>
              <w:rPr>
                <w:rFonts w:hint="default" w:ascii="Times New Roman" w:hAnsi="Times New Roman" w:cs="Times New Roman"/>
                <w:color w:val="auto"/>
                <w:kern w:val="0"/>
                <w:szCs w:val="21"/>
                <w:lang w:val="en-US" w:eastAsia="zh-CN"/>
              </w:rPr>
              <w:t>公司则安排油罐车（5t）至产油企业收集，由收油罐车自带的小型油泵和输油软管抽取</w:t>
            </w:r>
            <w:r>
              <w:rPr>
                <w:rFonts w:hint="default" w:ascii="Times New Roman" w:hAnsi="Times New Roman" w:cs="Times New Roman"/>
                <w:color w:val="auto"/>
                <w:kern w:val="0"/>
                <w:szCs w:val="21"/>
              </w:rPr>
              <w:t>输送至</w:t>
            </w:r>
            <w:r>
              <w:rPr>
                <w:rFonts w:hint="default" w:ascii="Times New Roman" w:hAnsi="Times New Roman" w:cs="Times New Roman"/>
                <w:color w:val="auto"/>
                <w:kern w:val="0"/>
                <w:szCs w:val="21"/>
                <w:lang w:val="en-US" w:eastAsia="zh-CN"/>
              </w:rPr>
              <w:t>封闭的油罐内，然后封闭</w:t>
            </w:r>
            <w:r>
              <w:rPr>
                <w:rFonts w:hint="default" w:ascii="Times New Roman" w:hAnsi="Times New Roman" w:cs="Times New Roman"/>
                <w:color w:val="auto"/>
                <w:kern w:val="0"/>
                <w:szCs w:val="21"/>
              </w:rPr>
              <w:t>运至项目厂区。</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②废</w:t>
            </w:r>
            <w:r>
              <w:rPr>
                <w:rFonts w:hint="default" w:ascii="Times New Roman" w:hAnsi="Times New Roman" w:cs="Times New Roman"/>
                <w:color w:val="auto"/>
                <w:kern w:val="0"/>
                <w:szCs w:val="21"/>
                <w:lang w:val="en-US" w:eastAsia="zh-CN"/>
              </w:rPr>
              <w:t>矿物</w:t>
            </w:r>
            <w:r>
              <w:rPr>
                <w:rFonts w:hint="default" w:ascii="Times New Roman" w:hAnsi="Times New Roman" w:cs="Times New Roman"/>
                <w:color w:val="auto"/>
                <w:kern w:val="0"/>
                <w:szCs w:val="21"/>
              </w:rPr>
              <w:t>油进厂后，</w:t>
            </w:r>
            <w:r>
              <w:rPr>
                <w:rFonts w:hint="default" w:ascii="Times New Roman" w:hAnsi="Times New Roman" w:cs="Times New Roman"/>
                <w:color w:val="auto"/>
                <w:kern w:val="0"/>
                <w:szCs w:val="21"/>
                <w:lang w:val="en-US" w:eastAsia="zh-CN"/>
              </w:rPr>
              <w:t>再由油罐车配备的输油泵抽出，通过输油软管连接至厂区的储油罐内，</w:t>
            </w:r>
            <w:r>
              <w:rPr>
                <w:rFonts w:hint="default" w:ascii="Times New Roman" w:hAnsi="Times New Roman" w:cs="Times New Roman"/>
                <w:color w:val="auto"/>
                <w:kern w:val="0"/>
                <w:szCs w:val="21"/>
              </w:rPr>
              <w:t>采用顶部浸没式输送至储油罐内。</w:t>
            </w:r>
            <w:r>
              <w:rPr>
                <w:rFonts w:hint="default" w:ascii="Times New Roman" w:hAnsi="Times New Roman" w:cs="Times New Roman"/>
                <w:color w:val="auto"/>
                <w:kern w:val="0"/>
                <w:szCs w:val="21"/>
                <w:lang w:val="en-US" w:eastAsia="zh-CN"/>
              </w:rPr>
              <w:t>输油时，可在储油罐的进油口下方设置接油托盘（或容器），收集滴漏的废矿物油，收集后可直接回收至储油罐内。</w:t>
            </w:r>
            <w:r>
              <w:rPr>
                <w:rFonts w:hint="default" w:ascii="Times New Roman" w:hAnsi="Times New Roman" w:cs="Times New Roman"/>
                <w:color w:val="auto"/>
                <w:kern w:val="0"/>
                <w:szCs w:val="21"/>
              </w:rPr>
              <w:t>此工序</w:t>
            </w:r>
            <w:r>
              <w:rPr>
                <w:rFonts w:hint="default" w:ascii="Times New Roman" w:hAnsi="Times New Roman" w:cs="Times New Roman"/>
                <w:color w:val="auto"/>
                <w:kern w:val="0"/>
                <w:szCs w:val="21"/>
                <w:lang w:val="en-US" w:eastAsia="zh-CN"/>
              </w:rPr>
              <w:t>还</w:t>
            </w:r>
            <w:r>
              <w:rPr>
                <w:rFonts w:hint="default" w:ascii="Times New Roman" w:hAnsi="Times New Roman" w:cs="Times New Roman"/>
                <w:color w:val="auto"/>
                <w:kern w:val="0"/>
                <w:szCs w:val="21"/>
              </w:rPr>
              <w:t>会产生少量挥发性有机气体。</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③每个储油罐内</w:t>
            </w:r>
            <w:r>
              <w:rPr>
                <w:rFonts w:hint="default" w:ascii="Times New Roman" w:hAnsi="Times New Roman" w:cs="Times New Roman"/>
                <w:color w:val="auto"/>
                <w:kern w:val="0"/>
                <w:szCs w:val="21"/>
                <w:lang w:eastAsia="zh-CN"/>
              </w:rPr>
              <w:t>废矿物油</w:t>
            </w:r>
            <w:r>
              <w:rPr>
                <w:rFonts w:hint="eastAsia" w:cs="Times New Roman"/>
                <w:color w:val="auto"/>
                <w:kern w:val="0"/>
                <w:szCs w:val="21"/>
                <w:lang w:val="en-US" w:eastAsia="zh-CN"/>
              </w:rPr>
              <w:t>贮存量</w:t>
            </w:r>
            <w:r>
              <w:rPr>
                <w:rFonts w:hint="default" w:ascii="Times New Roman" w:hAnsi="Times New Roman" w:cs="Times New Roman"/>
                <w:color w:val="auto"/>
                <w:kern w:val="0"/>
                <w:szCs w:val="21"/>
              </w:rPr>
              <w:t>达到</w:t>
            </w:r>
            <w:r>
              <w:rPr>
                <w:rFonts w:hint="eastAsia" w:cs="Times New Roman"/>
                <w:color w:val="auto"/>
                <w:kern w:val="0"/>
                <w:szCs w:val="21"/>
                <w:lang w:val="en-US" w:eastAsia="zh-CN"/>
              </w:rPr>
              <w:t>一定量（5~30t）</w:t>
            </w:r>
            <w:r>
              <w:rPr>
                <w:rFonts w:hint="default" w:ascii="Times New Roman" w:hAnsi="Times New Roman" w:cs="Times New Roman"/>
                <w:color w:val="auto"/>
                <w:kern w:val="0"/>
                <w:szCs w:val="21"/>
              </w:rPr>
              <w:t>后</w:t>
            </w:r>
            <w:r>
              <w:rPr>
                <w:rFonts w:hint="eastAsia" w:cs="Times New Roman"/>
                <w:color w:val="auto"/>
                <w:kern w:val="0"/>
                <w:szCs w:val="21"/>
                <w:lang w:eastAsia="zh-CN"/>
              </w:rPr>
              <w:t>（</w:t>
            </w:r>
            <w:r>
              <w:rPr>
                <w:rFonts w:hint="default" w:ascii="Times New Roman" w:hAnsi="Times New Roman" w:cs="Times New Roman"/>
                <w:color w:val="auto"/>
                <w:kern w:val="0"/>
                <w:szCs w:val="21"/>
              </w:rPr>
              <w:t>最大收集量不超过储油罐荷载储存量的80%</w:t>
            </w:r>
            <w:r>
              <w:rPr>
                <w:rFonts w:hint="eastAsia" w:cs="Times New Roman"/>
                <w:color w:val="auto"/>
                <w:kern w:val="0"/>
                <w:szCs w:val="21"/>
                <w:lang w:eastAsia="zh-CN"/>
              </w:rPr>
              <w:t>）</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通知下游</w:t>
            </w:r>
            <w:r>
              <w:rPr>
                <w:rFonts w:hint="default" w:ascii="Times New Roman" w:hAnsi="Times New Roman" w:cs="Times New Roman"/>
                <w:color w:val="auto"/>
                <w:kern w:val="0"/>
                <w:szCs w:val="21"/>
              </w:rPr>
              <w:t>有资质的单位（</w:t>
            </w:r>
            <w:r>
              <w:rPr>
                <w:rFonts w:hint="default" w:ascii="Times New Roman" w:hAnsi="Times New Roman" w:cs="Times New Roman"/>
                <w:color w:val="auto"/>
                <w:kern w:val="0"/>
                <w:szCs w:val="21"/>
                <w:lang w:val="en-US" w:eastAsia="zh-CN"/>
              </w:rPr>
              <w:t>四川金谷环保科技有限公司</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由其安排</w:t>
            </w:r>
            <w:r>
              <w:rPr>
                <w:rFonts w:hint="default" w:ascii="Times New Roman" w:hAnsi="Times New Roman" w:cs="Times New Roman"/>
                <w:color w:val="auto"/>
                <w:kern w:val="0"/>
                <w:szCs w:val="21"/>
              </w:rPr>
              <w:t>油罐车</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运输单位为</w:t>
            </w:r>
            <w:r>
              <w:rPr>
                <w:rFonts w:hint="eastAsia" w:cs="Times New Roman"/>
                <w:color w:val="auto"/>
                <w:kern w:val="0"/>
                <w:szCs w:val="21"/>
                <w:lang w:val="en-US" w:eastAsia="zh-CN"/>
              </w:rPr>
              <w:t>南充市宏远运业服务有限公司</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对项目</w:t>
            </w:r>
            <w:r>
              <w:rPr>
                <w:rFonts w:hint="default" w:ascii="Times New Roman" w:hAnsi="Times New Roman" w:cs="Times New Roman"/>
                <w:color w:val="auto"/>
                <w:kern w:val="0"/>
                <w:szCs w:val="21"/>
                <w:lang w:val="en-US" w:eastAsia="zh-CN"/>
              </w:rPr>
              <w:t>收集的废矿物</w:t>
            </w:r>
            <w:r>
              <w:rPr>
                <w:rFonts w:hint="default" w:ascii="Times New Roman" w:hAnsi="Times New Roman" w:cs="Times New Roman"/>
                <w:color w:val="auto"/>
                <w:kern w:val="0"/>
                <w:szCs w:val="21"/>
              </w:rPr>
              <w:t>油进行</w:t>
            </w:r>
            <w:r>
              <w:rPr>
                <w:rFonts w:hint="default" w:ascii="Times New Roman" w:hAnsi="Times New Roman" w:cs="Times New Roman"/>
                <w:color w:val="auto"/>
                <w:kern w:val="0"/>
                <w:szCs w:val="21"/>
                <w:lang w:val="en-US" w:eastAsia="zh-CN"/>
              </w:rPr>
              <w:t>转运，</w:t>
            </w:r>
            <w:r>
              <w:rPr>
                <w:rFonts w:hint="default" w:ascii="Times New Roman" w:hAnsi="Times New Roman" w:cs="Times New Roman"/>
                <w:color w:val="auto"/>
                <w:kern w:val="0"/>
                <w:szCs w:val="21"/>
              </w:rPr>
              <w:t>运至下游有资质单位（</w:t>
            </w:r>
            <w:r>
              <w:rPr>
                <w:rFonts w:hint="default" w:ascii="Times New Roman" w:hAnsi="Times New Roman" w:cs="Times New Roman"/>
                <w:color w:val="auto"/>
                <w:kern w:val="0"/>
                <w:szCs w:val="21"/>
                <w:lang w:val="en-US" w:eastAsia="zh-CN"/>
              </w:rPr>
              <w:t>四川金谷环保科技有限公司</w:t>
            </w:r>
            <w:r>
              <w:rPr>
                <w:rFonts w:hint="default" w:ascii="Times New Roman" w:hAnsi="Times New Roman" w:cs="Times New Roman"/>
                <w:color w:val="auto"/>
                <w:kern w:val="0"/>
                <w:szCs w:val="21"/>
              </w:rPr>
              <w:t>）处理。</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废矿物油在输送出罐时，通过油罐车配备的油泵抽取，需对储油罐的出油口下方设置接油托盘（或容器），收集滴漏的废矿物油，收集后可直接回收至储油罐内。</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项目运营期工艺流程如下图：</w:t>
            </w:r>
          </w:p>
          <w:p>
            <w:pPr>
              <w:keepNext w:val="0"/>
              <w:keepLines w:val="0"/>
              <w:pageBreakBefore w:val="0"/>
              <w:widowControl w:val="0"/>
              <w:kinsoku/>
              <w:wordWrap/>
              <w:overflowPunct/>
              <w:topLinePunct w:val="0"/>
              <w:autoSpaceDE w:val="0"/>
              <w:autoSpaceDN w:val="0"/>
              <w:bidi w:val="0"/>
              <w:adjustRightInd w:val="0"/>
              <w:snapToGrid w:val="0"/>
              <w:spacing w:line="240" w:lineRule="auto"/>
              <w:ind w:right="-31" w:rightChars="-15"/>
              <w:textAlignment w:val="auto"/>
              <w:rPr>
                <w:rFonts w:hint="default" w:ascii="Times New Roman" w:hAnsi="Times New Roman" w:cs="Times New Roman"/>
                <w:color w:val="auto"/>
                <w:kern w:val="0"/>
                <w:szCs w:val="21"/>
              </w:rPr>
            </w:pPr>
            <w:r>
              <w:rPr>
                <w:rFonts w:hint="default" w:ascii="Times New Roman" w:hAnsi="Times New Roman" w:cs="Times New Roman"/>
                <w:color w:val="auto"/>
                <w:sz w:val="21"/>
              </w:rPr>
              <mc:AlternateContent>
                <mc:Choice Requires="wpg">
                  <w:drawing>
                    <wp:inline distT="0" distB="0" distL="114300" distR="114300">
                      <wp:extent cx="5022215" cy="2146935"/>
                      <wp:effectExtent l="7620" t="0" r="0" b="25400"/>
                      <wp:docPr id="59" name="组合 30"/>
                      <wp:cNvGraphicFramePr/>
                      <a:graphic xmlns:a="http://schemas.openxmlformats.org/drawingml/2006/main">
                        <a:graphicData uri="http://schemas.microsoft.com/office/word/2010/wordprocessingGroup">
                          <wpg:wgp>
                            <wpg:cNvGrpSpPr/>
                            <wpg:grpSpPr>
                              <a:xfrm>
                                <a:off x="0" y="0"/>
                                <a:ext cx="5022215" cy="2146935"/>
                                <a:chOff x="15995" y="162015"/>
                                <a:chExt cx="7817" cy="3472"/>
                              </a:xfrm>
                            </wpg:grpSpPr>
                            <wps:wsp>
                              <wps:cNvPr id="29" name="矩形 6"/>
                              <wps:cNvSpPr/>
                              <wps:spPr>
                                <a:xfrm>
                                  <a:off x="18355" y="163034"/>
                                  <a:ext cx="1304" cy="463"/>
                                </a:xfrm>
                                <a:prstGeom prst="rect">
                                  <a:avLst/>
                                </a:prstGeom>
                                <a:solidFill>
                                  <a:srgbClr val="FF0000">
                                    <a:alpha val="0"/>
                                  </a:srgbClr>
                                </a:solidFill>
                                <a:ln w="15875" cap="flat" cmpd="sng">
                                  <a:solidFill>
                                    <a:srgbClr val="000000"/>
                                  </a:solidFill>
                                  <a:prstDash val="solid"/>
                                  <a:miter/>
                                  <a:headEnd type="none" w="med" len="med"/>
                                  <a:tailEnd type="none" w="med" len="med"/>
                                </a:ln>
                              </wps:spPr>
                              <wps:txbx>
                                <w:txbxContent>
                                  <w:p>
                                    <w:pPr>
                                      <w:jc w:val="center"/>
                                    </w:pPr>
                                    <w:r>
                                      <w:rPr>
                                        <w:rFonts w:hint="eastAsia"/>
                                        <w:b/>
                                        <w:bCs/>
                                        <w:sz w:val="24"/>
                                        <w:szCs w:val="32"/>
                                      </w:rPr>
                                      <w:t>装车收集</w:t>
                                    </w:r>
                                  </w:p>
                                </w:txbxContent>
                              </wps:txbx>
                              <wps:bodyPr upright="1"/>
                            </wps:wsp>
                            <wps:wsp>
                              <wps:cNvPr id="30" name="矩形 7"/>
                              <wps:cNvSpPr/>
                              <wps:spPr>
                                <a:xfrm>
                                  <a:off x="16491" y="163037"/>
                                  <a:ext cx="1304" cy="463"/>
                                </a:xfrm>
                                <a:prstGeom prst="rect">
                                  <a:avLst/>
                                </a:prstGeom>
                                <a:solidFill>
                                  <a:srgbClr val="FF0000">
                                    <a:alpha val="0"/>
                                  </a:srgbClr>
                                </a:solidFill>
                                <a:ln w="15875" cap="flat" cmpd="sng">
                                  <a:solidFill>
                                    <a:srgbClr val="000000"/>
                                  </a:solidFill>
                                  <a:prstDash val="solid"/>
                                  <a:miter/>
                                  <a:headEnd type="none" w="med" len="med"/>
                                  <a:tailEnd type="none" w="med" len="med"/>
                                </a:ln>
                              </wps:spPr>
                              <wps:txbx>
                                <w:txbxContent>
                                  <w:p>
                                    <w:pPr>
                                      <w:jc w:val="center"/>
                                      <w:rPr>
                                        <w:rFonts w:hint="eastAsia" w:eastAsia="宋体"/>
                                        <w:b/>
                                        <w:bCs/>
                                        <w:sz w:val="24"/>
                                        <w:szCs w:val="32"/>
                                        <w:lang w:eastAsia="zh-CN"/>
                                      </w:rPr>
                                    </w:pPr>
                                    <w:r>
                                      <w:rPr>
                                        <w:rFonts w:hint="eastAsia"/>
                                        <w:b/>
                                        <w:bCs/>
                                        <w:sz w:val="24"/>
                                        <w:szCs w:val="32"/>
                                        <w:lang w:eastAsia="zh-CN"/>
                                      </w:rPr>
                                      <w:t>废矿物油</w:t>
                                    </w:r>
                                  </w:p>
                                </w:txbxContent>
                              </wps:txbx>
                              <wps:bodyPr upright="1"/>
                            </wps:wsp>
                            <wps:wsp>
                              <wps:cNvPr id="31" name="直接箭头连接符 8"/>
                              <wps:cNvCnPr/>
                              <wps:spPr>
                                <a:xfrm>
                                  <a:off x="17799" y="163266"/>
                                  <a:ext cx="567" cy="1"/>
                                </a:xfrm>
                                <a:prstGeom prst="straightConnector1">
                                  <a:avLst/>
                                </a:prstGeom>
                                <a:ln w="9525" cap="flat" cmpd="sng">
                                  <a:solidFill>
                                    <a:srgbClr val="000000"/>
                                  </a:solidFill>
                                  <a:prstDash val="solid"/>
                                  <a:headEnd type="none" w="med" len="med"/>
                                  <a:tailEnd type="triangle" w="med" len="med"/>
                                </a:ln>
                              </wps:spPr>
                              <wps:bodyPr/>
                            </wps:wsp>
                            <wps:wsp>
                              <wps:cNvPr id="32" name="直接箭头连接符 9"/>
                              <wps:cNvCnPr/>
                              <wps:spPr>
                                <a:xfrm>
                                  <a:off x="22718" y="163501"/>
                                  <a:ext cx="0" cy="1361"/>
                                </a:xfrm>
                                <a:prstGeom prst="straightConnector1">
                                  <a:avLst/>
                                </a:prstGeom>
                                <a:ln w="9525" cap="flat" cmpd="sng">
                                  <a:solidFill>
                                    <a:srgbClr val="000000"/>
                                  </a:solidFill>
                                  <a:prstDash val="solid"/>
                                  <a:headEnd type="none" w="med" len="med"/>
                                  <a:tailEnd type="triangle" w="med" len="med"/>
                                </a:ln>
                              </wps:spPr>
                              <wps:bodyPr/>
                            </wps:wsp>
                            <wps:wsp>
                              <wps:cNvPr id="33" name="矩形 10"/>
                              <wps:cNvSpPr/>
                              <wps:spPr>
                                <a:xfrm>
                                  <a:off x="19394" y="164894"/>
                                  <a:ext cx="831" cy="464"/>
                                </a:xfrm>
                                <a:prstGeom prst="rect">
                                  <a:avLst/>
                                </a:prstGeom>
                                <a:solidFill>
                                  <a:srgbClr val="FF0000">
                                    <a:alpha val="0"/>
                                  </a:srgbClr>
                                </a:solidFill>
                                <a:ln w="15875" cap="flat" cmpd="sng">
                                  <a:solidFill>
                                    <a:srgbClr val="000000"/>
                                  </a:solidFill>
                                  <a:prstDash val="solid"/>
                                  <a:miter/>
                                  <a:headEnd type="none" w="med" len="med"/>
                                  <a:tailEnd type="none" w="med" len="med"/>
                                </a:ln>
                              </wps:spPr>
                              <wps:txbx>
                                <w:txbxContent>
                                  <w:p>
                                    <w:pPr>
                                      <w:jc w:val="center"/>
                                      <w:rPr>
                                        <w:b/>
                                        <w:bCs/>
                                        <w:sz w:val="24"/>
                                        <w:szCs w:val="32"/>
                                      </w:rPr>
                                    </w:pPr>
                                    <w:r>
                                      <w:rPr>
                                        <w:rFonts w:hint="eastAsia"/>
                                        <w:b/>
                                        <w:bCs/>
                                        <w:sz w:val="24"/>
                                        <w:szCs w:val="32"/>
                                      </w:rPr>
                                      <w:t>外运</w:t>
                                    </w:r>
                                  </w:p>
                                </w:txbxContent>
                              </wps:txbx>
                              <wps:bodyPr upright="1"/>
                            </wps:wsp>
                            <wps:wsp>
                              <wps:cNvPr id="34" name="矩形 14"/>
                              <wps:cNvSpPr/>
                              <wps:spPr>
                                <a:xfrm>
                                  <a:off x="20091" y="162084"/>
                                  <a:ext cx="1336" cy="624"/>
                                </a:xfrm>
                                <a:prstGeom prst="rect">
                                  <a:avLst/>
                                </a:prstGeom>
                                <a:solidFill>
                                  <a:srgbClr val="FF0000">
                                    <a:alpha val="0"/>
                                  </a:srgbClr>
                                </a:solidFill>
                                <a:ln w="6350">
                                  <a:noFill/>
                                </a:ln>
                              </wps:spPr>
                              <wps:txbx>
                                <w:txbxContent>
                                  <w:p>
                                    <w:pPr>
                                      <w:jc w:val="center"/>
                                      <w:rPr>
                                        <w:sz w:val="18"/>
                                        <w:szCs w:val="18"/>
                                      </w:rPr>
                                    </w:pPr>
                                    <w:r>
                                      <w:rPr>
                                        <w:rFonts w:hint="eastAsia"/>
                                        <w:sz w:val="18"/>
                                        <w:szCs w:val="18"/>
                                      </w:rPr>
                                      <w:t>噪声、废气、环境风险</w:t>
                                    </w:r>
                                  </w:p>
                                </w:txbxContent>
                              </wps:txbx>
                              <wps:bodyPr upright="1"/>
                            </wps:wsp>
                            <wps:wsp>
                              <wps:cNvPr id="35" name="直接箭头连接符 15"/>
                              <wps:cNvCnPr/>
                              <wps:spPr>
                                <a:xfrm flipV="1">
                                  <a:off x="18984" y="162618"/>
                                  <a:ext cx="1" cy="392"/>
                                </a:xfrm>
                                <a:prstGeom prst="straightConnector1">
                                  <a:avLst/>
                                </a:prstGeom>
                                <a:ln w="3175" cap="flat" cmpd="sng">
                                  <a:solidFill>
                                    <a:srgbClr val="000000"/>
                                  </a:solidFill>
                                  <a:prstDash val="dash"/>
                                  <a:headEnd type="none" w="med" len="med"/>
                                  <a:tailEnd type="triangle" w="med" len="med"/>
                                </a:ln>
                              </wps:spPr>
                              <wps:bodyPr/>
                            </wps:wsp>
                            <wps:wsp>
                              <wps:cNvPr id="36" name="矩形 16"/>
                              <wps:cNvSpPr/>
                              <wps:spPr>
                                <a:xfrm>
                                  <a:off x="16087" y="163564"/>
                                  <a:ext cx="3685" cy="1179"/>
                                </a:xfrm>
                                <a:prstGeom prst="rect">
                                  <a:avLst/>
                                </a:prstGeom>
                                <a:solidFill>
                                  <a:srgbClr val="FF0000">
                                    <a:alpha val="0"/>
                                  </a:srgbClr>
                                </a:solidFill>
                                <a:ln w="6350">
                                  <a:noFill/>
                                </a:ln>
                              </wps:spPr>
                              <wps:txbx>
                                <w:txbxContent>
                                  <w:p>
                                    <w:pPr>
                                      <w:jc w:val="both"/>
                                      <w:rPr>
                                        <w:rFonts w:hint="default"/>
                                        <w:sz w:val="18"/>
                                        <w:szCs w:val="21"/>
                                        <w:lang w:val="en-US" w:eastAsia="zh-CN"/>
                                      </w:rPr>
                                    </w:pPr>
                                    <w:r>
                                      <w:rPr>
                                        <w:rFonts w:hint="eastAsia"/>
                                        <w:sz w:val="18"/>
                                        <w:szCs w:val="21"/>
                                        <w:lang w:val="en-US" w:eastAsia="zh-CN"/>
                                      </w:rPr>
                                      <w:t>委托南充市通发运业有限公司运输</w:t>
                                    </w:r>
                                  </w:p>
                                  <w:p>
                                    <w:pPr>
                                      <w:keepNext w:val="0"/>
                                      <w:keepLines w:val="0"/>
                                      <w:pageBreakBefore w:val="0"/>
                                      <w:widowControl w:val="0"/>
                                      <w:kinsoku/>
                                      <w:wordWrap/>
                                      <w:overflowPunct/>
                                      <w:topLinePunct w:val="0"/>
                                      <w:autoSpaceDE/>
                                      <w:autoSpaceDN/>
                                      <w:bidi w:val="0"/>
                                      <w:adjustRightInd/>
                                      <w:snapToGrid/>
                                      <w:spacing w:before="0" w:beforeLines="50"/>
                                      <w:jc w:val="center"/>
                                      <w:textAlignment w:val="auto"/>
                                      <w:rPr>
                                        <w:rFonts w:hint="eastAsia"/>
                                        <w:sz w:val="18"/>
                                        <w:szCs w:val="21"/>
                                        <w:lang w:val="en-US" w:eastAsia="zh-CN"/>
                                      </w:rPr>
                                    </w:pPr>
                                  </w:p>
                                  <w:p>
                                    <w:pPr>
                                      <w:keepNext w:val="0"/>
                                      <w:keepLines w:val="0"/>
                                      <w:pageBreakBefore w:val="0"/>
                                      <w:widowControl w:val="0"/>
                                      <w:kinsoku/>
                                      <w:wordWrap/>
                                      <w:overflowPunct/>
                                      <w:topLinePunct w:val="0"/>
                                      <w:autoSpaceDE/>
                                      <w:autoSpaceDN/>
                                      <w:bidi w:val="0"/>
                                      <w:adjustRightInd/>
                                      <w:snapToGrid/>
                                      <w:spacing w:before="0" w:beforeLines="50"/>
                                      <w:jc w:val="center"/>
                                      <w:textAlignment w:val="auto"/>
                                      <w:rPr>
                                        <w:rFonts w:hint="default"/>
                                        <w:sz w:val="18"/>
                                        <w:szCs w:val="21"/>
                                        <w:lang w:val="en-US"/>
                                      </w:rPr>
                                    </w:pPr>
                                    <w:r>
                                      <w:rPr>
                                        <w:rFonts w:hint="eastAsia"/>
                                        <w:sz w:val="18"/>
                                        <w:szCs w:val="21"/>
                                        <w:lang w:val="en-US" w:eastAsia="zh-CN"/>
                                      </w:rPr>
                                      <w:t xml:space="preserve">     由南充市宏远运业服务有限公司运输</w:t>
                                    </w:r>
                                  </w:p>
                                </w:txbxContent>
                              </wps:txbx>
                              <wps:bodyPr upright="1"/>
                            </wps:wsp>
                            <wps:wsp>
                              <wps:cNvPr id="37" name="矩形 17"/>
                              <wps:cNvSpPr/>
                              <wps:spPr>
                                <a:xfrm>
                                  <a:off x="20210" y="163034"/>
                                  <a:ext cx="961" cy="463"/>
                                </a:xfrm>
                                <a:prstGeom prst="rect">
                                  <a:avLst/>
                                </a:prstGeom>
                                <a:solidFill>
                                  <a:srgbClr val="FF0000">
                                    <a:alpha val="0"/>
                                  </a:srgbClr>
                                </a:solidFill>
                                <a:ln w="15875" cap="flat" cmpd="sng">
                                  <a:solidFill>
                                    <a:srgbClr val="000000"/>
                                  </a:solidFill>
                                  <a:prstDash val="solid"/>
                                  <a:miter/>
                                  <a:headEnd type="none" w="med" len="med"/>
                                  <a:tailEnd type="none" w="med" len="med"/>
                                </a:ln>
                              </wps:spPr>
                              <wps:txbx>
                                <w:txbxContent>
                                  <w:p>
                                    <w:pPr>
                                      <w:jc w:val="center"/>
                                    </w:pPr>
                                    <w:r>
                                      <w:rPr>
                                        <w:rFonts w:hint="eastAsia"/>
                                        <w:b/>
                                        <w:bCs/>
                                        <w:sz w:val="24"/>
                                        <w:szCs w:val="32"/>
                                      </w:rPr>
                                      <w:t>运输</w:t>
                                    </w:r>
                                  </w:p>
                                </w:txbxContent>
                              </wps:txbx>
                              <wps:bodyPr upright="1"/>
                            </wps:wsp>
                            <wps:wsp>
                              <wps:cNvPr id="38" name="直接箭头连接符 18"/>
                              <wps:cNvCnPr/>
                              <wps:spPr>
                                <a:xfrm>
                                  <a:off x="19654" y="163266"/>
                                  <a:ext cx="567" cy="1"/>
                                </a:xfrm>
                                <a:prstGeom prst="straightConnector1">
                                  <a:avLst/>
                                </a:prstGeom>
                                <a:ln w="9525" cap="flat" cmpd="sng">
                                  <a:solidFill>
                                    <a:srgbClr val="000000"/>
                                  </a:solidFill>
                                  <a:prstDash val="solid"/>
                                  <a:headEnd type="none" w="med" len="med"/>
                                  <a:tailEnd type="triangle" w="med" len="med"/>
                                </a:ln>
                              </wps:spPr>
                              <wps:bodyPr/>
                            </wps:wsp>
                            <wps:wsp>
                              <wps:cNvPr id="39" name="矩形 19"/>
                              <wps:cNvSpPr/>
                              <wps:spPr>
                                <a:xfrm>
                                  <a:off x="21723" y="163034"/>
                                  <a:ext cx="1285" cy="463"/>
                                </a:xfrm>
                                <a:prstGeom prst="rect">
                                  <a:avLst/>
                                </a:prstGeom>
                                <a:solidFill>
                                  <a:srgbClr val="FF0000">
                                    <a:alpha val="0"/>
                                  </a:srgbClr>
                                </a:solidFill>
                                <a:ln w="15875" cap="flat" cmpd="sng">
                                  <a:solidFill>
                                    <a:srgbClr val="000000"/>
                                  </a:solidFill>
                                  <a:prstDash val="solid"/>
                                  <a:miter/>
                                  <a:headEnd type="none" w="med" len="med"/>
                                  <a:tailEnd type="none" w="med" len="med"/>
                                </a:ln>
                              </wps:spPr>
                              <wps:txbx>
                                <w:txbxContent>
                                  <w:p>
                                    <w:pPr>
                                      <w:jc w:val="center"/>
                                    </w:pPr>
                                    <w:r>
                                      <w:rPr>
                                        <w:rFonts w:hint="eastAsia"/>
                                        <w:b/>
                                        <w:bCs/>
                                        <w:sz w:val="24"/>
                                        <w:szCs w:val="32"/>
                                      </w:rPr>
                                      <w:t>卸料进罐</w:t>
                                    </w:r>
                                  </w:p>
                                </w:txbxContent>
                              </wps:txbx>
                              <wps:bodyPr upright="1"/>
                            </wps:wsp>
                            <wps:wsp>
                              <wps:cNvPr id="40" name="直接箭头连接符 20"/>
                              <wps:cNvCnPr/>
                              <wps:spPr>
                                <a:xfrm>
                                  <a:off x="21167" y="163266"/>
                                  <a:ext cx="567" cy="1"/>
                                </a:xfrm>
                                <a:prstGeom prst="straightConnector1">
                                  <a:avLst/>
                                </a:prstGeom>
                                <a:ln w="9525" cap="flat" cmpd="sng">
                                  <a:solidFill>
                                    <a:srgbClr val="000000"/>
                                  </a:solidFill>
                                  <a:prstDash val="solid"/>
                                  <a:headEnd type="none" w="med" len="med"/>
                                  <a:tailEnd type="triangle" w="med" len="med"/>
                                </a:ln>
                              </wps:spPr>
                              <wps:bodyPr/>
                            </wps:wsp>
                            <wps:wsp>
                              <wps:cNvPr id="41" name="矩形 21"/>
                              <wps:cNvSpPr/>
                              <wps:spPr>
                                <a:xfrm>
                                  <a:off x="22441" y="164860"/>
                                  <a:ext cx="828" cy="463"/>
                                </a:xfrm>
                                <a:prstGeom prst="rect">
                                  <a:avLst/>
                                </a:prstGeom>
                                <a:solidFill>
                                  <a:srgbClr val="FF0000">
                                    <a:alpha val="0"/>
                                  </a:srgbClr>
                                </a:solidFill>
                                <a:ln w="15875" cap="flat" cmpd="sng">
                                  <a:solidFill>
                                    <a:srgbClr val="000000"/>
                                  </a:solidFill>
                                  <a:prstDash val="solid"/>
                                  <a:miter/>
                                  <a:headEnd type="none" w="med" len="med"/>
                                  <a:tailEnd type="none" w="med" len="med"/>
                                </a:ln>
                              </wps:spPr>
                              <wps:txbx>
                                <w:txbxContent>
                                  <w:p>
                                    <w:pPr>
                                      <w:jc w:val="center"/>
                                    </w:pPr>
                                    <w:r>
                                      <w:rPr>
                                        <w:rFonts w:hint="eastAsia"/>
                                        <w:b/>
                                        <w:bCs/>
                                        <w:sz w:val="24"/>
                                        <w:szCs w:val="32"/>
                                      </w:rPr>
                                      <w:t>储存</w:t>
                                    </w:r>
                                  </w:p>
                                </w:txbxContent>
                              </wps:txbx>
                              <wps:bodyPr upright="1"/>
                            </wps:wsp>
                            <wps:wsp>
                              <wps:cNvPr id="42" name="直接箭头连接符 23"/>
                              <wps:cNvCnPr/>
                              <wps:spPr>
                                <a:xfrm flipH="1">
                                  <a:off x="18702" y="165145"/>
                                  <a:ext cx="664" cy="1"/>
                                </a:xfrm>
                                <a:prstGeom prst="straightConnector1">
                                  <a:avLst/>
                                </a:prstGeom>
                                <a:ln w="9525" cap="flat" cmpd="sng">
                                  <a:solidFill>
                                    <a:srgbClr val="000000"/>
                                  </a:solidFill>
                                  <a:prstDash val="solid"/>
                                  <a:headEnd type="none" w="med" len="med"/>
                                  <a:tailEnd type="triangle" w="med" len="med"/>
                                </a:ln>
                              </wps:spPr>
                              <wps:bodyPr/>
                            </wps:wsp>
                            <wps:wsp>
                              <wps:cNvPr id="43" name="直接箭头连接符 43"/>
                              <wps:cNvCnPr/>
                              <wps:spPr>
                                <a:xfrm flipH="1">
                                  <a:off x="21777" y="165131"/>
                                  <a:ext cx="664" cy="1"/>
                                </a:xfrm>
                                <a:prstGeom prst="straightConnector1">
                                  <a:avLst/>
                                </a:prstGeom>
                                <a:ln w="9525" cap="flat" cmpd="sng">
                                  <a:solidFill>
                                    <a:srgbClr val="000000"/>
                                  </a:solidFill>
                                  <a:prstDash val="solid"/>
                                  <a:headEnd type="none" w="med" len="med"/>
                                  <a:tailEnd type="triangle" w="med" len="med"/>
                                </a:ln>
                              </wps:spPr>
                              <wps:bodyPr/>
                            </wps:wsp>
                            <wps:wsp>
                              <wps:cNvPr id="44" name="矩形 44"/>
                              <wps:cNvSpPr/>
                              <wps:spPr>
                                <a:xfrm>
                                  <a:off x="15995" y="164785"/>
                                  <a:ext cx="2707" cy="702"/>
                                </a:xfrm>
                                <a:prstGeom prst="rect">
                                  <a:avLst/>
                                </a:prstGeom>
                                <a:solidFill>
                                  <a:srgbClr val="FF0000">
                                    <a:alpha val="0"/>
                                  </a:srgbClr>
                                </a:solidFill>
                                <a:ln w="15875" cap="flat" cmpd="sng">
                                  <a:solidFill>
                                    <a:srgbClr val="000000"/>
                                  </a:solidFill>
                                  <a:prstDash val="solid"/>
                                  <a:miter/>
                                  <a:headEnd type="none" w="med" len="med"/>
                                  <a:tailEnd type="none" w="med" len="med"/>
                                </a:ln>
                              </wps:spPr>
                              <wps:txbx>
                                <w:txbxContent>
                                  <w:p>
                                    <w:pPr>
                                      <w:jc w:val="center"/>
                                      <w:rPr>
                                        <w:rFonts w:hint="eastAsia"/>
                                        <w:b/>
                                        <w:bCs/>
                                        <w:sz w:val="24"/>
                                        <w:szCs w:val="32"/>
                                      </w:rPr>
                                    </w:pPr>
                                    <w:r>
                                      <w:rPr>
                                        <w:rFonts w:hint="eastAsia"/>
                                        <w:b/>
                                        <w:bCs/>
                                        <w:sz w:val="24"/>
                                        <w:szCs w:val="32"/>
                                      </w:rPr>
                                      <w:t>下游有资质的回收单位</w:t>
                                    </w:r>
                                  </w:p>
                                  <w:p>
                                    <w:pPr>
                                      <w:jc w:val="center"/>
                                      <w:rPr>
                                        <w:rFonts w:hint="eastAsia" w:eastAsia="宋体"/>
                                        <w:b w:val="0"/>
                                        <w:bCs w:val="0"/>
                                        <w:sz w:val="18"/>
                                        <w:szCs w:val="18"/>
                                        <w:lang w:eastAsia="zh-CN"/>
                                      </w:rPr>
                                    </w:pPr>
                                    <w:r>
                                      <w:rPr>
                                        <w:rFonts w:hint="eastAsia"/>
                                        <w:b w:val="0"/>
                                        <w:bCs w:val="0"/>
                                        <w:sz w:val="18"/>
                                        <w:szCs w:val="18"/>
                                        <w:lang w:eastAsia="zh-CN"/>
                                      </w:rPr>
                                      <w:t>（</w:t>
                                    </w:r>
                                    <w:r>
                                      <w:rPr>
                                        <w:rFonts w:hint="eastAsia"/>
                                        <w:b w:val="0"/>
                                        <w:bCs w:val="0"/>
                                        <w:sz w:val="18"/>
                                        <w:szCs w:val="18"/>
                                        <w:lang w:val="en-US" w:eastAsia="zh-CN"/>
                                      </w:rPr>
                                      <w:t>四川金谷环保科技有限公司</w:t>
                                    </w:r>
                                    <w:r>
                                      <w:rPr>
                                        <w:rFonts w:hint="eastAsia"/>
                                        <w:b w:val="0"/>
                                        <w:bCs w:val="0"/>
                                        <w:sz w:val="18"/>
                                        <w:szCs w:val="18"/>
                                        <w:lang w:eastAsia="zh-CN"/>
                                      </w:rPr>
                                      <w:t>）</w:t>
                                    </w:r>
                                  </w:p>
                                </w:txbxContent>
                              </wps:txbx>
                              <wps:bodyPr lIns="18000" tIns="45720" rIns="18000" bIns="45720" upright="1"/>
                            </wps:wsp>
                            <wps:wsp>
                              <wps:cNvPr id="45" name="直接箭头连接符 45"/>
                              <wps:cNvCnPr/>
                              <wps:spPr>
                                <a:xfrm flipV="1">
                                  <a:off x="20724" y="162632"/>
                                  <a:ext cx="1" cy="392"/>
                                </a:xfrm>
                                <a:prstGeom prst="straightConnector1">
                                  <a:avLst/>
                                </a:prstGeom>
                                <a:ln w="3175" cap="flat" cmpd="sng">
                                  <a:solidFill>
                                    <a:srgbClr val="000000"/>
                                  </a:solidFill>
                                  <a:prstDash val="dash"/>
                                  <a:headEnd type="none" w="med" len="med"/>
                                  <a:tailEnd type="triangle" w="med" len="med"/>
                                </a:ln>
                              </wps:spPr>
                              <wps:bodyPr/>
                            </wps:wsp>
                            <wps:wsp>
                              <wps:cNvPr id="46" name="直接箭头连接符 46"/>
                              <wps:cNvCnPr/>
                              <wps:spPr>
                                <a:xfrm flipV="1">
                                  <a:off x="22404" y="162632"/>
                                  <a:ext cx="1" cy="392"/>
                                </a:xfrm>
                                <a:prstGeom prst="straightConnector1">
                                  <a:avLst/>
                                </a:prstGeom>
                                <a:ln w="3175" cap="flat" cmpd="sng">
                                  <a:solidFill>
                                    <a:srgbClr val="000000"/>
                                  </a:solidFill>
                                  <a:prstDash val="dash"/>
                                  <a:headEnd type="none" w="med" len="med"/>
                                  <a:tailEnd type="triangle" w="med" len="med"/>
                                </a:ln>
                              </wps:spPr>
                              <wps:bodyPr/>
                            </wps:wsp>
                            <wps:wsp>
                              <wps:cNvPr id="47" name="直接箭头连接符 47"/>
                              <wps:cNvCnPr/>
                              <wps:spPr>
                                <a:xfrm flipV="1">
                                  <a:off x="21399" y="164487"/>
                                  <a:ext cx="1" cy="392"/>
                                </a:xfrm>
                                <a:prstGeom prst="straightConnector1">
                                  <a:avLst/>
                                </a:prstGeom>
                                <a:ln w="3175" cap="flat" cmpd="sng">
                                  <a:solidFill>
                                    <a:srgbClr val="000000"/>
                                  </a:solidFill>
                                  <a:prstDash val="dash"/>
                                  <a:headEnd type="none" w="med" len="med"/>
                                  <a:tailEnd type="triangle" w="med" len="med"/>
                                </a:ln>
                              </wps:spPr>
                              <wps:bodyPr/>
                            </wps:wsp>
                            <wps:wsp>
                              <wps:cNvPr id="48" name="矩形 48"/>
                              <wps:cNvSpPr/>
                              <wps:spPr>
                                <a:xfrm>
                                  <a:off x="18599" y="162261"/>
                                  <a:ext cx="782" cy="464"/>
                                </a:xfrm>
                                <a:prstGeom prst="rect">
                                  <a:avLst/>
                                </a:prstGeom>
                                <a:solidFill>
                                  <a:srgbClr val="FF0000">
                                    <a:alpha val="0"/>
                                  </a:srgbClr>
                                </a:solidFill>
                                <a:ln w="6350">
                                  <a:noFill/>
                                </a:ln>
                              </wps:spPr>
                              <wps:txbx>
                                <w:txbxContent>
                                  <w:p>
                                    <w:pPr>
                                      <w:rPr>
                                        <w:sz w:val="15"/>
                                        <w:szCs w:val="18"/>
                                      </w:rPr>
                                    </w:pPr>
                                    <w:r>
                                      <w:rPr>
                                        <w:rFonts w:hint="eastAsia"/>
                                        <w:sz w:val="18"/>
                                        <w:szCs w:val="21"/>
                                      </w:rPr>
                                      <w:t>噪声</w:t>
                                    </w:r>
                                  </w:p>
                                </w:txbxContent>
                              </wps:txbx>
                              <wps:bodyPr upright="1"/>
                            </wps:wsp>
                            <wps:wsp>
                              <wps:cNvPr id="49" name="直接箭头连接符 49"/>
                              <wps:cNvCnPr/>
                              <wps:spPr>
                                <a:xfrm flipV="1">
                                  <a:off x="23079" y="164472"/>
                                  <a:ext cx="1" cy="392"/>
                                </a:xfrm>
                                <a:prstGeom prst="straightConnector1">
                                  <a:avLst/>
                                </a:prstGeom>
                                <a:ln w="3175" cap="flat" cmpd="sng">
                                  <a:solidFill>
                                    <a:srgbClr val="000000"/>
                                  </a:solidFill>
                                  <a:prstDash val="dash"/>
                                  <a:headEnd type="none" w="med" len="med"/>
                                  <a:tailEnd type="triangle" w="med" len="med"/>
                                </a:ln>
                              </wps:spPr>
                              <wps:bodyPr/>
                            </wps:wsp>
                            <wps:wsp>
                              <wps:cNvPr id="50" name="矩形 50"/>
                              <wps:cNvSpPr/>
                              <wps:spPr>
                                <a:xfrm>
                                  <a:off x="20731" y="163945"/>
                                  <a:ext cx="1506" cy="597"/>
                                </a:xfrm>
                                <a:prstGeom prst="rect">
                                  <a:avLst/>
                                </a:prstGeom>
                                <a:solidFill>
                                  <a:srgbClr val="FF0000">
                                    <a:alpha val="0"/>
                                  </a:srgbClr>
                                </a:solidFill>
                                <a:ln w="6350">
                                  <a:noFill/>
                                </a:ln>
                              </wps:spPr>
                              <wps:txbx>
                                <w:txbxContent>
                                  <w:p>
                                    <w:pPr>
                                      <w:jc w:val="center"/>
                                      <w:rPr>
                                        <w:sz w:val="15"/>
                                        <w:szCs w:val="18"/>
                                      </w:rPr>
                                    </w:pPr>
                                    <w:r>
                                      <w:rPr>
                                        <w:rFonts w:hint="eastAsia"/>
                                        <w:sz w:val="18"/>
                                        <w:szCs w:val="21"/>
                                      </w:rPr>
                                      <w:t>噪声、废气、</w:t>
                                    </w:r>
                                    <w:r>
                                      <w:rPr>
                                        <w:rFonts w:hint="eastAsia"/>
                                        <w:sz w:val="18"/>
                                        <w:szCs w:val="21"/>
                                        <w:lang w:val="en-US" w:eastAsia="zh-CN"/>
                                      </w:rPr>
                                      <w:t>固废、</w:t>
                                    </w:r>
                                    <w:r>
                                      <w:rPr>
                                        <w:rFonts w:hint="eastAsia"/>
                                        <w:sz w:val="18"/>
                                        <w:szCs w:val="21"/>
                                      </w:rPr>
                                      <w:t>环境风险</w:t>
                                    </w:r>
                                  </w:p>
                                </w:txbxContent>
                              </wps:txbx>
                              <wps:bodyPr upright="1"/>
                            </wps:wsp>
                            <wps:wsp>
                              <wps:cNvPr id="51" name="矩形 53"/>
                              <wps:cNvSpPr/>
                              <wps:spPr>
                                <a:xfrm>
                                  <a:off x="22662" y="163891"/>
                                  <a:ext cx="1150" cy="630"/>
                                </a:xfrm>
                                <a:prstGeom prst="rect">
                                  <a:avLst/>
                                </a:prstGeom>
                                <a:solidFill>
                                  <a:srgbClr val="FF0000">
                                    <a:alpha val="0"/>
                                  </a:srgbClr>
                                </a:solidFill>
                                <a:ln w="6350">
                                  <a:noFill/>
                                </a:ln>
                              </wps:spPr>
                              <wps:txbx>
                                <w:txbxContent>
                                  <w:p>
                                    <w:pPr>
                                      <w:jc w:val="center"/>
                                      <w:rPr>
                                        <w:sz w:val="18"/>
                                        <w:szCs w:val="21"/>
                                      </w:rPr>
                                    </w:pPr>
                                    <w:r>
                                      <w:rPr>
                                        <w:rFonts w:hint="eastAsia"/>
                                        <w:sz w:val="18"/>
                                        <w:szCs w:val="21"/>
                                      </w:rPr>
                                      <w:t>噪声、废气、环境风险</w:t>
                                    </w:r>
                                  </w:p>
                                </w:txbxContent>
                              </wps:txbx>
                              <wps:bodyPr upright="1"/>
                            </wps:wsp>
                            <wps:wsp>
                              <wps:cNvPr id="52" name="矩形 14"/>
                              <wps:cNvSpPr/>
                              <wps:spPr>
                                <a:xfrm>
                                  <a:off x="21632" y="162015"/>
                                  <a:ext cx="1486" cy="600"/>
                                </a:xfrm>
                                <a:prstGeom prst="rect">
                                  <a:avLst/>
                                </a:prstGeom>
                                <a:solidFill>
                                  <a:srgbClr val="FF0000">
                                    <a:alpha val="0"/>
                                  </a:srgbClr>
                                </a:solidFill>
                                <a:ln w="6350">
                                  <a:noFill/>
                                </a:ln>
                              </wps:spPr>
                              <wps:txbx>
                                <w:txbxContent>
                                  <w:p>
                                    <w:pPr>
                                      <w:jc w:val="center"/>
                                      <w:rPr>
                                        <w:sz w:val="18"/>
                                        <w:szCs w:val="18"/>
                                      </w:rPr>
                                    </w:pPr>
                                    <w:r>
                                      <w:rPr>
                                        <w:rFonts w:hint="eastAsia"/>
                                        <w:sz w:val="18"/>
                                        <w:szCs w:val="18"/>
                                      </w:rPr>
                                      <w:t>噪声、废气、</w:t>
                                    </w:r>
                                    <w:r>
                                      <w:rPr>
                                        <w:rFonts w:hint="eastAsia"/>
                                        <w:sz w:val="18"/>
                                        <w:szCs w:val="18"/>
                                        <w:lang w:val="en-US" w:eastAsia="zh-CN"/>
                                      </w:rPr>
                                      <w:t>固废、</w:t>
                                    </w:r>
                                    <w:r>
                                      <w:rPr>
                                        <w:rFonts w:hint="eastAsia"/>
                                        <w:sz w:val="18"/>
                                        <w:szCs w:val="18"/>
                                      </w:rPr>
                                      <w:t>环境风险</w:t>
                                    </w:r>
                                  </w:p>
                                </w:txbxContent>
                              </wps:txbx>
                              <wps:bodyPr upright="1"/>
                            </wps:wsp>
                            <wps:wsp>
                              <wps:cNvPr id="53" name="直接箭头连接符 23"/>
                              <wps:cNvCnPr/>
                              <wps:spPr>
                                <a:xfrm flipH="1">
                                  <a:off x="20232" y="165145"/>
                                  <a:ext cx="664" cy="1"/>
                                </a:xfrm>
                                <a:prstGeom prst="straightConnector1">
                                  <a:avLst/>
                                </a:prstGeom>
                                <a:ln w="9525" cap="flat" cmpd="sng">
                                  <a:solidFill>
                                    <a:srgbClr val="000000"/>
                                  </a:solidFill>
                                  <a:prstDash val="solid"/>
                                  <a:headEnd type="none" w="med" len="med"/>
                                  <a:tailEnd type="triangle" w="med" len="med"/>
                                </a:ln>
                              </wps:spPr>
                              <wps:bodyPr/>
                            </wps:wsp>
                            <wps:wsp>
                              <wps:cNvPr id="54" name="矩形 10"/>
                              <wps:cNvSpPr/>
                              <wps:spPr>
                                <a:xfrm>
                                  <a:off x="20938" y="164909"/>
                                  <a:ext cx="831" cy="464"/>
                                </a:xfrm>
                                <a:prstGeom prst="rect">
                                  <a:avLst/>
                                </a:prstGeom>
                                <a:solidFill>
                                  <a:srgbClr val="FF0000">
                                    <a:alpha val="0"/>
                                  </a:srgbClr>
                                </a:solidFill>
                                <a:ln w="15875" cap="flat" cmpd="sng">
                                  <a:solidFill>
                                    <a:srgbClr val="000000"/>
                                  </a:solidFill>
                                  <a:prstDash val="solid"/>
                                  <a:miter/>
                                  <a:headEnd type="none" w="med" len="med"/>
                                  <a:tailEnd type="none" w="med" len="med"/>
                                </a:ln>
                              </wps:spPr>
                              <wps:txbx>
                                <w:txbxContent>
                                  <w:p>
                                    <w:pPr>
                                      <w:jc w:val="center"/>
                                      <w:rPr>
                                        <w:b/>
                                        <w:bCs/>
                                        <w:sz w:val="24"/>
                                        <w:szCs w:val="32"/>
                                      </w:rPr>
                                    </w:pPr>
                                    <w:r>
                                      <w:rPr>
                                        <w:rFonts w:hint="eastAsia"/>
                                        <w:b/>
                                        <w:bCs/>
                                        <w:sz w:val="24"/>
                                        <w:szCs w:val="32"/>
                                      </w:rPr>
                                      <w:t>装车</w:t>
                                    </w:r>
                                  </w:p>
                                </w:txbxContent>
                              </wps:txbx>
                              <wps:bodyPr upright="1"/>
                            </wps:wsp>
                            <wps:wsp>
                              <wps:cNvPr id="55" name="直接箭头连接符 49"/>
                              <wps:cNvCnPr/>
                              <wps:spPr>
                                <a:xfrm flipV="1">
                                  <a:off x="20049" y="164472"/>
                                  <a:ext cx="1" cy="392"/>
                                </a:xfrm>
                                <a:prstGeom prst="straightConnector1">
                                  <a:avLst/>
                                </a:prstGeom>
                                <a:ln w="3175" cap="flat" cmpd="sng">
                                  <a:solidFill>
                                    <a:srgbClr val="000000"/>
                                  </a:solidFill>
                                  <a:prstDash val="dash"/>
                                  <a:headEnd type="none" w="med" len="med"/>
                                  <a:tailEnd type="triangle" w="med" len="med"/>
                                </a:ln>
                              </wps:spPr>
                              <wps:bodyPr/>
                            </wps:wsp>
                            <wps:wsp>
                              <wps:cNvPr id="56" name="任意多边形 58"/>
                              <wps:cNvSpPr/>
                              <wps:spPr>
                                <a:xfrm>
                                  <a:off x="16716" y="164556"/>
                                  <a:ext cx="2925" cy="340"/>
                                </a:xfrm>
                                <a:custGeom>
                                  <a:avLst/>
                                  <a:gdLst/>
                                  <a:ahLst/>
                                  <a:cxnLst/>
                                  <a:pathLst>
                                    <a:path w="2385" h="765">
                                      <a:moveTo>
                                        <a:pt x="0" y="0"/>
                                      </a:moveTo>
                                      <a:lnTo>
                                        <a:pt x="2385" y="0"/>
                                      </a:lnTo>
                                      <a:lnTo>
                                        <a:pt x="2385" y="765"/>
                                      </a:lnTo>
                                    </a:path>
                                  </a:pathLst>
                                </a:custGeom>
                                <a:noFill/>
                                <a:ln w="9525" cap="flat" cmpd="sng">
                                  <a:solidFill>
                                    <a:srgbClr val="000000"/>
                                  </a:solidFill>
                                  <a:prstDash val="solid"/>
                                  <a:headEnd type="none" w="med" len="med"/>
                                  <a:tailEnd type="triangle" w="med" len="med"/>
                                </a:ln>
                              </wps:spPr>
                              <wps:bodyPr upright="1"/>
                            </wps:wsp>
                            <wps:wsp>
                              <wps:cNvPr id="57" name="矩形 59"/>
                              <wps:cNvSpPr/>
                              <wps:spPr>
                                <a:xfrm>
                                  <a:off x="19601" y="164146"/>
                                  <a:ext cx="1068" cy="420"/>
                                </a:xfrm>
                                <a:prstGeom prst="rect">
                                  <a:avLst/>
                                </a:prstGeom>
                                <a:solidFill>
                                  <a:srgbClr val="FF0000">
                                    <a:alpha val="0"/>
                                  </a:srgbClr>
                                </a:solidFill>
                                <a:ln w="6350">
                                  <a:noFill/>
                                </a:ln>
                              </wps:spPr>
                              <wps:txbx>
                                <w:txbxContent>
                                  <w:p>
                                    <w:pPr>
                                      <w:jc w:val="center"/>
                                      <w:rPr>
                                        <w:sz w:val="18"/>
                                        <w:szCs w:val="21"/>
                                      </w:rPr>
                                    </w:pPr>
                                    <w:r>
                                      <w:rPr>
                                        <w:rFonts w:hint="eastAsia"/>
                                        <w:sz w:val="18"/>
                                        <w:szCs w:val="21"/>
                                      </w:rPr>
                                      <w:t>环境风险</w:t>
                                    </w:r>
                                  </w:p>
                                </w:txbxContent>
                              </wps:txbx>
                              <wps:bodyPr upright="1"/>
                            </wps:wsp>
                            <wps:wsp>
                              <wps:cNvPr id="58" name="任意多边形 60"/>
                              <wps:cNvSpPr/>
                              <wps:spPr>
                                <a:xfrm flipV="1">
                                  <a:off x="16223" y="163510"/>
                                  <a:ext cx="2789" cy="360"/>
                                </a:xfrm>
                                <a:custGeom>
                                  <a:avLst/>
                                  <a:gdLst/>
                                  <a:ahLst/>
                                  <a:cxnLst/>
                                  <a:pathLst>
                                    <a:path w="2385" h="765">
                                      <a:moveTo>
                                        <a:pt x="0" y="0"/>
                                      </a:moveTo>
                                      <a:lnTo>
                                        <a:pt x="2385" y="0"/>
                                      </a:lnTo>
                                      <a:lnTo>
                                        <a:pt x="2385" y="765"/>
                                      </a:lnTo>
                                    </a:path>
                                  </a:pathLst>
                                </a:custGeom>
                                <a:noFill/>
                                <a:ln w="9525" cap="flat" cmpd="sng">
                                  <a:solidFill>
                                    <a:srgbClr val="000000"/>
                                  </a:solidFill>
                                  <a:prstDash val="solid"/>
                                  <a:headEnd type="none" w="med" len="med"/>
                                  <a:tailEnd type="triangle" w="med" len="med"/>
                                </a:ln>
                              </wps:spPr>
                              <wps:bodyPr upright="1"/>
                            </wps:wsp>
                          </wpg:wgp>
                        </a:graphicData>
                      </a:graphic>
                    </wp:inline>
                  </w:drawing>
                </mc:Choice>
                <mc:Fallback>
                  <w:pict>
                    <v:group id="组合 30" o:spid="_x0000_s1026" o:spt="203" style="height:169.05pt;width:395.45pt;" coordorigin="15995,162015" coordsize="7817,3472" o:gfxdata="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">
                      <o:lock v:ext="edit" aspectratio="f"/>
                      <v:rect id="矩形 6" o:spid="_x0000_s1026" o:spt="1" style="position:absolute;left:18355;top:163034;height:463;width:1304;" fillcolor="#FF0000" filled="t" stroked="t" coordsize="21600,21600" o:gfxdata="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fhnr4A&#10;AADbAAAADwAAAAAAAAABACAAAAAiAAAAZHJzL2Rvd25yZXYueG1sUEsBAhQAFAAAAAgAh07iQDMv&#10;BZ47AAAAOQAAABAAAAAAAAAAAQAgAAAADQEAAGRycy9zaGFwZXhtbC54bWxQSwUGAAAAAAYABgBb&#10;AQAAtwMAAAAA&#10;">
                        <v:fill on="t" opacity="0f" focussize="0,0"/>
                        <v:stroke weight="1.25pt" color="#000000" joinstyle="miter"/>
                        <v:imagedata o:title=""/>
                        <o:lock v:ext="edit" aspectratio="f"/>
                        <v:textbox>
                          <w:txbxContent>
                            <w:p>
                              <w:pPr>
                                <w:jc w:val="center"/>
                              </w:pPr>
                              <w:r>
                                <w:rPr>
                                  <w:rFonts w:hint="eastAsia"/>
                                  <w:b/>
                                  <w:bCs/>
                                  <w:sz w:val="24"/>
                                  <w:szCs w:val="32"/>
                                </w:rPr>
                                <w:t>装车收集</w:t>
                              </w:r>
                            </w:p>
                          </w:txbxContent>
                        </v:textbox>
                      </v:rect>
                      <v:rect id="矩形 7" o:spid="_x0000_s1026" o:spt="1" style="position:absolute;left:16491;top:163037;height:463;width:1304;" fillcolor="#FF0000" filled="t" stroked="t" coordsize="21600,21600" o:gfxdata="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tN7eugAAANsA&#10;AAAPAAAAAAAAAAEAIAAAACIAAABkcnMvZG93bnJldi54bWxQSwECFAAUAAAACACHTuJAMy8FnjsA&#10;AAA5AAAAEAAAAAAAAAABACAAAAAJAQAAZHJzL3NoYXBleG1sLnhtbFBLBQYAAAAABgAGAFsBAACz&#10;AwAAAAA=&#10;">
                        <v:fill on="t" opacity="0f" focussize="0,0"/>
                        <v:stroke weight="1.25pt" color="#000000" joinstyle="miter"/>
                        <v:imagedata o:title=""/>
                        <o:lock v:ext="edit" aspectratio="f"/>
                        <v:textbox>
                          <w:txbxContent>
                            <w:p>
                              <w:pPr>
                                <w:jc w:val="center"/>
                                <w:rPr>
                                  <w:rFonts w:hint="eastAsia" w:eastAsia="宋体"/>
                                  <w:b/>
                                  <w:bCs/>
                                  <w:sz w:val="24"/>
                                  <w:szCs w:val="32"/>
                                  <w:lang w:eastAsia="zh-CN"/>
                                </w:rPr>
                              </w:pPr>
                              <w:r>
                                <w:rPr>
                                  <w:rFonts w:hint="eastAsia"/>
                                  <w:b/>
                                  <w:bCs/>
                                  <w:sz w:val="24"/>
                                  <w:szCs w:val="32"/>
                                  <w:lang w:eastAsia="zh-CN"/>
                                </w:rPr>
                                <w:t>废矿物油</w:t>
                              </w:r>
                            </w:p>
                          </w:txbxContent>
                        </v:textbox>
                      </v:rect>
                      <v:shape id="直接箭头连接符 8" o:spid="_x0000_s1026" o:spt="32" type="#_x0000_t32" style="position:absolute;left:17799;top:163266;height:1;width:567;"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9" o:spid="_x0000_s1026" o:spt="32" type="#_x0000_t32" style="position:absolute;left:22718;top:163501;height:1361;width:0;"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10" o:spid="_x0000_s1026" o:spt="1" style="position:absolute;left:19394;top:164894;height:464;width:831;" fillcolor="#FF0000" filled="t" stroked="t" coordsize="21600,21600" o:gfxdata="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ZAqb4A&#10;AADbAAAADwAAAAAAAAABACAAAAAiAAAAZHJzL2Rvd25yZXYueG1sUEsBAhQAFAAAAAgAh07iQDMv&#10;BZ47AAAAOQAAABAAAAAAAAAAAQAgAAAADQEAAGRycy9zaGFwZXhtbC54bWxQSwUGAAAAAAYABgBb&#10;AQAAtwMAAAAA&#10;">
                        <v:fill on="t" opacity="0f" focussize="0,0"/>
                        <v:stroke weight="1.25pt" color="#000000" joinstyle="miter"/>
                        <v:imagedata o:title=""/>
                        <o:lock v:ext="edit" aspectratio="f"/>
                        <v:textbox>
                          <w:txbxContent>
                            <w:p>
                              <w:pPr>
                                <w:jc w:val="center"/>
                                <w:rPr>
                                  <w:b/>
                                  <w:bCs/>
                                  <w:sz w:val="24"/>
                                  <w:szCs w:val="32"/>
                                </w:rPr>
                              </w:pPr>
                              <w:r>
                                <w:rPr>
                                  <w:rFonts w:hint="eastAsia"/>
                                  <w:b/>
                                  <w:bCs/>
                                  <w:sz w:val="24"/>
                                  <w:szCs w:val="32"/>
                                </w:rPr>
                                <w:t>外运</w:t>
                              </w:r>
                            </w:p>
                          </w:txbxContent>
                        </v:textbox>
                      </v:rect>
                      <v:rect id="矩形 14" o:spid="_x0000_s1026" o:spt="1" style="position:absolute;left:20091;top:162084;height:624;width:1336;" fillcolor="#FF0000" filled="t" stroked="f" coordsize="21600,21600" o:gfxdata="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0MoS/&#10;AAAA2wAAAA8AAAAAAAAAAQAgAAAAIgAAAGRycy9kb3ducmV2LnhtbFBLAQIUABQAAAAIAIdO4kAz&#10;LwWeOwAAADkAAAAQAAAAAAAAAAEAIAAAAA4BAABkcnMvc2hhcGV4bWwueG1sUEsFBgAAAAAGAAYA&#10;WwEAALgDAAAAAA==&#10;">
                        <v:fill on="t" opacity="0f" focussize="0,0"/>
                        <v:stroke on="f" weight="0.5pt"/>
                        <v:imagedata o:title=""/>
                        <o:lock v:ext="edit" aspectratio="f"/>
                        <v:textbox>
                          <w:txbxContent>
                            <w:p>
                              <w:pPr>
                                <w:jc w:val="center"/>
                                <w:rPr>
                                  <w:sz w:val="18"/>
                                  <w:szCs w:val="18"/>
                                </w:rPr>
                              </w:pPr>
                              <w:r>
                                <w:rPr>
                                  <w:rFonts w:hint="eastAsia"/>
                                  <w:sz w:val="18"/>
                                  <w:szCs w:val="18"/>
                                </w:rPr>
                                <w:t>噪声、废气、环境风险</w:t>
                              </w:r>
                            </w:p>
                          </w:txbxContent>
                        </v:textbox>
                      </v:rect>
                      <v:shape id="直接箭头连接符 15" o:spid="_x0000_s1026" o:spt="32" type="#_x0000_t32" style="position:absolute;left:18984;top:162618;flip:y;height:392;width:1;" filled="f" stroked="t" coordsize="21600,21600" o:gfxdata="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A9Sr4A&#10;AADbAAAADwAAAAAAAAABACAAAAAiAAAAZHJzL2Rvd25yZXYueG1sUEsBAhQAFAAAAAgAh07iQDMv&#10;BZ47AAAAOQAAABAAAAAAAAAAAQAgAAAADQEAAGRycy9zaGFwZXhtbC54bWxQSwUGAAAAAAYABgBb&#10;AQAAtwMAAAAA&#10;">
                        <v:fill on="f" focussize="0,0"/>
                        <v:stroke weight="0.25pt" color="#000000" joinstyle="round" dashstyle="dash" endarrow="block"/>
                        <v:imagedata o:title=""/>
                        <o:lock v:ext="edit" aspectratio="f"/>
                      </v:shape>
                      <v:rect id="矩形 16" o:spid="_x0000_s1026" o:spt="1" style="position:absolute;left:16087;top:163564;height:1179;width:3685;" fillcolor="#FF0000" filled="t" stroked="f" coordsize="21600,21600" o:gfxdata="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qCWi/&#10;AAAA2wAAAA8AAAAAAAAAAQAgAAAAIgAAAGRycy9kb3ducmV2LnhtbFBLAQIUABQAAAAIAIdO4kAz&#10;LwWeOwAAADkAAAAQAAAAAAAAAAEAIAAAAA4BAABkcnMvc2hhcGV4bWwueG1sUEsFBgAAAAAGAAYA&#10;WwEAALgDAAAAAA==&#10;">
                        <v:fill on="t" opacity="0f" focussize="0,0"/>
                        <v:stroke on="f" weight="0.5pt"/>
                        <v:imagedata o:title=""/>
                        <o:lock v:ext="edit" aspectratio="f"/>
                        <v:textbox>
                          <w:txbxContent>
                            <w:p>
                              <w:pPr>
                                <w:jc w:val="both"/>
                                <w:rPr>
                                  <w:rFonts w:hint="default"/>
                                  <w:sz w:val="18"/>
                                  <w:szCs w:val="21"/>
                                  <w:lang w:val="en-US" w:eastAsia="zh-CN"/>
                                </w:rPr>
                              </w:pPr>
                              <w:r>
                                <w:rPr>
                                  <w:rFonts w:hint="eastAsia"/>
                                  <w:sz w:val="18"/>
                                  <w:szCs w:val="21"/>
                                  <w:lang w:val="en-US" w:eastAsia="zh-CN"/>
                                </w:rPr>
                                <w:t>委托南充市通发运业有限公司运输</w:t>
                              </w:r>
                            </w:p>
                            <w:p>
                              <w:pPr>
                                <w:keepNext w:val="0"/>
                                <w:keepLines w:val="0"/>
                                <w:pageBreakBefore w:val="0"/>
                                <w:widowControl w:val="0"/>
                                <w:kinsoku/>
                                <w:wordWrap/>
                                <w:overflowPunct/>
                                <w:topLinePunct w:val="0"/>
                                <w:autoSpaceDE/>
                                <w:autoSpaceDN/>
                                <w:bidi w:val="0"/>
                                <w:adjustRightInd/>
                                <w:snapToGrid/>
                                <w:spacing w:before="0" w:beforeLines="50"/>
                                <w:jc w:val="center"/>
                                <w:textAlignment w:val="auto"/>
                                <w:rPr>
                                  <w:rFonts w:hint="eastAsia"/>
                                  <w:sz w:val="18"/>
                                  <w:szCs w:val="21"/>
                                  <w:lang w:val="en-US" w:eastAsia="zh-CN"/>
                                </w:rPr>
                              </w:pPr>
                            </w:p>
                            <w:p>
                              <w:pPr>
                                <w:keepNext w:val="0"/>
                                <w:keepLines w:val="0"/>
                                <w:pageBreakBefore w:val="0"/>
                                <w:widowControl w:val="0"/>
                                <w:kinsoku/>
                                <w:wordWrap/>
                                <w:overflowPunct/>
                                <w:topLinePunct w:val="0"/>
                                <w:autoSpaceDE/>
                                <w:autoSpaceDN/>
                                <w:bidi w:val="0"/>
                                <w:adjustRightInd/>
                                <w:snapToGrid/>
                                <w:spacing w:before="0" w:beforeLines="50"/>
                                <w:jc w:val="center"/>
                                <w:textAlignment w:val="auto"/>
                                <w:rPr>
                                  <w:rFonts w:hint="default"/>
                                  <w:sz w:val="18"/>
                                  <w:szCs w:val="21"/>
                                  <w:lang w:val="en-US"/>
                                </w:rPr>
                              </w:pPr>
                              <w:r>
                                <w:rPr>
                                  <w:rFonts w:hint="eastAsia"/>
                                  <w:sz w:val="18"/>
                                  <w:szCs w:val="21"/>
                                  <w:lang w:val="en-US" w:eastAsia="zh-CN"/>
                                </w:rPr>
                                <w:t xml:space="preserve">     由南充市宏远运业服务有限公司运输</w:t>
                              </w:r>
                            </w:p>
                          </w:txbxContent>
                        </v:textbox>
                      </v:rect>
                      <v:rect id="矩形 17" o:spid="_x0000_s1026" o:spt="1" style="position:absolute;left:20210;top:163034;height:463;width:961;" fillcolor="#FF0000" filled="t" stroked="t" coordsize="21600,21600" o:gfxdata="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Rqq/&#10;AAAA2wAAAA8AAAAAAAAAAQAgAAAAIgAAAGRycy9kb3ducmV2LnhtbFBLAQIUABQAAAAIAIdO4kAz&#10;LwWeOwAAADkAAAAQAAAAAAAAAAEAIAAAAA4BAABkcnMvc2hhcGV4bWwueG1sUEsFBgAAAAAGAAYA&#10;WwEAALgDAAAAAA==&#10;">
                        <v:fill on="t" opacity="0f" focussize="0,0"/>
                        <v:stroke weight="1.25pt" color="#000000" joinstyle="miter"/>
                        <v:imagedata o:title=""/>
                        <o:lock v:ext="edit" aspectratio="f"/>
                        <v:textbox>
                          <w:txbxContent>
                            <w:p>
                              <w:pPr>
                                <w:jc w:val="center"/>
                              </w:pPr>
                              <w:r>
                                <w:rPr>
                                  <w:rFonts w:hint="eastAsia"/>
                                  <w:b/>
                                  <w:bCs/>
                                  <w:sz w:val="24"/>
                                  <w:szCs w:val="32"/>
                                </w:rPr>
                                <w:t>运输</w:t>
                              </w:r>
                            </w:p>
                          </w:txbxContent>
                        </v:textbox>
                      </v:rect>
                      <v:shape id="直接箭头连接符 18" o:spid="_x0000_s1026" o:spt="32" type="#_x0000_t32" style="position:absolute;left:19654;top:163266;height:1;width:567;" filled="f" stroked="t" coordsize="21600,21600" o:gfxdata="UEsDBAoAAAAAAIdO4kAAAAAAAAAAAAAAAAAEAAAAZHJzL1BLAwQUAAAACACHTuJAqk+5nLsAAADb&#10;AAAADwAAAGRycy9kb3ducmV2LnhtbEVPW2vCMBR+H+w/hDPY20zro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5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19" o:spid="_x0000_s1026" o:spt="1" style="position:absolute;left:21723;top:163034;height:463;width:1285;" fillcolor="#FF0000" filled="t" stroked="t" coordsize="21600,21600" o:gfxdata="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Od0O/&#10;AAAA2wAAAA8AAAAAAAAAAQAgAAAAIgAAAGRycy9kb3ducmV2LnhtbFBLAQIUABQAAAAIAIdO4kAz&#10;LwWeOwAAADkAAAAQAAAAAAAAAAEAIAAAAA4BAABkcnMvc2hhcGV4bWwueG1sUEsFBgAAAAAGAAYA&#10;WwEAALgDAAAAAA==&#10;">
                        <v:fill on="t" opacity="0f" focussize="0,0"/>
                        <v:stroke weight="1.25pt" color="#000000" joinstyle="miter"/>
                        <v:imagedata o:title=""/>
                        <o:lock v:ext="edit" aspectratio="f"/>
                        <v:textbox>
                          <w:txbxContent>
                            <w:p>
                              <w:pPr>
                                <w:jc w:val="center"/>
                              </w:pPr>
                              <w:r>
                                <w:rPr>
                                  <w:rFonts w:hint="eastAsia"/>
                                  <w:b/>
                                  <w:bCs/>
                                  <w:sz w:val="24"/>
                                  <w:szCs w:val="32"/>
                                </w:rPr>
                                <w:t>卸料进罐</w:t>
                              </w:r>
                            </w:p>
                          </w:txbxContent>
                        </v:textbox>
                      </v:rect>
                      <v:shape id="直接箭头连接符 20" o:spid="_x0000_s1026" o:spt="32" type="#_x0000_t32" style="position:absolute;left:21167;top:163266;height:1;width:567;" filled="f" stroked="t" coordsize="21600,21600" o:gfxdata="UEsDBAoAAAAAAIdO4kAAAAAAAAAAAAAAAAAEAAAAZHJzL1BLAwQUAAAACACHTuJADD/G57sAAADb&#10;AAAADwAAAGRycy9kb3ducmV2LnhtbEVPW2vCMBR+H+w/hDPY20wro2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G5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21" o:spid="_x0000_s1026" o:spt="1" style="position:absolute;left:22441;top:164860;height:463;width:828;" fillcolor="#FF0000" filled="t" stroked="t" coordsize="21600,21600" o:gfxdata="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IOL4A&#10;AADbAAAADwAAAAAAAAABACAAAAAiAAAAZHJzL2Rvd25yZXYueG1sUEsBAhQAFAAAAAgAh07iQDMv&#10;BZ47AAAAOQAAABAAAAAAAAAAAQAgAAAADQEAAGRycy9zaGFwZXhtbC54bWxQSwUGAAAAAAYABgBb&#10;AQAAtwMAAAAA&#10;">
                        <v:fill on="t" opacity="0f" focussize="0,0"/>
                        <v:stroke weight="1.25pt" color="#000000" joinstyle="miter"/>
                        <v:imagedata o:title=""/>
                        <o:lock v:ext="edit" aspectratio="f"/>
                        <v:textbox>
                          <w:txbxContent>
                            <w:p>
                              <w:pPr>
                                <w:jc w:val="center"/>
                              </w:pPr>
                              <w:r>
                                <w:rPr>
                                  <w:rFonts w:hint="eastAsia"/>
                                  <w:b/>
                                  <w:bCs/>
                                  <w:sz w:val="24"/>
                                  <w:szCs w:val="32"/>
                                </w:rPr>
                                <w:t>储存</w:t>
                              </w:r>
                            </w:p>
                          </w:txbxContent>
                        </v:textbox>
                      </v:rect>
                      <v:shape id="直接箭头连接符 23" o:spid="_x0000_s1026" o:spt="32" type="#_x0000_t32" style="position:absolute;left:18702;top:165145;flip:x;height:1;width:664;" filled="f" stroked="t" coordsize="21600,21600" o:gfxdata="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0Kil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21777;top:165131;flip:x;height:1;width:664;" filled="f" stroked="t" coordsize="21600,21600" o:gfxdata="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wNP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15995;top:164785;height:702;width:2707;" fillcolor="#FF0000" filled="t" stroked="t" coordsize="21600,21600" o:gfxdata="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imAvQAA&#10;ANsAAAAPAAAAAAAAAAEAIAAAACIAAABkcnMvZG93bnJldi54bWxQSwECFAAUAAAACACHTuJAMy8F&#10;njsAAAA5AAAAEAAAAAAAAAABACAAAAAMAQAAZHJzL3NoYXBleG1sLnhtbFBLBQYAAAAABgAGAFsB&#10;AAC2AwAAAAA=&#10;">
                        <v:fill on="t" opacity="0f" focussize="0,0"/>
                        <v:stroke weight="1.25pt" color="#000000" joinstyle="miter"/>
                        <v:imagedata o:title=""/>
                        <o:lock v:ext="edit" aspectratio="f"/>
                        <v:textbox inset="0.5mm,1.27mm,0.5mm,1.27mm">
                          <w:txbxContent>
                            <w:p>
                              <w:pPr>
                                <w:jc w:val="center"/>
                                <w:rPr>
                                  <w:rFonts w:hint="eastAsia"/>
                                  <w:b/>
                                  <w:bCs/>
                                  <w:sz w:val="24"/>
                                  <w:szCs w:val="32"/>
                                </w:rPr>
                              </w:pPr>
                              <w:r>
                                <w:rPr>
                                  <w:rFonts w:hint="eastAsia"/>
                                  <w:b/>
                                  <w:bCs/>
                                  <w:sz w:val="24"/>
                                  <w:szCs w:val="32"/>
                                </w:rPr>
                                <w:t>下游有资质的回收单位</w:t>
                              </w:r>
                            </w:p>
                            <w:p>
                              <w:pPr>
                                <w:jc w:val="center"/>
                                <w:rPr>
                                  <w:rFonts w:hint="eastAsia" w:eastAsia="宋体"/>
                                  <w:b w:val="0"/>
                                  <w:bCs w:val="0"/>
                                  <w:sz w:val="18"/>
                                  <w:szCs w:val="18"/>
                                  <w:lang w:eastAsia="zh-CN"/>
                                </w:rPr>
                              </w:pPr>
                              <w:r>
                                <w:rPr>
                                  <w:rFonts w:hint="eastAsia"/>
                                  <w:b w:val="0"/>
                                  <w:bCs w:val="0"/>
                                  <w:sz w:val="18"/>
                                  <w:szCs w:val="18"/>
                                  <w:lang w:eastAsia="zh-CN"/>
                                </w:rPr>
                                <w:t>（</w:t>
                              </w:r>
                              <w:r>
                                <w:rPr>
                                  <w:rFonts w:hint="eastAsia"/>
                                  <w:b w:val="0"/>
                                  <w:bCs w:val="0"/>
                                  <w:sz w:val="18"/>
                                  <w:szCs w:val="18"/>
                                  <w:lang w:val="en-US" w:eastAsia="zh-CN"/>
                                </w:rPr>
                                <w:t>四川金谷环保科技有限公司</w:t>
                              </w:r>
                              <w:r>
                                <w:rPr>
                                  <w:rFonts w:hint="eastAsia"/>
                                  <w:b w:val="0"/>
                                  <w:bCs w:val="0"/>
                                  <w:sz w:val="18"/>
                                  <w:szCs w:val="18"/>
                                  <w:lang w:eastAsia="zh-CN"/>
                                </w:rPr>
                                <w:t>）</w:t>
                              </w:r>
                            </w:p>
                          </w:txbxContent>
                        </v:textbox>
                      </v:rect>
                      <v:shape id="_x0000_s1026" o:spid="_x0000_s1026" o:spt="32" type="#_x0000_t32" style="position:absolute;left:20724;top:162632;flip:y;height:392;width:1;" filled="f" stroked="t" coordsize="21600,21600" o:gfxdata="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ZON74A&#10;AADbAAAADwAAAAAAAAABACAAAAAiAAAAZHJzL2Rvd25yZXYueG1sUEsBAhQAFAAAAAgAh07iQDMv&#10;BZ47AAAAOQAAABAAAAAAAAAAAQAgAAAADQEAAGRycy9zaGFwZXhtbC54bWxQSwUGAAAAAAYABgBb&#10;AQAAtwMAAAAA&#10;">
                        <v:fill on="f" focussize="0,0"/>
                        <v:stroke weight="0.25pt" color="#000000" joinstyle="round" dashstyle="dash" endarrow="block"/>
                        <v:imagedata o:title=""/>
                        <o:lock v:ext="edit" aspectratio="f"/>
                      </v:shape>
                      <v:shape id="_x0000_s1026" o:spid="_x0000_s1026" o:spt="32" type="#_x0000_t32" style="position:absolute;left:22404;top:162632;flip:y;height:392;width:1;" filled="f" stroked="t" coordsize="21600,21600" o:gfxdata="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1NBAvQAA&#10;ANsAAAAPAAAAAAAAAAEAIAAAACIAAABkcnMvZG93bnJldi54bWxQSwECFAAUAAAACACHTuJAMy8F&#10;njsAAAA5AAAAEAAAAAAAAAABACAAAAAMAQAAZHJzL3NoYXBleG1sLnhtbFBLBQYAAAAABgAGAFsB&#10;AAC2AwAAAAA=&#10;">
                        <v:fill on="f" focussize="0,0"/>
                        <v:stroke weight="0.25pt" color="#000000" joinstyle="round" dashstyle="dash" endarrow="block"/>
                        <v:imagedata o:title=""/>
                        <o:lock v:ext="edit" aspectratio="f"/>
                      </v:shape>
                      <v:shape id="_x0000_s1026" o:spid="_x0000_s1026" o:spt="32" type="#_x0000_t32" style="position:absolute;left:21399;top:164487;flip:y;height:392;width:1;" filled="f" stroked="t" coordsize="21600,21600" o:gfxdata="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mHXbvQAA&#10;ANsAAAAPAAAAAAAAAAEAIAAAACIAAABkcnMvZG93bnJldi54bWxQSwECFAAUAAAACACHTuJAMy8F&#10;njsAAAA5AAAAEAAAAAAAAAABACAAAAAMAQAAZHJzL3NoYXBleG1sLnhtbFBLBQYAAAAABgAGAFsB&#10;AAC2AwAAAAA=&#10;">
                        <v:fill on="f" focussize="0,0"/>
                        <v:stroke weight="0.25pt" color="#000000" joinstyle="round" dashstyle="dash" endarrow="block"/>
                        <v:imagedata o:title=""/>
                        <o:lock v:ext="edit" aspectratio="f"/>
                      </v:shape>
                      <v:rect id="_x0000_s1026" o:spid="_x0000_s1026" o:spt="1" style="position:absolute;left:18599;top:162261;height:464;width:782;" fillcolor="#FF0000" filled="t" stroked="f" coordsize="21600,21600" o:gfxdata="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f0v8ugAAANsA&#10;AAAPAAAAAAAAAAEAIAAAACIAAABkcnMvZG93bnJldi54bWxQSwECFAAUAAAACACHTuJAMy8FnjsA&#10;AAA5AAAAEAAAAAAAAAABACAAAAAJAQAAZHJzL3NoYXBleG1sLnhtbFBLBQYAAAAABgAGAFsBAACz&#10;AwAAAAA=&#10;">
                        <v:fill on="t" opacity="0f" focussize="0,0"/>
                        <v:stroke on="f" weight="0.5pt"/>
                        <v:imagedata o:title=""/>
                        <o:lock v:ext="edit" aspectratio="f"/>
                        <v:textbox>
                          <w:txbxContent>
                            <w:p>
                              <w:pPr>
                                <w:rPr>
                                  <w:sz w:val="15"/>
                                  <w:szCs w:val="18"/>
                                </w:rPr>
                              </w:pPr>
                              <w:r>
                                <w:rPr>
                                  <w:rFonts w:hint="eastAsia"/>
                                  <w:sz w:val="18"/>
                                  <w:szCs w:val="21"/>
                                </w:rPr>
                                <w:t>噪声</w:t>
                              </w:r>
                            </w:p>
                          </w:txbxContent>
                        </v:textbox>
                      </v:rect>
                      <v:shape id="_x0000_s1026" o:spid="_x0000_s1026" o:spt="32" type="#_x0000_t32" style="position:absolute;left:23079;top:164472;flip:y;height:392;width:1;" filled="f" stroked="t" coordsize="21600,21600" o:gfxdata="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tEMr4A&#10;AADbAAAADwAAAAAAAAABACAAAAAiAAAAZHJzL2Rvd25yZXYueG1sUEsBAhQAFAAAAAgAh07iQDMv&#10;BZ47AAAAOQAAABAAAAAAAAAAAQAgAAAADQEAAGRycy9zaGFwZXhtbC54bWxQSwUGAAAAAAYABgBb&#10;AQAAtwMAAAAA&#10;">
                        <v:fill on="f" focussize="0,0"/>
                        <v:stroke weight="0.25pt" color="#000000" joinstyle="round" dashstyle="dash" endarrow="block"/>
                        <v:imagedata o:title=""/>
                        <o:lock v:ext="edit" aspectratio="f"/>
                      </v:shape>
                      <v:rect id="_x0000_s1026" o:spid="_x0000_s1026" o:spt="1" style="position:absolute;left:20731;top:163945;height:597;width:1506;" fillcolor="#FF0000" filled="t" stroked="f" coordsize="21600,21600" o:gfxdata="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0NEnugAAANsA&#10;AAAPAAAAAAAAAAEAIAAAACIAAABkcnMvZG93bnJldi54bWxQSwECFAAUAAAACACHTuJAMy8FnjsA&#10;AAA5AAAAEAAAAAAAAAABACAAAAAJAQAAZHJzL3NoYXBleG1sLnhtbFBLBQYAAAAABgAGAFsBAACz&#10;AwAAAAA=&#10;">
                        <v:fill on="t" opacity="0f" focussize="0,0"/>
                        <v:stroke on="f" weight="0.5pt"/>
                        <v:imagedata o:title=""/>
                        <o:lock v:ext="edit" aspectratio="f"/>
                        <v:textbox>
                          <w:txbxContent>
                            <w:p>
                              <w:pPr>
                                <w:jc w:val="center"/>
                                <w:rPr>
                                  <w:sz w:val="15"/>
                                  <w:szCs w:val="18"/>
                                </w:rPr>
                              </w:pPr>
                              <w:r>
                                <w:rPr>
                                  <w:rFonts w:hint="eastAsia"/>
                                  <w:sz w:val="18"/>
                                  <w:szCs w:val="21"/>
                                </w:rPr>
                                <w:t>噪声、废气、</w:t>
                              </w:r>
                              <w:r>
                                <w:rPr>
                                  <w:rFonts w:hint="eastAsia"/>
                                  <w:sz w:val="18"/>
                                  <w:szCs w:val="21"/>
                                  <w:lang w:val="en-US" w:eastAsia="zh-CN"/>
                                </w:rPr>
                                <w:t>固废、</w:t>
                              </w:r>
                              <w:r>
                                <w:rPr>
                                  <w:rFonts w:hint="eastAsia"/>
                                  <w:sz w:val="18"/>
                                  <w:szCs w:val="21"/>
                                </w:rPr>
                                <w:t>环境风险</w:t>
                              </w:r>
                            </w:p>
                          </w:txbxContent>
                        </v:textbox>
                      </v:rect>
                      <v:rect id="矩形 53" o:spid="_x0000_s1026" o:spt="1" style="position:absolute;left:22662;top:163891;height:630;width:1150;" fillcolor="#FF0000" filled="t" stroked="f" coordsize="21600,21600" o:gfxdata="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dLy/&#10;AAAA2wAAAA8AAAAAAAAAAQAgAAAAIgAAAGRycy9kb3ducmV2LnhtbFBLAQIUABQAAAAIAIdO4kAz&#10;LwWeOwAAADkAAAAQAAAAAAAAAAEAIAAAAA4BAABkcnMvc2hhcGV4bWwueG1sUEsFBgAAAAAGAAYA&#10;WwEAALgDAAAAAA==&#10;">
                        <v:fill on="t" opacity="0f" focussize="0,0"/>
                        <v:stroke on="f" weight="0.5pt"/>
                        <v:imagedata o:title=""/>
                        <o:lock v:ext="edit" aspectratio="f"/>
                        <v:textbox>
                          <w:txbxContent>
                            <w:p>
                              <w:pPr>
                                <w:jc w:val="center"/>
                                <w:rPr>
                                  <w:sz w:val="18"/>
                                  <w:szCs w:val="21"/>
                                </w:rPr>
                              </w:pPr>
                              <w:r>
                                <w:rPr>
                                  <w:rFonts w:hint="eastAsia"/>
                                  <w:sz w:val="18"/>
                                  <w:szCs w:val="21"/>
                                </w:rPr>
                                <w:t>噪声、废气、环境风险</w:t>
                              </w:r>
                            </w:p>
                          </w:txbxContent>
                        </v:textbox>
                      </v:rect>
                      <v:rect id="矩形 14" o:spid="_x0000_s1026" o:spt="1" style="position:absolute;left:21632;top:162015;height:600;width:1486;" fillcolor="#FF0000" filled="t" stroked="f" coordsize="21600,21600" o:gfxdata="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7qy74A&#10;AADbAAAADwAAAAAAAAABACAAAAAiAAAAZHJzL2Rvd25yZXYueG1sUEsBAhQAFAAAAAgAh07iQDMv&#10;BZ47AAAAOQAAABAAAAAAAAAAAQAgAAAADQEAAGRycy9zaGFwZXhtbC54bWxQSwUGAAAAAAYABgBb&#10;AQAAtwMAAAAA&#10;">
                        <v:fill on="t" opacity="0f" focussize="0,0"/>
                        <v:stroke on="f" weight="0.5pt"/>
                        <v:imagedata o:title=""/>
                        <o:lock v:ext="edit" aspectratio="f"/>
                        <v:textbox>
                          <w:txbxContent>
                            <w:p>
                              <w:pPr>
                                <w:jc w:val="center"/>
                                <w:rPr>
                                  <w:sz w:val="18"/>
                                  <w:szCs w:val="18"/>
                                </w:rPr>
                              </w:pPr>
                              <w:r>
                                <w:rPr>
                                  <w:rFonts w:hint="eastAsia"/>
                                  <w:sz w:val="18"/>
                                  <w:szCs w:val="18"/>
                                </w:rPr>
                                <w:t>噪声、废气、</w:t>
                              </w:r>
                              <w:r>
                                <w:rPr>
                                  <w:rFonts w:hint="eastAsia"/>
                                  <w:sz w:val="18"/>
                                  <w:szCs w:val="18"/>
                                  <w:lang w:val="en-US" w:eastAsia="zh-CN"/>
                                </w:rPr>
                                <w:t>固废、</w:t>
                              </w:r>
                              <w:r>
                                <w:rPr>
                                  <w:rFonts w:hint="eastAsia"/>
                                  <w:sz w:val="18"/>
                                  <w:szCs w:val="18"/>
                                </w:rPr>
                                <w:t>环境风险</w:t>
                              </w:r>
                            </w:p>
                          </w:txbxContent>
                        </v:textbox>
                      </v:rect>
                      <v:shape id="直接箭头连接符 23" o:spid="_x0000_s1026" o:spt="32" type="#_x0000_t32" style="position:absolute;left:20232;top:165145;flip:x;height:1;width:664;" filled="f" stroked="t" coordsize="21600,21600" o:gfxdata="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RZvj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10" o:spid="_x0000_s1026" o:spt="1" style="position:absolute;left:20938;top:164909;height:464;width:831;" fillcolor="#FF0000" filled="t" stroked="t" coordsize="21600,21600" o:gfxdata="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A9fb4A&#10;AADbAAAADwAAAAAAAAABACAAAAAiAAAAZHJzL2Rvd25yZXYueG1sUEsBAhQAFAAAAAgAh07iQDMv&#10;BZ47AAAAOQAAABAAAAAAAAAAAQAgAAAADQEAAGRycy9zaGFwZXhtbC54bWxQSwUGAAAAAAYABgBb&#10;AQAAtwMAAAAA&#10;">
                        <v:fill on="t" opacity="0f" focussize="0,0"/>
                        <v:stroke weight="1.25pt" color="#000000" joinstyle="miter"/>
                        <v:imagedata o:title=""/>
                        <o:lock v:ext="edit" aspectratio="f"/>
                        <v:textbox>
                          <w:txbxContent>
                            <w:p>
                              <w:pPr>
                                <w:jc w:val="center"/>
                                <w:rPr>
                                  <w:b/>
                                  <w:bCs/>
                                  <w:sz w:val="24"/>
                                  <w:szCs w:val="32"/>
                                </w:rPr>
                              </w:pPr>
                              <w:r>
                                <w:rPr>
                                  <w:rFonts w:hint="eastAsia"/>
                                  <w:b/>
                                  <w:bCs/>
                                  <w:sz w:val="24"/>
                                  <w:szCs w:val="32"/>
                                </w:rPr>
                                <w:t>装车</w:t>
                              </w:r>
                            </w:p>
                          </w:txbxContent>
                        </v:textbox>
                      </v:rect>
                      <v:shape id="直接箭头连接符 49" o:spid="_x0000_s1026" o:spt="32" type="#_x0000_t32" style="position:absolute;left:20049;top:164472;flip:y;height:392;width:1;" filled="f" stroked="t" coordsize="21600,21600" o:gfxdata="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39jqvQAA&#10;ANsAAAAPAAAAAAAAAAEAIAAAACIAAABkcnMvZG93bnJldi54bWxQSwECFAAUAAAACACHTuJAMy8F&#10;njsAAAA5AAAAEAAAAAAAAAABACAAAAAMAQAAZHJzL3NoYXBleG1sLnhtbFBLBQYAAAAABgAGAFsB&#10;AAC2AwAAAAA=&#10;">
                        <v:fill on="f" focussize="0,0"/>
                        <v:stroke weight="0.25pt" color="#000000" joinstyle="round" dashstyle="dash" endarrow="block"/>
                        <v:imagedata o:title=""/>
                        <o:lock v:ext="edit" aspectratio="f"/>
                      </v:shape>
                      <v:shape id="任意多边形 58" o:spid="_x0000_s1026" o:spt="100" style="position:absolute;left:16716;top:164556;height:340;width:2925;" filled="f" stroked="t" coordsize="2385,765" o:gfxdata="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DJqvQAA&#10;ANsAAAAPAAAAAAAAAAEAIAAAACIAAABkcnMvZG93bnJldi54bWxQSwECFAAUAAAACACHTuJAMy8F&#10;njsAAAA5AAAAEAAAAAAAAAABACAAAAAMAQAAZHJzL3NoYXBleG1sLnhtbFBLBQYAAAAABgAGAFsB&#10;AAC2AwAAAAA=&#10;" path="m0,0l2385,0,2385,765e">
                        <v:fill on="f" focussize="0,0"/>
                        <v:stroke color="#000000" joinstyle="round" endarrow="block"/>
                        <v:imagedata o:title=""/>
                        <o:lock v:ext="edit" aspectratio="f"/>
                      </v:shape>
                      <v:rect id="矩形 59" o:spid="_x0000_s1026" o:spt="1" style="position:absolute;left:19601;top:164146;height:420;width:1068;" fillcolor="#FF0000" filled="t" stroked="f" coordsize="21600,21600" o:gfxdata="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5SVO/&#10;AAAA2wAAAA8AAAAAAAAAAQAgAAAAIgAAAGRycy9kb3ducmV2LnhtbFBLAQIUABQAAAAIAIdO4kAz&#10;LwWeOwAAADkAAAAQAAAAAAAAAAEAIAAAAA4BAABkcnMvc2hhcGV4bWwueG1sUEsFBgAAAAAGAAYA&#10;WwEAALgDAAAAAA==&#10;">
                        <v:fill on="t" opacity="0f" focussize="0,0"/>
                        <v:stroke on="f" weight="0.5pt"/>
                        <v:imagedata o:title=""/>
                        <o:lock v:ext="edit" aspectratio="f"/>
                        <v:textbox>
                          <w:txbxContent>
                            <w:p>
                              <w:pPr>
                                <w:jc w:val="center"/>
                                <w:rPr>
                                  <w:sz w:val="18"/>
                                  <w:szCs w:val="21"/>
                                </w:rPr>
                              </w:pPr>
                              <w:r>
                                <w:rPr>
                                  <w:rFonts w:hint="eastAsia"/>
                                  <w:sz w:val="18"/>
                                  <w:szCs w:val="21"/>
                                </w:rPr>
                                <w:t>环境风险</w:t>
                              </w:r>
                            </w:p>
                          </w:txbxContent>
                        </v:textbox>
                      </v:rect>
                      <v:shape id="任意多边形 60" o:spid="_x0000_s1026" o:spt="100" style="position:absolute;left:16223;top:163510;flip:y;height:360;width:2789;" filled="f" stroked="t" coordsize="2385,765" o:gfxdata="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N9EU7sAAADb&#10;AAAADwAAAAAAAAABACAAAAAiAAAAZHJzL2Rvd25yZXYueG1sUEsBAhQAFAAAAAgAh07iQDMvBZ47&#10;AAAAOQAAABAAAAAAAAAAAQAgAAAACgEAAGRycy9zaGFwZXhtbC54bWxQSwUGAAAAAAYABgBbAQAA&#10;tAMAAAAA&#10;" path="m0,0l2385,0,2385,765e">
                        <v:fill on="f" focussize="0,0"/>
                        <v:stroke color="#000000" joinstyle="round" endarrow="block"/>
                        <v:imagedata o:title=""/>
                        <o:lock v:ext="edit" aspectratio="f"/>
                      </v:shape>
                      <w10:wrap type="none"/>
                      <w10:anchorlock/>
                    </v:group>
                  </w:pict>
                </mc:Fallback>
              </mc:AlternateContent>
            </w: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zh-CN" w:eastAsia="zh-CN"/>
              </w:rPr>
              <w:t>收集流程及产污环节图</w:t>
            </w:r>
          </w:p>
          <w:p>
            <w:pPr>
              <w:autoSpaceDE w:val="0"/>
              <w:autoSpaceDN w:val="0"/>
              <w:adjustRightInd w:val="0"/>
              <w:snapToGrid w:val="0"/>
              <w:spacing w:line="400" w:lineRule="exact"/>
              <w:ind w:left="-31" w:leftChars="-15" w:right="-31" w:rightChars="-15" w:firstLine="422" w:firstLineChars="200"/>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（2）产污环节</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废水：主要废水为员工的生活污水。</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废气：主要为油罐呼吸废气及车辆运输废气等。</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噪声：主要为车辆运输及输送泵等设备产生的噪声。</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固体废弃物：主要为员工生活垃圾、含油锯末、含油手套等。</w:t>
            </w:r>
          </w:p>
          <w:p>
            <w:pPr>
              <w:autoSpaceDE w:val="0"/>
              <w:autoSpaceDN w:val="0"/>
              <w:adjustRightInd w:val="0"/>
              <w:snapToGrid w:val="0"/>
              <w:spacing w:line="400" w:lineRule="exact"/>
              <w:ind w:left="-31" w:leftChars="-15" w:right="-31" w:rightChars="-15" w:firstLine="422" w:firstLineChars="200"/>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3</w:t>
            </w:r>
            <w:r>
              <w:rPr>
                <w:rFonts w:hint="default" w:ascii="Times New Roman" w:hAnsi="Times New Roman" w:cs="Times New Roman"/>
                <w:b/>
                <w:bCs/>
                <w:color w:val="auto"/>
                <w:kern w:val="0"/>
                <w:szCs w:val="21"/>
                <w:lang w:eastAsia="zh-CN"/>
              </w:rPr>
              <w:t>）</w:t>
            </w:r>
            <w:r>
              <w:rPr>
                <w:rFonts w:hint="eastAsia" w:cs="Times New Roman"/>
                <w:b/>
                <w:bCs/>
                <w:color w:val="auto"/>
                <w:kern w:val="0"/>
                <w:szCs w:val="21"/>
                <w:lang w:val="en-US" w:eastAsia="zh-CN"/>
              </w:rPr>
              <w:t>废矿物油最终处置</w:t>
            </w:r>
            <w:r>
              <w:rPr>
                <w:rFonts w:hint="default" w:ascii="Times New Roman" w:hAnsi="Times New Roman" w:cs="Times New Roman"/>
                <w:b/>
                <w:bCs/>
                <w:color w:val="auto"/>
                <w:kern w:val="0"/>
                <w:szCs w:val="21"/>
                <w:lang w:val="en-US" w:eastAsia="zh-CN"/>
              </w:rPr>
              <w:t>单位介绍</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四川金谷环保科技有限公司成立</w:t>
            </w:r>
            <w:r>
              <w:rPr>
                <w:rFonts w:hint="eastAsia" w:cs="Times New Roman"/>
                <w:color w:val="auto"/>
                <w:kern w:val="0"/>
                <w:szCs w:val="21"/>
                <w:lang w:val="en-US" w:eastAsia="zh-CN"/>
              </w:rPr>
              <w:t>于</w:t>
            </w:r>
            <w:r>
              <w:rPr>
                <w:rFonts w:hint="default" w:ascii="Times New Roman" w:hAnsi="Times New Roman" w:cs="Times New Roman"/>
                <w:color w:val="auto"/>
                <w:kern w:val="0"/>
                <w:szCs w:val="21"/>
                <w:lang w:val="en-US" w:eastAsia="zh-CN"/>
              </w:rPr>
              <w:t>2015年3月登记注册，注册资金1亿元，是一家生产新型生物柴油</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或生物航空煤油</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和基础油、润滑油的高新技术企业，是广安经济技术开发区新桥园区的省重点建设项目。公司于2017年投资约1.5亿元，占地150亩，建设了“10万吨/年废矿物油综合利用及配套调和5万吨/年高品质润滑油项目”。该项目利用废润滑油</w:t>
            </w:r>
            <w:r>
              <w:rPr>
                <w:rFonts w:hint="eastAsia" w:cs="Times New Roman"/>
                <w:color w:val="auto"/>
                <w:kern w:val="0"/>
                <w:szCs w:val="21"/>
                <w:lang w:val="en-US" w:eastAsia="zh-CN"/>
              </w:rPr>
              <w:t>作为原料</w:t>
            </w:r>
            <w:r>
              <w:rPr>
                <w:rFonts w:hint="default" w:ascii="Times New Roman" w:hAnsi="Times New Roman" w:cs="Times New Roman"/>
                <w:color w:val="auto"/>
                <w:kern w:val="0"/>
                <w:szCs w:val="21"/>
                <w:lang w:val="en-US" w:eastAsia="zh-CN"/>
              </w:rPr>
              <w:t>，制备合格基础油，经调和后生产出符合国家标准的润滑油。产品广泛应用于工业机械、内燃机等。</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项目于2017年10月由四川省环科源科技有限公司编制完成《四川金谷能源科技有限公司10万吨/年废矿物油综合利用及配套调和5万吨/年高品质润滑油项目环境影响报告书》；并于2017年12月26日取得原广安市环境保护局对该项目的批复（广环审批</w:t>
            </w:r>
            <w:r>
              <w:rPr>
                <w:rFonts w:hint="default" w:ascii="Times New Roman" w:hAnsi="Times New Roman" w:eastAsia="宋体" w:cs="Times New Roman"/>
                <w:color w:val="auto"/>
                <w:kern w:val="0"/>
                <w:szCs w:val="21"/>
                <w:lang w:val="en-US" w:eastAsia="zh-CN"/>
              </w:rPr>
              <w:t>〔</w:t>
            </w:r>
            <w:r>
              <w:rPr>
                <w:rFonts w:hint="default" w:ascii="Times New Roman" w:hAnsi="Times New Roman" w:cs="Times New Roman"/>
                <w:color w:val="auto"/>
                <w:kern w:val="0"/>
                <w:szCs w:val="21"/>
                <w:lang w:val="en-US" w:eastAsia="zh-CN"/>
              </w:rPr>
              <w:t>2017</w:t>
            </w:r>
            <w:r>
              <w:rPr>
                <w:rFonts w:hint="default" w:ascii="Times New Roman" w:hAnsi="Times New Roman" w:eastAsia="宋体" w:cs="Times New Roman"/>
                <w:color w:val="auto"/>
                <w:kern w:val="0"/>
                <w:szCs w:val="21"/>
                <w:lang w:val="en-US" w:eastAsia="zh-CN"/>
              </w:rPr>
              <w:t>〕</w:t>
            </w:r>
            <w:r>
              <w:rPr>
                <w:rFonts w:hint="default" w:ascii="Times New Roman" w:hAnsi="Times New Roman" w:cs="Times New Roman"/>
                <w:color w:val="auto"/>
                <w:kern w:val="0"/>
                <w:szCs w:val="21"/>
                <w:lang w:val="en-US" w:eastAsia="zh-CN"/>
              </w:rPr>
              <w:t>79号）。</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该项目2017年12月开工建设，2019年3月项目建成，2019年4月编制了《突发环境事件应急预案》，2019年9月16日取得《危险废物经营许可证》。2020年5月9日，公司组织了该项目的竣工环境保护验收通过专家组验收。公司具备完善的环保手续。</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四川金谷环保科技有限公司设计废矿物油处理能力为10万吨/年，本项目废矿物油收集量最大为2000吨，远小于该公司的处理能力。同时根据调查，该公司目前的实际处理量约5万吨/年，有足够的</w:t>
            </w:r>
            <w:r>
              <w:rPr>
                <w:rFonts w:hint="eastAsia" w:cs="Times New Roman"/>
                <w:color w:val="auto"/>
                <w:kern w:val="0"/>
                <w:szCs w:val="21"/>
                <w:lang w:val="en-US" w:eastAsia="zh-CN"/>
              </w:rPr>
              <w:t>富余</w:t>
            </w:r>
            <w:r>
              <w:rPr>
                <w:rFonts w:hint="default" w:ascii="Times New Roman" w:hAnsi="Times New Roman" w:cs="Times New Roman"/>
                <w:color w:val="auto"/>
                <w:kern w:val="0"/>
                <w:szCs w:val="21"/>
                <w:lang w:val="en-US" w:eastAsia="zh-CN"/>
              </w:rPr>
              <w:t>能力处理本项目的废矿物油。</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bCs/>
                <w:color w:val="0000FF"/>
                <w:szCs w:val="21"/>
                <w:lang w:val="en-US"/>
              </w:rPr>
            </w:pPr>
            <w:r>
              <w:rPr>
                <w:rFonts w:hint="default" w:ascii="Times New Roman" w:hAnsi="Times New Roman" w:cs="Times New Roman"/>
                <w:color w:val="0000FF"/>
                <w:kern w:val="0"/>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9" w:type="dxa"/>
            <w:noWrap w:val="0"/>
            <w:vAlign w:val="top"/>
          </w:tcPr>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与项目有关的原有环境污染问题</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与项目有关的原有环境污染问题</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与项目有关的原有环境污染问题</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与项目有关的原有环境污染问题</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与项目有关的原有环境污染问题</w:t>
            </w:r>
          </w:p>
        </w:tc>
        <w:tc>
          <w:tcPr>
            <w:tcW w:w="8445" w:type="dxa"/>
            <w:noWrap w:val="0"/>
            <w:vAlign w:val="top"/>
          </w:tcPr>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本项目为</w:t>
            </w:r>
            <w:r>
              <w:rPr>
                <w:rFonts w:hint="eastAsia" w:cs="Times New Roman"/>
                <w:color w:val="auto"/>
                <w:kern w:val="0"/>
                <w:szCs w:val="21"/>
                <w:lang w:val="en-US" w:eastAsia="zh-CN"/>
              </w:rPr>
              <w:t>迁</w:t>
            </w:r>
            <w:r>
              <w:rPr>
                <w:rFonts w:hint="default" w:ascii="Times New Roman" w:hAnsi="Times New Roman" w:cs="Times New Roman"/>
                <w:color w:val="auto"/>
                <w:kern w:val="0"/>
                <w:szCs w:val="21"/>
              </w:rPr>
              <w:t>建，</w:t>
            </w:r>
            <w:r>
              <w:rPr>
                <w:rFonts w:hint="eastAsia" w:cs="Times New Roman"/>
                <w:color w:val="auto"/>
                <w:kern w:val="0"/>
                <w:szCs w:val="21"/>
                <w:lang w:val="en-US" w:eastAsia="zh-CN"/>
              </w:rPr>
              <w:t>在新地址重新建设，新选地址现为空地</w:t>
            </w:r>
            <w:r>
              <w:rPr>
                <w:rFonts w:hint="eastAsia" w:cs="Times New Roman"/>
                <w:color w:val="auto"/>
                <w:kern w:val="0"/>
                <w:szCs w:val="21"/>
                <w:lang w:eastAsia="zh-CN"/>
              </w:rPr>
              <w:t>，</w:t>
            </w:r>
            <w:r>
              <w:rPr>
                <w:rFonts w:hint="default" w:ascii="Times New Roman" w:hAnsi="Times New Roman" w:cs="Times New Roman"/>
                <w:color w:val="auto"/>
                <w:kern w:val="0"/>
                <w:szCs w:val="21"/>
              </w:rPr>
              <w:t>不存在原有环境污染问题。</w:t>
            </w:r>
          </w:p>
          <w:p>
            <w:pPr>
              <w:autoSpaceDE w:val="0"/>
              <w:autoSpaceDN w:val="0"/>
              <w:adjustRightInd w:val="0"/>
              <w:snapToGrid w:val="0"/>
              <w:spacing w:line="400" w:lineRule="exact"/>
              <w:ind w:left="-31" w:leftChars="-15" w:right="-31" w:rightChars="-15" w:firstLine="420" w:firstLineChars="200"/>
              <w:rPr>
                <w:rFonts w:hint="default" w:cs="Times New Roman"/>
                <w:color w:val="auto"/>
                <w:kern w:val="0"/>
                <w:szCs w:val="21"/>
                <w:lang w:val="en-US" w:eastAsia="zh-CN"/>
              </w:rPr>
            </w:pPr>
            <w:r>
              <w:rPr>
                <w:rFonts w:hint="default" w:ascii="Times New Roman" w:hAnsi="Times New Roman" w:cs="Times New Roman"/>
                <w:color w:val="auto"/>
                <w:kern w:val="0"/>
                <w:szCs w:val="21"/>
              </w:rPr>
              <w:t>项目用地原为</w:t>
            </w:r>
            <w:r>
              <w:rPr>
                <w:rFonts w:hint="eastAsia" w:cs="Times New Roman"/>
                <w:color w:val="auto"/>
                <w:kern w:val="0"/>
                <w:szCs w:val="21"/>
                <w:lang w:val="en-US" w:eastAsia="zh-CN"/>
              </w:rPr>
              <w:t>四川君璜建材有限公司</w:t>
            </w:r>
            <w:r>
              <w:rPr>
                <w:rFonts w:hint="default" w:ascii="Times New Roman" w:hAnsi="Times New Roman" w:cs="Times New Roman"/>
                <w:color w:val="auto"/>
                <w:kern w:val="0"/>
                <w:szCs w:val="21"/>
                <w:lang w:val="en-US" w:eastAsia="zh-CN"/>
              </w:rPr>
              <w:t>“新型节能环保墙体材料项目”的</w:t>
            </w:r>
            <w:r>
              <w:rPr>
                <w:rFonts w:hint="eastAsia" w:cs="Times New Roman"/>
                <w:color w:val="auto"/>
                <w:kern w:val="0"/>
                <w:szCs w:val="21"/>
                <w:lang w:val="en-US" w:eastAsia="zh-CN"/>
              </w:rPr>
              <w:t>场地建设</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该项目于201</w:t>
            </w:r>
            <w:r>
              <w:rPr>
                <w:rFonts w:hint="eastAsia" w:cs="Times New Roman"/>
                <w:color w:val="auto"/>
                <w:kern w:val="0"/>
                <w:szCs w:val="21"/>
                <w:lang w:val="en-US" w:eastAsia="zh-CN"/>
              </w:rPr>
              <w:t>2</w:t>
            </w:r>
            <w:r>
              <w:rPr>
                <w:rFonts w:hint="default" w:ascii="Times New Roman" w:hAnsi="Times New Roman" w:cs="Times New Roman"/>
                <w:color w:val="auto"/>
                <w:kern w:val="0"/>
                <w:szCs w:val="21"/>
                <w:lang w:val="en-US" w:eastAsia="zh-CN"/>
              </w:rPr>
              <w:t>年1</w:t>
            </w:r>
            <w:r>
              <w:rPr>
                <w:rFonts w:hint="eastAsia" w:cs="Times New Roman"/>
                <w:color w:val="auto"/>
                <w:kern w:val="0"/>
                <w:szCs w:val="21"/>
                <w:lang w:val="en-US" w:eastAsia="zh-CN"/>
              </w:rPr>
              <w:t>1</w:t>
            </w:r>
            <w:r>
              <w:rPr>
                <w:rFonts w:hint="default" w:ascii="Times New Roman" w:hAnsi="Times New Roman" w:cs="Times New Roman"/>
                <w:color w:val="auto"/>
                <w:kern w:val="0"/>
                <w:szCs w:val="21"/>
                <w:lang w:val="en-US" w:eastAsia="zh-CN"/>
              </w:rPr>
              <w:t>月20日取得了达州市</w:t>
            </w:r>
            <w:r>
              <w:rPr>
                <w:rFonts w:hint="eastAsia" w:cs="Times New Roman"/>
                <w:color w:val="auto"/>
                <w:kern w:val="0"/>
                <w:szCs w:val="21"/>
                <w:lang w:val="en-US" w:eastAsia="zh-CN"/>
              </w:rPr>
              <w:t>宣汉</w:t>
            </w:r>
            <w:r>
              <w:rPr>
                <w:rFonts w:hint="default" w:ascii="Times New Roman" w:hAnsi="Times New Roman" w:cs="Times New Roman"/>
                <w:color w:val="auto"/>
                <w:kern w:val="0"/>
                <w:szCs w:val="21"/>
                <w:lang w:val="en-US" w:eastAsia="zh-CN"/>
              </w:rPr>
              <w:t>生态环境局（原</w:t>
            </w:r>
            <w:r>
              <w:rPr>
                <w:rFonts w:hint="eastAsia" w:cs="Times New Roman"/>
                <w:color w:val="auto"/>
                <w:kern w:val="0"/>
                <w:szCs w:val="21"/>
                <w:lang w:val="en-US" w:eastAsia="zh-CN"/>
              </w:rPr>
              <w:t>宣汉县</w:t>
            </w:r>
            <w:r>
              <w:rPr>
                <w:rFonts w:hint="default" w:ascii="Times New Roman" w:hAnsi="Times New Roman" w:cs="Times New Roman"/>
                <w:color w:val="auto"/>
                <w:kern w:val="0"/>
                <w:szCs w:val="21"/>
                <w:lang w:val="en-US" w:eastAsia="zh-CN"/>
              </w:rPr>
              <w:t>环境保护局）的批复。</w:t>
            </w:r>
            <w:r>
              <w:rPr>
                <w:rFonts w:hint="eastAsia" w:cs="Times New Roman"/>
                <w:color w:val="auto"/>
                <w:kern w:val="0"/>
                <w:szCs w:val="21"/>
                <w:lang w:val="en-US" w:eastAsia="zh-CN"/>
              </w:rPr>
              <w:t>主要是</w:t>
            </w:r>
            <w:r>
              <w:rPr>
                <w:rFonts w:hint="default" w:ascii="Times New Roman" w:hAnsi="Times New Roman" w:cs="Times New Roman"/>
                <w:color w:val="auto"/>
                <w:kern w:val="0"/>
                <w:szCs w:val="21"/>
                <w:lang w:val="en-US" w:eastAsia="zh-CN"/>
              </w:rPr>
              <w:t>粉煤灰、砂浆、水泥以及泡沫等原材料</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经混合、搅</w:t>
            </w:r>
            <w:r>
              <w:rPr>
                <w:rFonts w:hint="eastAsia" w:cs="Times New Roman"/>
                <w:color w:val="auto"/>
                <w:kern w:val="0"/>
                <w:szCs w:val="21"/>
                <w:lang w:val="en-US" w:eastAsia="zh-CN"/>
              </w:rPr>
              <w:t>拌</w:t>
            </w:r>
            <w:r>
              <w:rPr>
                <w:rFonts w:hint="default" w:ascii="Times New Roman" w:hAnsi="Times New Roman" w:cs="Times New Roman"/>
                <w:color w:val="auto"/>
                <w:kern w:val="0"/>
                <w:szCs w:val="21"/>
                <w:lang w:val="en-US" w:eastAsia="zh-CN"/>
              </w:rPr>
              <w:t>、挤压等工序</w:t>
            </w:r>
            <w:r>
              <w:rPr>
                <w:rFonts w:hint="eastAsia" w:cs="Times New Roman"/>
                <w:color w:val="auto"/>
                <w:kern w:val="0"/>
                <w:szCs w:val="21"/>
                <w:lang w:val="en-US" w:eastAsia="zh-CN"/>
              </w:rPr>
              <w:t>生产</w:t>
            </w:r>
            <w:r>
              <w:rPr>
                <w:rFonts w:hint="default" w:ascii="Times New Roman" w:hAnsi="Times New Roman" w:cs="Times New Roman"/>
                <w:color w:val="auto"/>
                <w:kern w:val="0"/>
                <w:szCs w:val="21"/>
                <w:lang w:val="en-US" w:eastAsia="zh-CN"/>
              </w:rPr>
              <w:t>新型节能环保墙体材料</w:t>
            </w:r>
            <w:r>
              <w:rPr>
                <w:rFonts w:hint="eastAsia" w:cs="Times New Roman"/>
                <w:color w:val="auto"/>
                <w:kern w:val="0"/>
                <w:szCs w:val="21"/>
                <w:lang w:val="en-US" w:eastAsia="zh-CN"/>
              </w:rPr>
              <w:t>，设计年产量为15万平方米</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该项目竣工环境保护验收报告于2019年8月30日通过了专家组审查。2020年受市场经济影响，逐渐减产，随后停产至今。目前其生产厂房已部分外租。</w:t>
            </w:r>
          </w:p>
          <w:p>
            <w:pPr>
              <w:numPr>
                <w:ilvl w:val="0"/>
                <w:numId w:val="10"/>
              </w:num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现有工程</w:t>
            </w:r>
            <w:r>
              <w:rPr>
                <w:rFonts w:hint="eastAsia" w:eastAsia="黑体"/>
                <w:bCs/>
                <w:color w:val="auto"/>
                <w:sz w:val="22"/>
                <w:szCs w:val="22"/>
                <w:lang w:val="en-US" w:eastAsia="zh-CN"/>
              </w:rPr>
              <w:t>基本</w:t>
            </w:r>
            <w:r>
              <w:rPr>
                <w:rFonts w:eastAsia="黑体"/>
                <w:bCs/>
                <w:color w:val="auto"/>
                <w:sz w:val="22"/>
                <w:szCs w:val="22"/>
              </w:rPr>
              <w:t>情况</w:t>
            </w:r>
          </w:p>
          <w:p>
            <w:pPr>
              <w:numPr>
                <w:ilvl w:val="0"/>
                <w:numId w:val="0"/>
              </w:numPr>
              <w:adjustRightInd w:val="0"/>
              <w:snapToGrid w:val="0"/>
              <w:spacing w:line="400" w:lineRule="exact"/>
              <w:ind w:right="-53" w:rightChars="-25" w:firstLine="420" w:firstLineChars="200"/>
              <w:jc w:val="left"/>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本项目搬迁前储油间（现有工程）位于宣汉县普光经济开发区柳池工业园内，租用宣汉县弘泰电化有限责任公司（已停产）闲置厂房建设“宣汉闽通再生资源回收储存项目”，从事机动车维修活动中产生的废矿物油收集经营活动。建设有储油车间1个（约450m²），车间内安装双层隔热储油罐1个（φ2.</w:t>
            </w:r>
            <w:r>
              <w:rPr>
                <w:rFonts w:hint="eastAsia" w:cs="Times New Roman"/>
                <w:color w:val="auto"/>
                <w:kern w:val="0"/>
                <w:szCs w:val="21"/>
                <w:lang w:val="en-US" w:eastAsia="zh-CN"/>
              </w:rPr>
              <w:t>8</w:t>
            </w:r>
            <w:r>
              <w:rPr>
                <w:rFonts w:hint="eastAsia" w:ascii="Times New Roman" w:hAnsi="Times New Roman" w:eastAsia="宋体" w:cs="Times New Roman"/>
                <w:color w:val="auto"/>
                <w:kern w:val="0"/>
                <w:szCs w:val="21"/>
                <w:lang w:val="en-US" w:eastAsia="zh-CN"/>
              </w:rPr>
              <w:t>×8.2m），容积约50m</w:t>
            </w:r>
            <w:r>
              <w:rPr>
                <w:rFonts w:hint="eastAsia" w:cs="Times New Roman"/>
                <w:color w:val="0000FF"/>
                <w:kern w:val="0"/>
                <w:szCs w:val="21"/>
                <w:lang w:val="en-US" w:eastAsia="zh-CN"/>
              </w:rPr>
              <w:t>³</w:t>
            </w:r>
            <w:r>
              <w:rPr>
                <w:rFonts w:hint="eastAsia" w:ascii="Times New Roman" w:hAnsi="Times New Roman" w:eastAsia="宋体" w:cs="Times New Roman"/>
                <w:color w:val="auto"/>
                <w:kern w:val="0"/>
                <w:szCs w:val="21"/>
                <w:lang w:val="en-US" w:eastAsia="zh-CN"/>
              </w:rPr>
              <w:t>（正常最大储油量约80%，储油40m³），同时配套安装装卸油的动力泵，并对储存区、装卸区进行防腐防渗，配套建设消防、环保等设施。设计年中转废矿物油2000t。</w:t>
            </w:r>
          </w:p>
          <w:p>
            <w:pPr>
              <w:numPr>
                <w:ilvl w:val="0"/>
                <w:numId w:val="0"/>
              </w:numPr>
              <w:adjustRightInd w:val="0"/>
              <w:snapToGrid w:val="0"/>
              <w:spacing w:line="400" w:lineRule="exact"/>
              <w:ind w:right="-53" w:rightChars="-25" w:firstLine="420" w:firstLineChars="200"/>
              <w:jc w:val="left"/>
              <w:rPr>
                <w:rFonts w:hint="eastAsia" w:ascii="Times New Roman" w:hAnsi="Times New Roman" w:eastAsia="宋体" w:cs="Times New Roman"/>
                <w:color w:val="0000FF"/>
                <w:kern w:val="0"/>
                <w:szCs w:val="21"/>
                <w:lang w:val="en-US" w:eastAsia="zh-CN"/>
              </w:rPr>
            </w:pPr>
            <w:r>
              <w:rPr>
                <w:rFonts w:hint="eastAsia"/>
                <w:color w:val="auto"/>
                <w:kern w:val="0"/>
                <w:szCs w:val="21"/>
                <w:lang w:val="en-US" w:eastAsia="zh-CN"/>
              </w:rPr>
              <w:t>2023年7月12日，达州市闽通环保科技有限公司取得了达州市宣汉生态环境局颁发的《危险废物经营许</w:t>
            </w:r>
            <w:r>
              <w:rPr>
                <w:rFonts w:hint="eastAsia"/>
                <w:color w:val="auto"/>
                <w:kern w:val="0"/>
                <w:szCs w:val="21"/>
                <w:highlight w:val="none"/>
                <w:lang w:val="en-US" w:eastAsia="zh-CN"/>
              </w:rPr>
              <w:t>可证》。</w:t>
            </w:r>
          </w:p>
          <w:p>
            <w:pPr>
              <w:numPr>
                <w:ilvl w:val="0"/>
                <w:numId w:val="11"/>
              </w:numPr>
              <w:adjustRightInd w:val="0"/>
              <w:snapToGrid w:val="0"/>
              <w:spacing w:line="400" w:lineRule="exact"/>
              <w:ind w:left="-53" w:leftChars="-25" w:right="-53" w:rightChars="-25" w:firstLine="440" w:firstLineChars="200"/>
              <w:jc w:val="left"/>
              <w:rPr>
                <w:rFonts w:eastAsia="黑体"/>
                <w:bCs/>
                <w:color w:val="auto"/>
                <w:sz w:val="22"/>
                <w:szCs w:val="22"/>
              </w:rPr>
            </w:pPr>
            <w:r>
              <w:rPr>
                <w:rFonts w:eastAsia="黑体"/>
                <w:bCs/>
                <w:color w:val="auto"/>
                <w:sz w:val="22"/>
                <w:szCs w:val="22"/>
              </w:rPr>
              <w:t>现有工程</w:t>
            </w:r>
            <w:r>
              <w:rPr>
                <w:rFonts w:hint="eastAsia" w:eastAsia="黑体"/>
                <w:bCs/>
                <w:color w:val="auto"/>
                <w:sz w:val="22"/>
                <w:szCs w:val="22"/>
              </w:rPr>
              <w:t>环评</w:t>
            </w:r>
            <w:r>
              <w:rPr>
                <w:rFonts w:eastAsia="黑体"/>
                <w:bCs/>
                <w:color w:val="auto"/>
                <w:sz w:val="22"/>
                <w:szCs w:val="22"/>
              </w:rPr>
              <w:t>情况</w:t>
            </w:r>
          </w:p>
          <w:p>
            <w:pPr>
              <w:numPr>
                <w:ilvl w:val="0"/>
                <w:numId w:val="0"/>
              </w:numPr>
              <w:adjustRightInd w:val="0"/>
              <w:snapToGrid w:val="0"/>
              <w:spacing w:line="400" w:lineRule="exact"/>
              <w:ind w:right="-53" w:rightChars="-25" w:firstLine="420" w:firstLineChars="200"/>
              <w:jc w:val="left"/>
              <w:rPr>
                <w:rFonts w:hint="eastAsia"/>
                <w:color w:val="auto"/>
                <w:kern w:val="0"/>
                <w:szCs w:val="21"/>
                <w:lang w:eastAsia="zh-CN"/>
              </w:rPr>
            </w:pPr>
            <w:r>
              <w:rPr>
                <w:rFonts w:hint="default"/>
                <w:color w:val="auto"/>
                <w:kern w:val="0"/>
                <w:szCs w:val="21"/>
                <w:lang w:eastAsia="zh-CN"/>
              </w:rPr>
              <w:t>达州市闽通环保科技有限公司</w:t>
            </w:r>
            <w:r>
              <w:rPr>
                <w:rFonts w:hint="eastAsia"/>
                <w:color w:val="auto"/>
                <w:kern w:val="0"/>
                <w:szCs w:val="21"/>
              </w:rPr>
              <w:t>于</w:t>
            </w:r>
            <w:r>
              <w:rPr>
                <w:rFonts w:hint="eastAsia"/>
                <w:color w:val="auto"/>
                <w:kern w:val="0"/>
                <w:szCs w:val="21"/>
                <w:lang w:eastAsia="zh-CN"/>
              </w:rPr>
              <w:t>20</w:t>
            </w:r>
            <w:r>
              <w:rPr>
                <w:rFonts w:hint="eastAsia"/>
                <w:color w:val="auto"/>
                <w:kern w:val="0"/>
                <w:szCs w:val="21"/>
                <w:lang w:val="en-US" w:eastAsia="zh-CN"/>
              </w:rPr>
              <w:t>22</w:t>
            </w:r>
            <w:r>
              <w:rPr>
                <w:rFonts w:hint="eastAsia"/>
                <w:color w:val="auto"/>
                <w:kern w:val="0"/>
                <w:szCs w:val="21"/>
                <w:lang w:eastAsia="zh-CN"/>
              </w:rPr>
              <w:t>年</w:t>
            </w:r>
            <w:r>
              <w:rPr>
                <w:rFonts w:hint="eastAsia"/>
                <w:color w:val="auto"/>
                <w:kern w:val="0"/>
                <w:szCs w:val="21"/>
                <w:lang w:val="en-US" w:eastAsia="zh-CN"/>
              </w:rPr>
              <w:t>4</w:t>
            </w:r>
            <w:r>
              <w:rPr>
                <w:rFonts w:hint="eastAsia"/>
                <w:color w:val="auto"/>
                <w:kern w:val="0"/>
                <w:szCs w:val="21"/>
                <w:lang w:eastAsia="zh-CN"/>
              </w:rPr>
              <w:t>月</w:t>
            </w:r>
            <w:r>
              <w:rPr>
                <w:rFonts w:hint="eastAsia"/>
                <w:color w:val="auto"/>
                <w:kern w:val="0"/>
                <w:szCs w:val="21"/>
              </w:rPr>
              <w:t>编制了</w:t>
            </w:r>
            <w:r>
              <w:rPr>
                <w:rFonts w:hint="eastAsia"/>
                <w:color w:val="auto"/>
                <w:kern w:val="0"/>
                <w:szCs w:val="21"/>
                <w:lang w:eastAsia="zh-CN"/>
              </w:rPr>
              <w:t>《</w:t>
            </w:r>
            <w:r>
              <w:rPr>
                <w:rFonts w:hint="eastAsia"/>
                <w:color w:val="auto"/>
                <w:kern w:val="0"/>
                <w:szCs w:val="21"/>
                <w:lang w:val="en-US" w:eastAsia="zh-CN"/>
              </w:rPr>
              <w:t>宣汉闽通再生资源回收储存项目环境影响</w:t>
            </w:r>
            <w:r>
              <w:rPr>
                <w:rFonts w:hint="eastAsia"/>
                <w:color w:val="auto"/>
                <w:kern w:val="0"/>
                <w:szCs w:val="21"/>
              </w:rPr>
              <w:t>报告</w:t>
            </w:r>
            <w:r>
              <w:rPr>
                <w:rFonts w:hint="eastAsia"/>
                <w:color w:val="auto"/>
                <w:kern w:val="0"/>
                <w:szCs w:val="21"/>
                <w:lang w:val="en-US" w:eastAsia="zh-CN"/>
              </w:rPr>
              <w:t>表</w:t>
            </w:r>
            <w:r>
              <w:rPr>
                <w:rFonts w:hint="eastAsia"/>
                <w:color w:val="auto"/>
                <w:kern w:val="0"/>
                <w:szCs w:val="21"/>
                <w:lang w:eastAsia="zh-CN"/>
              </w:rPr>
              <w:t>》</w:t>
            </w:r>
            <w:r>
              <w:rPr>
                <w:rFonts w:hint="eastAsia"/>
                <w:color w:val="auto"/>
                <w:kern w:val="0"/>
                <w:szCs w:val="21"/>
                <w:lang w:val="en-US" w:eastAsia="zh-CN"/>
              </w:rPr>
              <w:t>于</w:t>
            </w:r>
            <w:r>
              <w:rPr>
                <w:rFonts w:hint="eastAsia"/>
                <w:color w:val="auto"/>
                <w:kern w:val="0"/>
                <w:szCs w:val="21"/>
                <w:lang w:eastAsia="zh-CN"/>
              </w:rPr>
              <w:t>20</w:t>
            </w:r>
            <w:r>
              <w:rPr>
                <w:rFonts w:hint="eastAsia"/>
                <w:color w:val="auto"/>
                <w:kern w:val="0"/>
                <w:szCs w:val="21"/>
                <w:lang w:val="en-US" w:eastAsia="zh-CN"/>
              </w:rPr>
              <w:t>22</w:t>
            </w:r>
            <w:r>
              <w:rPr>
                <w:rFonts w:hint="eastAsia"/>
                <w:color w:val="auto"/>
                <w:kern w:val="0"/>
                <w:szCs w:val="21"/>
                <w:lang w:eastAsia="zh-CN"/>
              </w:rPr>
              <w:t>年</w:t>
            </w:r>
            <w:r>
              <w:rPr>
                <w:rFonts w:hint="eastAsia"/>
                <w:color w:val="auto"/>
                <w:kern w:val="0"/>
                <w:szCs w:val="21"/>
                <w:lang w:val="en-US" w:eastAsia="zh-CN"/>
              </w:rPr>
              <w:t>5</w:t>
            </w:r>
            <w:r>
              <w:rPr>
                <w:rFonts w:hint="eastAsia"/>
                <w:color w:val="auto"/>
                <w:kern w:val="0"/>
                <w:szCs w:val="21"/>
                <w:lang w:eastAsia="zh-CN"/>
              </w:rPr>
              <w:t>月</w:t>
            </w:r>
            <w:r>
              <w:rPr>
                <w:rFonts w:hint="eastAsia"/>
                <w:color w:val="auto"/>
                <w:kern w:val="0"/>
                <w:szCs w:val="21"/>
                <w:lang w:val="en-US" w:eastAsia="zh-CN"/>
              </w:rPr>
              <w:t>23</w:t>
            </w:r>
            <w:r>
              <w:rPr>
                <w:rFonts w:hint="eastAsia"/>
                <w:color w:val="auto"/>
                <w:kern w:val="0"/>
                <w:szCs w:val="21"/>
                <w:lang w:eastAsia="zh-CN"/>
              </w:rPr>
              <w:t>日</w:t>
            </w:r>
            <w:r>
              <w:rPr>
                <w:rFonts w:hint="eastAsia"/>
                <w:color w:val="auto"/>
                <w:kern w:val="0"/>
                <w:szCs w:val="21"/>
                <w:lang w:val="en-US" w:eastAsia="zh-CN"/>
              </w:rPr>
              <w:t>取得了</w:t>
            </w:r>
            <w:r>
              <w:rPr>
                <w:rFonts w:hint="eastAsia"/>
                <w:color w:val="auto"/>
                <w:kern w:val="0"/>
                <w:szCs w:val="21"/>
                <w:lang w:eastAsia="zh-CN"/>
              </w:rPr>
              <w:t>达州市宣汉生态环境局出具</w:t>
            </w:r>
            <w:r>
              <w:rPr>
                <w:rFonts w:hint="eastAsia"/>
                <w:color w:val="auto"/>
                <w:kern w:val="0"/>
                <w:szCs w:val="21"/>
                <w:lang w:val="en-US" w:eastAsia="zh-CN"/>
              </w:rPr>
              <w:t>的</w:t>
            </w:r>
            <w:r>
              <w:rPr>
                <w:rFonts w:hint="eastAsia"/>
                <w:color w:val="auto"/>
                <w:kern w:val="0"/>
                <w:szCs w:val="21"/>
                <w:lang w:eastAsia="zh-CN"/>
              </w:rPr>
              <w:t>《关于宣汉闽通再生资源回收储存项目环境影响报告表的批复》。</w:t>
            </w:r>
          </w:p>
          <w:p>
            <w:pPr>
              <w:numPr>
                <w:ilvl w:val="0"/>
                <w:numId w:val="11"/>
              </w:numPr>
              <w:adjustRightInd w:val="0"/>
              <w:snapToGrid w:val="0"/>
              <w:spacing w:line="400" w:lineRule="exact"/>
              <w:ind w:left="-53" w:leftChars="-25" w:right="-53" w:rightChars="-25" w:firstLine="440" w:firstLineChars="200"/>
              <w:jc w:val="left"/>
              <w:rPr>
                <w:rFonts w:hint="eastAsia" w:eastAsia="黑体"/>
                <w:color w:val="auto"/>
                <w:kern w:val="0"/>
                <w:sz w:val="22"/>
                <w:szCs w:val="22"/>
              </w:rPr>
            </w:pPr>
            <w:r>
              <w:rPr>
                <w:rFonts w:hint="eastAsia" w:eastAsia="黑体"/>
                <w:color w:val="auto"/>
                <w:kern w:val="0"/>
                <w:sz w:val="22"/>
                <w:szCs w:val="22"/>
                <w:lang w:eastAsia="zh-CN"/>
              </w:rPr>
              <w:t>现有</w:t>
            </w:r>
            <w:r>
              <w:rPr>
                <w:rFonts w:hint="eastAsia" w:eastAsia="黑体"/>
                <w:color w:val="auto"/>
                <w:kern w:val="0"/>
                <w:sz w:val="22"/>
                <w:szCs w:val="22"/>
              </w:rPr>
              <w:t>工程验收情况</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lang w:eastAsia="zh-CN"/>
              </w:rPr>
              <w:t>达州市闽通环保科技有限公司</w:t>
            </w:r>
            <w:r>
              <w:rPr>
                <w:rFonts w:hint="eastAsia"/>
                <w:color w:val="auto"/>
                <w:kern w:val="0"/>
                <w:szCs w:val="21"/>
              </w:rPr>
              <w:t>现有工程</w:t>
            </w:r>
            <w:r>
              <w:rPr>
                <w:rFonts w:hint="eastAsia"/>
                <w:color w:val="auto"/>
                <w:kern w:val="0"/>
                <w:szCs w:val="21"/>
                <w:lang w:val="en-US" w:eastAsia="zh-CN"/>
              </w:rPr>
              <w:t>于2022年8月编制了《宣汉闽通再生资源回收储存项目竣工环境保护验收监测报告表》，并于2023年8月13日组织专家进行了验收，出具了《宣汉闽通再生资源回收储存项目竣工环境保护验收监测报告表》。验收结论为：本项目符合建设项目竣工环境保护验收条件，同意该项目通过竣工环境保护验收。</w:t>
            </w:r>
          </w:p>
          <w:p>
            <w:pPr>
              <w:numPr>
                <w:ilvl w:val="0"/>
                <w:numId w:val="11"/>
              </w:numPr>
              <w:adjustRightInd w:val="0"/>
              <w:snapToGrid w:val="0"/>
              <w:spacing w:line="400" w:lineRule="exact"/>
              <w:ind w:left="-53" w:leftChars="-25" w:right="-53" w:rightChars="-25" w:firstLine="440" w:firstLineChars="200"/>
              <w:jc w:val="left"/>
              <w:rPr>
                <w:rFonts w:hint="eastAsia" w:eastAsia="黑体"/>
                <w:color w:val="auto"/>
                <w:kern w:val="0"/>
                <w:sz w:val="22"/>
                <w:szCs w:val="22"/>
              </w:rPr>
            </w:pPr>
            <w:r>
              <w:rPr>
                <w:rFonts w:hint="eastAsia" w:eastAsia="黑体"/>
                <w:bCs/>
                <w:color w:val="auto"/>
                <w:sz w:val="22"/>
                <w:szCs w:val="22"/>
                <w:lang w:eastAsia="zh-CN"/>
              </w:rPr>
              <w:t>现有</w:t>
            </w:r>
            <w:r>
              <w:rPr>
                <w:rFonts w:hint="eastAsia" w:ascii="Times New Roman" w:hAnsi="Times New Roman" w:eastAsia="黑体" w:cs="Times New Roman"/>
                <w:bCs/>
                <w:color w:val="auto"/>
                <w:sz w:val="22"/>
                <w:szCs w:val="22"/>
              </w:rPr>
              <w:t>工程</w:t>
            </w:r>
            <w:r>
              <w:rPr>
                <w:rFonts w:hint="eastAsia" w:eastAsia="黑体"/>
                <w:color w:val="auto"/>
                <w:kern w:val="0"/>
                <w:sz w:val="22"/>
                <w:szCs w:val="22"/>
              </w:rPr>
              <w:t>排污许可手续办理情况</w:t>
            </w:r>
          </w:p>
          <w:p>
            <w:pPr>
              <w:autoSpaceDE w:val="0"/>
              <w:autoSpaceDN w:val="0"/>
              <w:adjustRightInd w:val="0"/>
              <w:snapToGrid w:val="0"/>
              <w:spacing w:line="400" w:lineRule="exact"/>
              <w:ind w:left="-31" w:leftChars="-15" w:right="-31" w:rightChars="-15" w:firstLine="420" w:firstLineChars="200"/>
              <w:rPr>
                <w:color w:val="auto"/>
                <w:kern w:val="0"/>
                <w:szCs w:val="21"/>
              </w:rPr>
            </w:pPr>
            <w:r>
              <w:rPr>
                <w:rFonts w:hint="eastAsia"/>
                <w:color w:val="auto"/>
                <w:kern w:val="0"/>
                <w:szCs w:val="21"/>
                <w:lang w:eastAsia="zh-CN"/>
              </w:rPr>
              <w:t>达州市闽通环保科技有限公司现有工程</w:t>
            </w:r>
            <w:r>
              <w:rPr>
                <w:rFonts w:hint="eastAsia"/>
                <w:color w:val="auto"/>
                <w:kern w:val="0"/>
                <w:szCs w:val="21"/>
                <w:lang w:val="en-US" w:eastAsia="zh-CN"/>
              </w:rPr>
              <w:t>取得了《固定污染源排污登记回执》，登记编号：************，完善了排污许可手续</w:t>
            </w:r>
            <w:r>
              <w:rPr>
                <w:color w:val="auto"/>
                <w:kern w:val="0"/>
                <w:szCs w:val="21"/>
                <w:highlight w:val="none"/>
              </w:rPr>
              <w:t>。</w:t>
            </w:r>
          </w:p>
          <w:p>
            <w:pPr>
              <w:numPr>
                <w:ilvl w:val="0"/>
                <w:numId w:val="11"/>
              </w:numPr>
              <w:adjustRightInd w:val="0"/>
              <w:snapToGrid w:val="0"/>
              <w:spacing w:line="400" w:lineRule="exact"/>
              <w:ind w:left="-53" w:leftChars="-25" w:right="-53" w:rightChars="-25" w:firstLine="440" w:firstLineChars="200"/>
              <w:jc w:val="left"/>
              <w:rPr>
                <w:rFonts w:hint="eastAsia" w:eastAsia="黑体"/>
                <w:color w:val="auto"/>
                <w:kern w:val="0"/>
                <w:sz w:val="22"/>
                <w:szCs w:val="22"/>
              </w:rPr>
            </w:pPr>
            <w:r>
              <w:rPr>
                <w:rFonts w:hint="eastAsia" w:eastAsia="黑体"/>
                <w:bCs/>
                <w:color w:val="auto"/>
                <w:sz w:val="22"/>
                <w:szCs w:val="22"/>
                <w:lang w:val="en-US" w:eastAsia="zh-CN"/>
              </w:rPr>
              <w:t>应急预案编制情况</w:t>
            </w:r>
          </w:p>
          <w:p>
            <w:pPr>
              <w:autoSpaceDE w:val="0"/>
              <w:autoSpaceDN w:val="0"/>
              <w:adjustRightInd w:val="0"/>
              <w:snapToGrid w:val="0"/>
              <w:spacing w:line="400" w:lineRule="exact"/>
              <w:ind w:left="-31" w:leftChars="-15" w:right="-31" w:rightChars="-15" w:firstLine="420" w:firstLineChars="200"/>
              <w:rPr>
                <w:rFonts w:hint="eastAsia" w:eastAsia="宋体"/>
                <w:color w:val="auto"/>
                <w:kern w:val="0"/>
                <w:szCs w:val="21"/>
                <w:lang w:val="en-US" w:eastAsia="zh-CN"/>
              </w:rPr>
            </w:pPr>
            <w:r>
              <w:rPr>
                <w:rFonts w:hint="eastAsia"/>
                <w:color w:val="auto"/>
                <w:kern w:val="0"/>
                <w:szCs w:val="21"/>
                <w:lang w:val="en-US" w:eastAsia="zh-CN"/>
              </w:rPr>
              <w:t>达州市闽通环保科技有限公司于2022年6月编制了《突发环境事件应急预案》，并于2022年6月29日在达州市宣汉生态环境局完成了备案</w:t>
            </w:r>
            <w:r>
              <w:rPr>
                <w:color w:val="auto"/>
                <w:kern w:val="0"/>
                <w:szCs w:val="21"/>
                <w:highlight w:val="none"/>
              </w:rPr>
              <w:t>。</w:t>
            </w:r>
            <w:r>
              <w:rPr>
                <w:rFonts w:hint="eastAsia"/>
                <w:color w:val="auto"/>
                <w:kern w:val="0"/>
                <w:szCs w:val="21"/>
                <w:highlight w:val="none"/>
                <w:lang w:val="en-US" w:eastAsia="zh-CN"/>
              </w:rPr>
              <w:t xml:space="preserve"> </w:t>
            </w:r>
          </w:p>
          <w:p>
            <w:pPr>
              <w:numPr>
                <w:ilvl w:val="0"/>
                <w:numId w:val="10"/>
              </w:numPr>
              <w:adjustRightInd w:val="0"/>
              <w:snapToGrid w:val="0"/>
              <w:spacing w:line="400" w:lineRule="exact"/>
              <w:ind w:left="-53" w:leftChars="-25" w:right="-53" w:rightChars="-25"/>
              <w:jc w:val="left"/>
              <w:rPr>
                <w:rFonts w:eastAsia="黑体"/>
                <w:bCs/>
                <w:color w:val="auto"/>
                <w:sz w:val="22"/>
                <w:szCs w:val="22"/>
              </w:rPr>
            </w:pPr>
            <w:r>
              <w:rPr>
                <w:rFonts w:ascii="Times New Roman" w:hAnsi="Times New Roman" w:eastAsia="黑体" w:cs="Times New Roman"/>
                <w:bCs/>
                <w:color w:val="auto"/>
                <w:sz w:val="22"/>
                <w:szCs w:val="22"/>
              </w:rPr>
              <w:t>现有</w:t>
            </w:r>
            <w:r>
              <w:rPr>
                <w:rFonts w:eastAsia="黑体"/>
                <w:bCs/>
                <w:color w:val="auto"/>
                <w:sz w:val="22"/>
                <w:szCs w:val="22"/>
              </w:rPr>
              <w:t>工程污染物产排情况及治理措施</w:t>
            </w:r>
          </w:p>
          <w:p>
            <w:pPr>
              <w:autoSpaceDE w:val="0"/>
              <w:autoSpaceDN w:val="0"/>
              <w:adjustRightInd w:val="0"/>
              <w:snapToGrid w:val="0"/>
              <w:spacing w:line="400" w:lineRule="exact"/>
              <w:ind w:firstLine="420" w:firstLineChars="200"/>
              <w:jc w:val="left"/>
              <w:rPr>
                <w:rFonts w:hint="eastAsia" w:eastAsia="宋体"/>
                <w:color w:val="auto"/>
                <w:kern w:val="0"/>
                <w:szCs w:val="21"/>
                <w:lang w:val="en-US" w:eastAsia="zh-CN"/>
              </w:rPr>
            </w:pPr>
            <w:r>
              <w:rPr>
                <w:rFonts w:hint="eastAsia"/>
                <w:color w:val="auto"/>
                <w:kern w:val="0"/>
                <w:szCs w:val="21"/>
                <w:lang w:val="en-US" w:eastAsia="zh-CN"/>
              </w:rPr>
              <w:t>本次评价主要根据2023年的排污监测资料、验收报告说明现有工程营运期污染物的产、排情况</w:t>
            </w:r>
            <w:r>
              <w:rPr>
                <w:rFonts w:hint="eastAsia"/>
                <w:color w:val="auto"/>
                <w:kern w:val="0"/>
                <w:szCs w:val="21"/>
              </w:rPr>
              <w:t>。</w:t>
            </w:r>
            <w:r>
              <w:rPr>
                <w:rFonts w:hint="eastAsia"/>
                <w:color w:val="auto"/>
                <w:kern w:val="0"/>
                <w:szCs w:val="21"/>
                <w:lang w:val="en-US" w:eastAsia="zh-CN"/>
              </w:rPr>
              <w:t xml:space="preserve"> </w:t>
            </w:r>
          </w:p>
          <w:p>
            <w:pPr>
              <w:autoSpaceDE w:val="0"/>
              <w:autoSpaceDN w:val="0"/>
              <w:adjustRightInd w:val="0"/>
              <w:snapToGrid w:val="0"/>
              <w:spacing w:line="400" w:lineRule="exact"/>
              <w:ind w:firstLine="422" w:firstLineChars="200"/>
              <w:jc w:val="left"/>
              <w:rPr>
                <w:b/>
                <w:bCs/>
                <w:color w:val="auto"/>
                <w:kern w:val="0"/>
                <w:szCs w:val="21"/>
              </w:rPr>
            </w:pPr>
            <w:r>
              <w:rPr>
                <w:b/>
                <w:bCs/>
                <w:color w:val="auto"/>
                <w:kern w:val="0"/>
                <w:szCs w:val="21"/>
              </w:rPr>
              <w:t>（1）废气</w:t>
            </w:r>
          </w:p>
          <w:p>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rPr>
              <w:t>现有</w:t>
            </w:r>
            <w:r>
              <w:rPr>
                <w:rFonts w:hint="eastAsia"/>
                <w:color w:val="auto"/>
                <w:kern w:val="0"/>
                <w:szCs w:val="21"/>
                <w:lang w:val="en-US" w:eastAsia="zh-CN"/>
              </w:rPr>
              <w:t>项目运营期废气主要为废矿物油装卸及贮存过程产生的挥发性有机废气。</w:t>
            </w:r>
          </w:p>
          <w:p>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lang w:val="en-US" w:eastAsia="zh-CN"/>
              </w:rPr>
              <w:t>本项目双层隔热储油罐为封闭结构，仅罐体顶部留有装卸口，废矿物油由专用车辆运回厂区，通过管道和输油泵将收集的桶装废矿物油输送至储存罐内，向处理资质单位中转时，也由管道和输油泵输送至封闭车辆内，产生的挥发性气体很少。厂区周围地势开阔，通风效果良好，产生的少量废气对周围环境影响较小。</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根据建设单位提供的</w:t>
            </w:r>
            <w:r>
              <w:rPr>
                <w:rFonts w:hint="eastAsia" w:cs="Times New Roman"/>
                <w:color w:val="auto"/>
                <w:kern w:val="0"/>
                <w:szCs w:val="21"/>
                <w:lang w:val="en-US" w:eastAsia="zh-CN"/>
              </w:rPr>
              <w:t>2023年排污</w:t>
            </w:r>
            <w:r>
              <w:rPr>
                <w:rFonts w:hint="default" w:ascii="Times New Roman" w:hAnsi="Times New Roman" w:cs="Times New Roman"/>
                <w:color w:val="auto"/>
                <w:kern w:val="0"/>
                <w:szCs w:val="21"/>
                <w:lang w:val="en-US" w:eastAsia="zh-CN"/>
              </w:rPr>
              <w:t>监测报告（融华检测(2023)字第</w:t>
            </w:r>
            <w:r>
              <w:rPr>
                <w:rFonts w:hint="eastAsia" w:cs="Times New Roman"/>
                <w:color w:val="auto"/>
                <w:kern w:val="0"/>
                <w:szCs w:val="21"/>
                <w:lang w:val="en-US" w:eastAsia="zh-CN"/>
              </w:rPr>
              <w:t>101704</w:t>
            </w:r>
            <w:r>
              <w:rPr>
                <w:rFonts w:hint="default" w:ascii="Times New Roman" w:hAnsi="Times New Roman" w:cs="Times New Roman"/>
                <w:color w:val="auto"/>
                <w:kern w:val="0"/>
                <w:szCs w:val="21"/>
                <w:lang w:val="en-US" w:eastAsia="zh-CN"/>
              </w:rPr>
              <w:t>号），公司正常</w:t>
            </w:r>
            <w:r>
              <w:rPr>
                <w:rFonts w:hint="eastAsia" w:cs="Times New Roman"/>
                <w:color w:val="auto"/>
                <w:kern w:val="0"/>
                <w:szCs w:val="21"/>
                <w:lang w:val="en-US" w:eastAsia="zh-CN"/>
              </w:rPr>
              <w:t>运行期间</w:t>
            </w:r>
            <w:r>
              <w:rPr>
                <w:rFonts w:hint="default" w:ascii="Times New Roman" w:hAnsi="Times New Roman" w:cs="Times New Roman"/>
                <w:color w:val="auto"/>
                <w:kern w:val="0"/>
                <w:szCs w:val="21"/>
                <w:lang w:val="en-US" w:eastAsia="zh-CN"/>
              </w:rPr>
              <w:t>厂界无组织</w:t>
            </w:r>
            <w:r>
              <w:rPr>
                <w:rFonts w:hint="eastAsia" w:cs="Times New Roman"/>
                <w:color w:val="auto"/>
                <w:kern w:val="0"/>
                <w:szCs w:val="21"/>
                <w:lang w:val="en-US" w:eastAsia="zh-CN"/>
              </w:rPr>
              <w:t>废气排放</w:t>
            </w:r>
            <w:r>
              <w:rPr>
                <w:rFonts w:hint="default" w:ascii="Times New Roman" w:hAnsi="Times New Roman" w:cs="Times New Roman"/>
                <w:color w:val="auto"/>
                <w:kern w:val="0"/>
                <w:szCs w:val="21"/>
                <w:lang w:val="en-US" w:eastAsia="zh-CN"/>
              </w:rPr>
              <w:t>监测数据见下表。</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kern w:val="0"/>
                <w:szCs w:val="21"/>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kern w:val="0"/>
                <w:szCs w:val="21"/>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kern w:val="0"/>
                <w:szCs w:val="21"/>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kern w:val="0"/>
                <w:szCs w:val="21"/>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kern w:val="0"/>
                <w:szCs w:val="21"/>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kern w:val="0"/>
                <w:szCs w:val="21"/>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cs="Times New Roman"/>
                <w:color w:val="auto"/>
                <w:kern w:val="0"/>
                <w:szCs w:val="21"/>
                <w:lang w:val="en-US" w:eastAsia="zh-CN"/>
              </w:rPr>
              <w:t xml:space="preserve"> </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eastAsia" w:eastAsia="黑体" w:cs="Times New Roman"/>
                <w:color w:val="auto"/>
                <w:kern w:val="0"/>
                <w:sz w:val="20"/>
                <w:szCs w:val="20"/>
                <w:highlight w:val="none"/>
                <w:lang w:val="en-US" w:eastAsia="zh-CN"/>
              </w:rPr>
              <w:t>现有工程</w:t>
            </w:r>
            <w:r>
              <w:rPr>
                <w:rFonts w:hint="default" w:ascii="Times New Roman" w:hAnsi="Times New Roman" w:eastAsia="黑体" w:cs="Times New Roman"/>
                <w:color w:val="auto"/>
                <w:kern w:val="0"/>
                <w:sz w:val="20"/>
                <w:szCs w:val="20"/>
                <w:highlight w:val="none"/>
                <w:lang w:val="en-US" w:eastAsia="zh-CN"/>
              </w:rPr>
              <w:t>正常生产期间厂界无组织</w:t>
            </w:r>
            <w:r>
              <w:rPr>
                <w:rFonts w:hint="eastAsia" w:eastAsia="黑体" w:cs="Times New Roman"/>
                <w:color w:val="auto"/>
                <w:kern w:val="0"/>
                <w:sz w:val="20"/>
                <w:szCs w:val="20"/>
                <w:highlight w:val="none"/>
                <w:lang w:val="en-US" w:eastAsia="zh-CN"/>
              </w:rPr>
              <w:t>废气</w:t>
            </w:r>
            <w:r>
              <w:rPr>
                <w:rFonts w:hint="default" w:ascii="Times New Roman" w:hAnsi="Times New Roman" w:eastAsia="黑体" w:cs="Times New Roman"/>
                <w:color w:val="auto"/>
                <w:kern w:val="0"/>
                <w:sz w:val="20"/>
                <w:szCs w:val="20"/>
                <w:highlight w:val="none"/>
                <w:lang w:val="en-US" w:eastAsia="zh-CN"/>
              </w:rPr>
              <w:t>监测结果表</w:t>
            </w:r>
          </w:p>
          <w:tbl>
            <w:tblPr>
              <w:tblStyle w:val="17"/>
              <w:tblW w:w="8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483"/>
              <w:gridCol w:w="1274"/>
              <w:gridCol w:w="705"/>
              <w:gridCol w:w="677"/>
              <w:gridCol w:w="735"/>
              <w:gridCol w:w="622"/>
              <w:gridCol w:w="2229"/>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73"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eastAsia="zh-CN"/>
                    </w:rPr>
                    <w:t>监测</w:t>
                  </w: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w:t>
                  </w:r>
                </w:p>
              </w:tc>
              <w:tc>
                <w:tcPr>
                  <w:tcW w:w="483"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点位</w:t>
                  </w: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编号</w:t>
                  </w:r>
                </w:p>
              </w:tc>
              <w:tc>
                <w:tcPr>
                  <w:tcW w:w="1274"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rPr>
                  </w:pPr>
                  <w:r>
                    <w:rPr>
                      <w:rFonts w:hint="default" w:ascii="Times New Roman" w:hAnsi="Times New Roman" w:cs="Times New Roman"/>
                      <w:b/>
                      <w:bCs/>
                      <w:color w:val="auto"/>
                      <w:sz w:val="18"/>
                      <w:szCs w:val="18"/>
                      <w:lang w:eastAsia="zh-CN"/>
                    </w:rPr>
                    <w:t>监测点位</w:t>
                  </w:r>
                </w:p>
              </w:tc>
              <w:tc>
                <w:tcPr>
                  <w:tcW w:w="211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eastAsia="zh-CN"/>
                    </w:rPr>
                    <w:t>监测</w:t>
                  </w:r>
                  <w:r>
                    <w:rPr>
                      <w:rFonts w:hint="default" w:ascii="Times New Roman" w:hAnsi="Times New Roman" w:eastAsia="宋体" w:cs="Times New Roman"/>
                      <w:b/>
                      <w:bCs/>
                      <w:color w:val="auto"/>
                      <w:sz w:val="18"/>
                      <w:szCs w:val="18"/>
                    </w:rPr>
                    <w:t>结果</w:t>
                  </w:r>
                  <w:r>
                    <w:rPr>
                      <w:rFonts w:hint="default" w:ascii="Times New Roman" w:hAnsi="Times New Roman" w:eastAsia="宋体" w:cs="Times New Roman"/>
                      <w:b/>
                      <w:bCs/>
                      <w:color w:val="auto"/>
                      <w:sz w:val="18"/>
                      <w:szCs w:val="18"/>
                      <w:lang w:eastAsia="zh-CN"/>
                    </w:rPr>
                    <w:t>（</w:t>
                  </w:r>
                  <w:r>
                    <w:rPr>
                      <w:rFonts w:hint="default" w:ascii="Times New Roman" w:hAnsi="Times New Roman" w:eastAsia="宋体" w:cs="Times New Roman"/>
                      <w:b/>
                      <w:bCs/>
                      <w:color w:val="auto"/>
                      <w:sz w:val="18"/>
                      <w:szCs w:val="18"/>
                      <w:lang w:val="en-US" w:eastAsia="zh-CN"/>
                    </w:rPr>
                    <w:t>mg/m³</w:t>
                  </w:r>
                  <w:r>
                    <w:rPr>
                      <w:rFonts w:hint="default" w:ascii="Times New Roman" w:hAnsi="Times New Roman" w:eastAsia="宋体" w:cs="Times New Roman"/>
                      <w:b/>
                      <w:bCs/>
                      <w:color w:val="auto"/>
                      <w:sz w:val="18"/>
                      <w:szCs w:val="18"/>
                      <w:lang w:eastAsia="zh-CN"/>
                    </w:rPr>
                    <w:t>）</w:t>
                  </w:r>
                </w:p>
              </w:tc>
              <w:tc>
                <w:tcPr>
                  <w:tcW w:w="62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均值</w:t>
                  </w:r>
                </w:p>
              </w:tc>
              <w:tc>
                <w:tcPr>
                  <w:tcW w:w="222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执行标准</w:t>
                  </w:r>
                </w:p>
              </w:tc>
              <w:tc>
                <w:tcPr>
                  <w:tcW w:w="89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eastAsia" w:cs="Times New Roman"/>
                      <w:b/>
                      <w:bCs/>
                      <w:color w:val="auto"/>
                      <w:sz w:val="18"/>
                      <w:szCs w:val="18"/>
                      <w:lang w:val="en-US" w:eastAsia="zh-CN"/>
                    </w:rPr>
                  </w:pPr>
                  <w:r>
                    <w:rPr>
                      <w:rFonts w:hint="eastAsia" w:eastAsia="宋体" w:cs="Times New Roman"/>
                      <w:b/>
                      <w:bCs/>
                      <w:color w:val="auto"/>
                      <w:kern w:val="2"/>
                      <w:sz w:val="18"/>
                      <w:szCs w:val="18"/>
                      <w:lang w:val="en-US" w:eastAsia="zh-CN" w:bidi="ar-SA"/>
                    </w:rPr>
                    <w:t>浓度限值</w:t>
                  </w:r>
                  <w:r>
                    <w:rPr>
                      <w:rFonts w:hint="default" w:ascii="Times New Roman" w:hAnsi="Times New Roman" w:eastAsia="宋体" w:cs="Times New Roman"/>
                      <w:b/>
                      <w:bCs/>
                      <w:color w:val="auto"/>
                      <w:sz w:val="18"/>
                      <w:szCs w:val="18"/>
                      <w:lang w:eastAsia="zh-CN"/>
                    </w:rPr>
                    <w:t>（</w:t>
                  </w:r>
                  <w:r>
                    <w:rPr>
                      <w:rFonts w:hint="default" w:ascii="Times New Roman" w:hAnsi="Times New Roman" w:eastAsia="宋体" w:cs="Times New Roman"/>
                      <w:b/>
                      <w:bCs/>
                      <w:color w:val="auto"/>
                      <w:sz w:val="18"/>
                      <w:szCs w:val="18"/>
                      <w:lang w:val="en-US" w:eastAsia="zh-CN"/>
                    </w:rPr>
                    <w:t>mg/m³</w:t>
                  </w:r>
                  <w:r>
                    <w:rPr>
                      <w:rFonts w:hint="default" w:ascii="Times New Roman" w:hAnsi="Times New Roman" w:eastAsia="宋体" w:cs="Times New Roman"/>
                      <w:b/>
                      <w:bCs/>
                      <w:color w:val="auto"/>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7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rPr>
                  </w:pPr>
                </w:p>
              </w:tc>
              <w:tc>
                <w:tcPr>
                  <w:tcW w:w="48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rPr>
                  </w:pPr>
                </w:p>
              </w:tc>
              <w:tc>
                <w:tcPr>
                  <w:tcW w:w="127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rPr>
                  </w:pPr>
                </w:p>
              </w:tc>
              <w:tc>
                <w:tcPr>
                  <w:tcW w:w="211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2023.</w:t>
                  </w:r>
                  <w:r>
                    <w:rPr>
                      <w:rFonts w:hint="eastAsia" w:eastAsia="宋体" w:cs="Times New Roman"/>
                      <w:b/>
                      <w:bCs/>
                      <w:color w:val="auto"/>
                      <w:sz w:val="18"/>
                      <w:szCs w:val="18"/>
                      <w:lang w:val="en-US" w:eastAsia="zh-CN"/>
                    </w:rPr>
                    <w:t>10.10</w:t>
                  </w:r>
                </w:p>
              </w:tc>
              <w:tc>
                <w:tcPr>
                  <w:tcW w:w="62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lang w:val="en-US" w:eastAsia="zh-CN"/>
                    </w:rPr>
                  </w:pPr>
                </w:p>
              </w:tc>
              <w:tc>
                <w:tcPr>
                  <w:tcW w:w="22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lang w:val="en-US" w:eastAsia="zh-CN"/>
                    </w:rPr>
                  </w:pPr>
                </w:p>
              </w:tc>
              <w:tc>
                <w:tcPr>
                  <w:tcW w:w="89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7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color w:val="auto"/>
                      <w:sz w:val="18"/>
                      <w:szCs w:val="18"/>
                    </w:rPr>
                  </w:pPr>
                </w:p>
              </w:tc>
              <w:tc>
                <w:tcPr>
                  <w:tcW w:w="48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color w:val="auto"/>
                      <w:sz w:val="18"/>
                      <w:szCs w:val="18"/>
                    </w:rPr>
                  </w:pPr>
                </w:p>
              </w:tc>
              <w:tc>
                <w:tcPr>
                  <w:tcW w:w="127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color w:val="auto"/>
                      <w:sz w:val="18"/>
                      <w:szCs w:val="18"/>
                    </w:rPr>
                  </w:pP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第一次</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第二次</w:t>
                  </w:r>
                </w:p>
              </w:tc>
              <w:tc>
                <w:tcPr>
                  <w:tcW w:w="7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第三次</w:t>
                  </w:r>
                </w:p>
              </w:tc>
              <w:tc>
                <w:tcPr>
                  <w:tcW w:w="62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rPr>
                  </w:pPr>
                </w:p>
              </w:tc>
              <w:tc>
                <w:tcPr>
                  <w:tcW w:w="22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rPr>
                  </w:pPr>
                </w:p>
              </w:tc>
              <w:tc>
                <w:tcPr>
                  <w:tcW w:w="89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73" w:type="dxa"/>
                  <w:vMerge w:val="restart"/>
                  <w:tcBorders>
                    <w:tl2br w:val="nil"/>
                    <w:tr2bl w:val="nil"/>
                  </w:tcBorders>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jc w:val="center"/>
                    <w:textAlignment w:val="auto"/>
                    <w:rPr>
                      <w:rFonts w:hint="default" w:ascii="Times New Roman" w:hAnsi="Times New Roman" w:eastAsia="宋体" w:cs="Times New Roman"/>
                      <w:color w:val="auto"/>
                      <w:sz w:val="18"/>
                      <w:szCs w:val="18"/>
                    </w:rPr>
                  </w:pPr>
                  <w:r>
                    <w:rPr>
                      <w:rFonts w:hint="eastAsia" w:ascii="Times New Roman" w:eastAsia="宋体" w:cs="Times New Roman"/>
                      <w:color w:val="auto"/>
                      <w:sz w:val="18"/>
                      <w:szCs w:val="18"/>
                      <w:lang w:val="en-US" w:eastAsia="zh-CN"/>
                    </w:rPr>
                    <w:t>非甲非烷总烃</w:t>
                  </w:r>
                </w:p>
              </w:tc>
              <w:tc>
                <w:tcPr>
                  <w:tcW w:w="4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b w:val="0"/>
                      <w:bCs w:val="0"/>
                      <w:color w:val="auto"/>
                      <w:kern w:val="2"/>
                      <w:sz w:val="18"/>
                      <w:szCs w:val="18"/>
                      <w:lang w:val="en-US" w:eastAsia="zh-CN" w:bidi="ar-SA"/>
                    </w:rPr>
                    <w:t>1*</w:t>
                  </w:r>
                </w:p>
              </w:tc>
              <w:tc>
                <w:tcPr>
                  <w:tcW w:w="12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b w:val="0"/>
                      <w:bCs w:val="0"/>
                      <w:color w:val="auto"/>
                      <w:kern w:val="2"/>
                      <w:sz w:val="18"/>
                      <w:szCs w:val="18"/>
                      <w:lang w:val="en-US" w:eastAsia="zh-CN" w:bidi="ar-SA"/>
                    </w:rPr>
                    <w:t>项目北侧界外</w:t>
                  </w:r>
                </w:p>
              </w:tc>
              <w:tc>
                <w:tcPr>
                  <w:tcW w:w="7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0.59</w:t>
                  </w:r>
                </w:p>
              </w:tc>
              <w:tc>
                <w:tcPr>
                  <w:tcW w:w="6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0.55</w:t>
                  </w:r>
                </w:p>
              </w:tc>
              <w:tc>
                <w:tcPr>
                  <w:tcW w:w="7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0.61</w:t>
                  </w:r>
                </w:p>
              </w:tc>
              <w:tc>
                <w:tcPr>
                  <w:tcW w:w="6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0.58</w:t>
                  </w:r>
                </w:p>
              </w:tc>
              <w:tc>
                <w:tcPr>
                  <w:tcW w:w="22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eastAsia"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《大气污染物综合排放标准》（GB16297-1996）表2的限值要求</w:t>
                  </w:r>
                </w:p>
              </w:tc>
              <w:tc>
                <w:tcPr>
                  <w:tcW w:w="89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7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Cs/>
                      <w:color w:val="auto"/>
                      <w:sz w:val="18"/>
                      <w:szCs w:val="18"/>
                    </w:rPr>
                  </w:pPr>
                </w:p>
              </w:tc>
              <w:tc>
                <w:tcPr>
                  <w:tcW w:w="4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b w:val="0"/>
                      <w:bCs w:val="0"/>
                      <w:color w:val="auto"/>
                      <w:kern w:val="2"/>
                      <w:sz w:val="18"/>
                      <w:szCs w:val="18"/>
                      <w:lang w:val="en-US" w:eastAsia="zh-CN" w:bidi="ar-SA"/>
                    </w:rPr>
                    <w:t>2*</w:t>
                  </w:r>
                </w:p>
              </w:tc>
              <w:tc>
                <w:tcPr>
                  <w:tcW w:w="12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b w:val="0"/>
                      <w:bCs w:val="0"/>
                      <w:color w:val="auto"/>
                      <w:kern w:val="2"/>
                      <w:sz w:val="18"/>
                      <w:szCs w:val="18"/>
                      <w:lang w:val="en-US" w:eastAsia="zh-CN" w:bidi="ar-SA"/>
                    </w:rPr>
                    <w:t>项目</w:t>
                  </w:r>
                  <w:r>
                    <w:rPr>
                      <w:rFonts w:hint="eastAsia" w:eastAsia="宋体" w:cs="Times New Roman"/>
                      <w:b w:val="0"/>
                      <w:bCs w:val="0"/>
                      <w:color w:val="auto"/>
                      <w:kern w:val="2"/>
                      <w:sz w:val="18"/>
                      <w:szCs w:val="18"/>
                      <w:lang w:val="en-US" w:eastAsia="zh-CN" w:bidi="ar-SA"/>
                    </w:rPr>
                    <w:t>南</w:t>
                  </w:r>
                  <w:r>
                    <w:rPr>
                      <w:rFonts w:hint="default" w:ascii="Times New Roman" w:hAnsi="Times New Roman" w:eastAsia="宋体" w:cs="Times New Roman"/>
                      <w:b w:val="0"/>
                      <w:bCs w:val="0"/>
                      <w:color w:val="auto"/>
                      <w:kern w:val="2"/>
                      <w:sz w:val="18"/>
                      <w:szCs w:val="18"/>
                      <w:lang w:val="en-US" w:eastAsia="zh-CN" w:bidi="ar-SA"/>
                    </w:rPr>
                    <w:t>侧界外</w:t>
                  </w:r>
                </w:p>
              </w:tc>
              <w:tc>
                <w:tcPr>
                  <w:tcW w:w="7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0.59</w:t>
                  </w:r>
                </w:p>
              </w:tc>
              <w:tc>
                <w:tcPr>
                  <w:tcW w:w="6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0.57</w:t>
                  </w:r>
                </w:p>
              </w:tc>
              <w:tc>
                <w:tcPr>
                  <w:tcW w:w="7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0.54</w:t>
                  </w:r>
                </w:p>
              </w:tc>
              <w:tc>
                <w:tcPr>
                  <w:tcW w:w="6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0.57</w:t>
                  </w:r>
                </w:p>
              </w:tc>
              <w:tc>
                <w:tcPr>
                  <w:tcW w:w="22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eastAsia" w:eastAsia="宋体" w:cs="Times New Roman"/>
                      <w:b w:val="0"/>
                      <w:bCs w:val="0"/>
                      <w:color w:val="auto"/>
                      <w:kern w:val="2"/>
                      <w:sz w:val="18"/>
                      <w:szCs w:val="18"/>
                      <w:lang w:val="en-US" w:eastAsia="zh-CN" w:bidi="ar-SA"/>
                    </w:rPr>
                  </w:pPr>
                </w:p>
              </w:tc>
              <w:tc>
                <w:tcPr>
                  <w:tcW w:w="89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eastAsia" w:eastAsia="宋体" w:cs="Times New Roman"/>
                      <w:b w:val="0"/>
                      <w:bCs w:val="0"/>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7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Cs/>
                      <w:color w:val="auto"/>
                      <w:sz w:val="18"/>
                      <w:szCs w:val="18"/>
                    </w:rPr>
                  </w:pPr>
                </w:p>
              </w:tc>
              <w:tc>
                <w:tcPr>
                  <w:tcW w:w="4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b w:val="0"/>
                      <w:bCs w:val="0"/>
                      <w:color w:val="auto"/>
                      <w:kern w:val="2"/>
                      <w:sz w:val="18"/>
                      <w:szCs w:val="18"/>
                      <w:lang w:val="en-US" w:eastAsia="zh-CN" w:bidi="ar-SA"/>
                    </w:rPr>
                    <w:t>3*</w:t>
                  </w:r>
                </w:p>
              </w:tc>
              <w:tc>
                <w:tcPr>
                  <w:tcW w:w="12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b w:val="0"/>
                      <w:bCs w:val="0"/>
                      <w:color w:val="auto"/>
                      <w:kern w:val="2"/>
                      <w:sz w:val="18"/>
                      <w:szCs w:val="18"/>
                      <w:lang w:val="en-US" w:eastAsia="zh-CN" w:bidi="ar-SA"/>
                    </w:rPr>
                    <w:t>项目</w:t>
                  </w:r>
                  <w:r>
                    <w:rPr>
                      <w:rFonts w:hint="eastAsia" w:eastAsia="宋体" w:cs="Times New Roman"/>
                      <w:b w:val="0"/>
                      <w:bCs w:val="0"/>
                      <w:color w:val="auto"/>
                      <w:kern w:val="2"/>
                      <w:sz w:val="18"/>
                      <w:szCs w:val="18"/>
                      <w:lang w:val="en-US" w:eastAsia="zh-CN" w:bidi="ar-SA"/>
                    </w:rPr>
                    <w:t>西</w:t>
                  </w:r>
                  <w:r>
                    <w:rPr>
                      <w:rFonts w:hint="default" w:ascii="Times New Roman" w:hAnsi="Times New Roman" w:eastAsia="宋体" w:cs="Times New Roman"/>
                      <w:b w:val="0"/>
                      <w:bCs w:val="0"/>
                      <w:color w:val="auto"/>
                      <w:kern w:val="2"/>
                      <w:sz w:val="18"/>
                      <w:szCs w:val="18"/>
                      <w:lang w:val="en-US" w:eastAsia="zh-CN" w:bidi="ar-SA"/>
                    </w:rPr>
                    <w:t>侧界外</w:t>
                  </w:r>
                </w:p>
              </w:tc>
              <w:tc>
                <w:tcPr>
                  <w:tcW w:w="7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0.59</w:t>
                  </w:r>
                </w:p>
              </w:tc>
              <w:tc>
                <w:tcPr>
                  <w:tcW w:w="6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0.65</w:t>
                  </w:r>
                </w:p>
              </w:tc>
              <w:tc>
                <w:tcPr>
                  <w:tcW w:w="7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0.56</w:t>
                  </w:r>
                </w:p>
              </w:tc>
              <w:tc>
                <w:tcPr>
                  <w:tcW w:w="6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0.60</w:t>
                  </w:r>
                </w:p>
              </w:tc>
              <w:tc>
                <w:tcPr>
                  <w:tcW w:w="22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eastAsia" w:eastAsia="宋体" w:cs="Times New Roman"/>
                      <w:b w:val="0"/>
                      <w:bCs w:val="0"/>
                      <w:color w:val="auto"/>
                      <w:kern w:val="2"/>
                      <w:sz w:val="18"/>
                      <w:szCs w:val="18"/>
                      <w:lang w:val="en-US" w:eastAsia="zh-CN" w:bidi="ar-SA"/>
                    </w:rPr>
                  </w:pPr>
                </w:p>
              </w:tc>
              <w:tc>
                <w:tcPr>
                  <w:tcW w:w="89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eastAsia" w:eastAsia="宋体" w:cs="Times New Roman"/>
                      <w:b w:val="0"/>
                      <w:bCs w:val="0"/>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57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53" w:leftChars="-25" w:right="-53" w:rightChars="-25"/>
                    <w:jc w:val="center"/>
                    <w:textAlignment w:val="auto"/>
                    <w:rPr>
                      <w:rFonts w:hint="default" w:ascii="Times New Roman" w:hAnsi="Times New Roman" w:eastAsia="宋体" w:cs="Times New Roman"/>
                      <w:bCs/>
                      <w:color w:val="auto"/>
                      <w:sz w:val="18"/>
                      <w:szCs w:val="18"/>
                    </w:rPr>
                  </w:pPr>
                </w:p>
              </w:tc>
              <w:tc>
                <w:tcPr>
                  <w:tcW w:w="4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b w:val="0"/>
                      <w:bCs w:val="0"/>
                      <w:color w:val="auto"/>
                      <w:kern w:val="2"/>
                      <w:sz w:val="18"/>
                      <w:szCs w:val="18"/>
                      <w:lang w:val="en-US" w:eastAsia="zh-CN" w:bidi="ar-SA"/>
                    </w:rPr>
                    <w:t>4*</w:t>
                  </w:r>
                </w:p>
              </w:tc>
              <w:tc>
                <w:tcPr>
                  <w:tcW w:w="12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color w:val="auto"/>
                      <w:sz w:val="18"/>
                      <w:szCs w:val="18"/>
                      <w:lang w:val="en-US"/>
                    </w:rPr>
                  </w:pPr>
                  <w:r>
                    <w:rPr>
                      <w:rFonts w:hint="eastAsia" w:eastAsia="宋体" w:cs="Times New Roman"/>
                      <w:b w:val="0"/>
                      <w:bCs w:val="0"/>
                      <w:color w:val="auto"/>
                      <w:kern w:val="2"/>
                      <w:sz w:val="18"/>
                      <w:szCs w:val="18"/>
                      <w:lang w:val="en-US" w:eastAsia="zh-CN" w:bidi="ar-SA"/>
                    </w:rPr>
                    <w:t>储存车间大门口</w:t>
                  </w:r>
                </w:p>
              </w:tc>
              <w:tc>
                <w:tcPr>
                  <w:tcW w:w="7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0.70</w:t>
                  </w:r>
                </w:p>
              </w:tc>
              <w:tc>
                <w:tcPr>
                  <w:tcW w:w="6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0.68</w:t>
                  </w:r>
                </w:p>
              </w:tc>
              <w:tc>
                <w:tcPr>
                  <w:tcW w:w="7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0.63</w:t>
                  </w:r>
                </w:p>
              </w:tc>
              <w:tc>
                <w:tcPr>
                  <w:tcW w:w="6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ascii="Times New Roman" w:hAnsi="Times New Roman"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0.67</w:t>
                  </w:r>
                </w:p>
              </w:tc>
              <w:tc>
                <w:tcPr>
                  <w:tcW w:w="22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eastAsia" w:eastAsia="宋体" w:cs="Times New Roman"/>
                      <w:b w:val="0"/>
                      <w:bCs w:val="0"/>
                      <w:color w:val="auto"/>
                      <w:kern w:val="2"/>
                      <w:sz w:val="18"/>
                      <w:szCs w:val="18"/>
                      <w:lang w:val="en-US" w:eastAsia="zh-CN" w:bidi="ar-SA"/>
                    </w:rPr>
                  </w:pPr>
                  <w:r>
                    <w:rPr>
                      <w:rFonts w:hint="eastAsia" w:eastAsia="宋体" w:cs="Times New Roman"/>
                      <w:b w:val="0"/>
                      <w:bCs w:val="0"/>
                      <w:color w:val="auto"/>
                      <w:kern w:val="2"/>
                      <w:sz w:val="18"/>
                      <w:szCs w:val="18"/>
                      <w:lang w:val="en-US" w:eastAsia="zh-CN" w:bidi="ar-SA"/>
                    </w:rPr>
                    <w:t>《挥发性有机物无组织排放标准》（GB 37822-2019）附录A中</w:t>
                  </w:r>
                  <w:r>
                    <w:rPr>
                      <w:rFonts w:hint="eastAsia" w:cs="Times New Roman"/>
                      <w:b w:val="0"/>
                      <w:bCs w:val="0"/>
                      <w:color w:val="auto"/>
                      <w:kern w:val="2"/>
                      <w:sz w:val="18"/>
                      <w:szCs w:val="18"/>
                      <w:lang w:val="en-US" w:eastAsia="zh-CN" w:bidi="ar-SA"/>
                    </w:rPr>
                    <w:t>特别</w:t>
                  </w:r>
                  <w:r>
                    <w:rPr>
                      <w:rFonts w:hint="eastAsia" w:eastAsia="宋体" w:cs="Times New Roman"/>
                      <w:b w:val="0"/>
                      <w:bCs w:val="0"/>
                      <w:color w:val="auto"/>
                      <w:kern w:val="2"/>
                      <w:sz w:val="18"/>
                      <w:szCs w:val="18"/>
                      <w:lang w:val="en-US" w:eastAsia="zh-CN" w:bidi="ar-SA"/>
                    </w:rPr>
                    <w:t>限值要求</w:t>
                  </w:r>
                </w:p>
              </w:tc>
              <w:tc>
                <w:tcPr>
                  <w:tcW w:w="8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firstLine="0" w:firstLineChars="0"/>
                    <w:jc w:val="center"/>
                    <w:textAlignment w:val="auto"/>
                    <w:outlineLvl w:val="9"/>
                    <w:rPr>
                      <w:rFonts w:hint="default" w:eastAsia="宋体" w:cs="Times New Roman"/>
                      <w:b w:val="0"/>
                      <w:bCs w:val="0"/>
                      <w:color w:val="auto"/>
                      <w:kern w:val="2"/>
                      <w:sz w:val="18"/>
                      <w:szCs w:val="18"/>
                      <w:lang w:val="en-US" w:eastAsia="zh-CN" w:bidi="ar-SA"/>
                    </w:rPr>
                  </w:pPr>
                  <w:r>
                    <w:rPr>
                      <w:rFonts w:hint="eastAsia" w:cs="Times New Roman"/>
                      <w:b w:val="0"/>
                      <w:bCs w:val="0"/>
                      <w:color w:val="auto"/>
                      <w:kern w:val="2"/>
                      <w:sz w:val="18"/>
                      <w:szCs w:val="18"/>
                      <w:lang w:val="en-US" w:eastAsia="zh-CN" w:bidi="ar-SA"/>
                    </w:rPr>
                    <w:t>6</w:t>
                  </w:r>
                  <w:r>
                    <w:rPr>
                      <w:rFonts w:hint="eastAsia" w:eastAsia="宋体" w:cs="Times New Roman"/>
                      <w:b w:val="0"/>
                      <w:bCs w:val="0"/>
                      <w:color w:val="auto"/>
                      <w:kern w:val="2"/>
                      <w:sz w:val="18"/>
                      <w:szCs w:val="18"/>
                      <w:lang w:val="en-US" w:eastAsia="zh-CN" w:bidi="ar-SA"/>
                    </w:rPr>
                    <w:t>.0</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both"/>
              <w:textAlignment w:val="auto"/>
              <w:rPr>
                <w:rFonts w:hint="default" w:ascii="Times New Roman" w:hAnsi="Times New Roman" w:cs="Times New Roman"/>
                <w:b/>
                <w:bCs/>
                <w:color w:val="auto"/>
                <w:kern w:val="0"/>
                <w:szCs w:val="21"/>
                <w:lang w:val="en-US" w:eastAsia="zh-CN"/>
              </w:rPr>
            </w:pPr>
            <w:r>
              <w:rPr>
                <w:rFonts w:hint="default" w:ascii="Times New Roman" w:hAnsi="Times New Roman" w:cs="Times New Roman"/>
                <w:b w:val="0"/>
                <w:bCs w:val="0"/>
                <w:color w:val="auto"/>
                <w:kern w:val="0"/>
                <w:szCs w:val="21"/>
                <w:lang w:val="en-US" w:eastAsia="zh-CN"/>
              </w:rPr>
              <w:t>由上表可知，现有工程正常</w:t>
            </w:r>
            <w:r>
              <w:rPr>
                <w:rFonts w:hint="eastAsia" w:cs="Times New Roman"/>
                <w:b w:val="0"/>
                <w:bCs w:val="0"/>
                <w:color w:val="auto"/>
                <w:kern w:val="0"/>
                <w:szCs w:val="21"/>
                <w:lang w:val="en-US" w:eastAsia="zh-CN"/>
              </w:rPr>
              <w:t>运行</w:t>
            </w:r>
            <w:r>
              <w:rPr>
                <w:rFonts w:hint="default" w:ascii="Times New Roman" w:hAnsi="Times New Roman" w:cs="Times New Roman"/>
                <w:b w:val="0"/>
                <w:bCs w:val="0"/>
                <w:color w:val="auto"/>
                <w:kern w:val="0"/>
                <w:szCs w:val="21"/>
                <w:lang w:val="en-US" w:eastAsia="zh-CN"/>
              </w:rPr>
              <w:t>期间厂界</w:t>
            </w:r>
            <w:r>
              <w:rPr>
                <w:rFonts w:hint="eastAsia" w:cs="Times New Roman"/>
                <w:b w:val="0"/>
                <w:bCs w:val="0"/>
                <w:color w:val="auto"/>
                <w:kern w:val="0"/>
                <w:szCs w:val="21"/>
                <w:lang w:val="en-US" w:eastAsia="zh-CN"/>
              </w:rPr>
              <w:t>、车间外</w:t>
            </w:r>
            <w:r>
              <w:rPr>
                <w:rFonts w:hint="default" w:ascii="Times New Roman" w:hAnsi="Times New Roman" w:cs="Times New Roman"/>
                <w:b w:val="0"/>
                <w:bCs w:val="0"/>
                <w:color w:val="auto"/>
                <w:kern w:val="0"/>
                <w:szCs w:val="21"/>
                <w:lang w:val="en-US" w:eastAsia="zh-CN"/>
              </w:rPr>
              <w:t>无组织非甲非烷总烃均能够实现达标排放。经核算，现有工程正常</w:t>
            </w:r>
            <w:r>
              <w:rPr>
                <w:rFonts w:hint="eastAsia" w:cs="Times New Roman"/>
                <w:b w:val="0"/>
                <w:bCs w:val="0"/>
                <w:color w:val="auto"/>
                <w:kern w:val="0"/>
                <w:szCs w:val="21"/>
                <w:lang w:val="en-US" w:eastAsia="zh-CN"/>
              </w:rPr>
              <w:t>运行</w:t>
            </w:r>
            <w:r>
              <w:rPr>
                <w:rFonts w:hint="default" w:ascii="Times New Roman" w:hAnsi="Times New Roman" w:cs="Times New Roman"/>
                <w:b w:val="0"/>
                <w:bCs w:val="0"/>
                <w:color w:val="auto"/>
                <w:kern w:val="0"/>
                <w:szCs w:val="21"/>
                <w:lang w:val="en-US" w:eastAsia="zh-CN"/>
              </w:rPr>
              <w:t>无组织非甲非烷总烃排放量0.2t/a。</w:t>
            </w:r>
          </w:p>
          <w:p>
            <w:pPr>
              <w:autoSpaceDE w:val="0"/>
              <w:autoSpaceDN w:val="0"/>
              <w:adjustRightInd w:val="0"/>
              <w:snapToGrid w:val="0"/>
              <w:spacing w:line="400" w:lineRule="exact"/>
              <w:ind w:firstLine="422" w:firstLineChars="200"/>
              <w:jc w:val="left"/>
              <w:rPr>
                <w:b/>
                <w:bCs/>
                <w:color w:val="auto"/>
                <w:kern w:val="0"/>
                <w:szCs w:val="21"/>
              </w:rPr>
            </w:pPr>
            <w:r>
              <w:rPr>
                <w:b/>
                <w:bCs/>
                <w:color w:val="auto"/>
                <w:kern w:val="0"/>
                <w:szCs w:val="21"/>
              </w:rPr>
              <w:t>（2）废水</w:t>
            </w:r>
          </w:p>
          <w:p>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lang w:val="en-US" w:eastAsia="zh-CN"/>
              </w:rPr>
              <w:t>项目现有工程废水主要来源于生活污水，无生产废水产生。</w:t>
            </w:r>
          </w:p>
          <w:p>
            <w:pPr>
              <w:autoSpaceDE w:val="0"/>
              <w:autoSpaceDN w:val="0"/>
              <w:adjustRightInd w:val="0"/>
              <w:snapToGrid w:val="0"/>
              <w:spacing w:line="400" w:lineRule="exact"/>
              <w:ind w:firstLine="420" w:firstLineChars="200"/>
              <w:rPr>
                <w:color w:val="auto"/>
                <w:kern w:val="0"/>
                <w:szCs w:val="21"/>
              </w:rPr>
            </w:pPr>
            <w:r>
              <w:rPr>
                <w:rFonts w:hint="eastAsia"/>
                <w:color w:val="auto"/>
                <w:kern w:val="0"/>
                <w:szCs w:val="21"/>
                <w:lang w:val="en-US" w:eastAsia="zh-CN"/>
              </w:rPr>
              <w:t>项目劳动定员5人，值班人员产生的生活污水经化粪池（50m</w:t>
            </w:r>
            <w:r>
              <w:rPr>
                <w:rFonts w:hint="eastAsia"/>
                <w:color w:val="0000FF"/>
                <w:kern w:val="0"/>
                <w:szCs w:val="21"/>
                <w:lang w:val="en-US" w:eastAsia="zh-CN"/>
              </w:rPr>
              <w:t>³</w:t>
            </w:r>
            <w:r>
              <w:rPr>
                <w:rFonts w:hint="eastAsia"/>
                <w:color w:val="auto"/>
                <w:kern w:val="0"/>
                <w:szCs w:val="21"/>
                <w:lang w:val="en-US" w:eastAsia="zh-CN"/>
              </w:rPr>
              <w:t>）收集后，排入园区污水管网，进入园区污水处理站处理，满足环保要求</w:t>
            </w:r>
            <w:r>
              <w:rPr>
                <w:color w:val="auto"/>
                <w:kern w:val="0"/>
                <w:szCs w:val="21"/>
              </w:rPr>
              <w:t>。</w:t>
            </w:r>
          </w:p>
          <w:p>
            <w:pPr>
              <w:autoSpaceDE w:val="0"/>
              <w:autoSpaceDN w:val="0"/>
              <w:adjustRightInd w:val="0"/>
              <w:snapToGrid w:val="0"/>
              <w:spacing w:line="400" w:lineRule="exact"/>
              <w:ind w:firstLine="422" w:firstLineChars="200"/>
              <w:jc w:val="left"/>
              <w:rPr>
                <w:b/>
                <w:bCs/>
                <w:color w:val="auto"/>
                <w:kern w:val="0"/>
                <w:szCs w:val="21"/>
              </w:rPr>
            </w:pPr>
            <w:r>
              <w:rPr>
                <w:b/>
                <w:bCs/>
                <w:color w:val="auto"/>
                <w:kern w:val="0"/>
                <w:szCs w:val="21"/>
              </w:rPr>
              <w:t>（3）噪声</w:t>
            </w:r>
          </w:p>
          <w:p>
            <w:pPr>
              <w:autoSpaceDE w:val="0"/>
              <w:autoSpaceDN w:val="0"/>
              <w:adjustRightInd w:val="0"/>
              <w:snapToGrid w:val="0"/>
              <w:spacing w:line="400" w:lineRule="exact"/>
              <w:ind w:firstLine="420" w:firstLineChars="200"/>
              <w:jc w:val="left"/>
              <w:rPr>
                <w:rFonts w:hint="eastAsia"/>
                <w:color w:val="auto"/>
                <w:kern w:val="0"/>
                <w:szCs w:val="21"/>
                <w:lang w:eastAsia="zh-CN"/>
              </w:rPr>
            </w:pPr>
            <w:r>
              <w:rPr>
                <w:rFonts w:hint="eastAsia"/>
                <w:color w:val="auto"/>
                <w:kern w:val="0"/>
                <w:szCs w:val="21"/>
                <w:lang w:val="en-US" w:eastAsia="zh-CN"/>
              </w:rPr>
              <w:t>本项目现有工程</w:t>
            </w:r>
            <w:r>
              <w:rPr>
                <w:rFonts w:hint="eastAsia"/>
                <w:color w:val="auto"/>
                <w:kern w:val="0"/>
                <w:szCs w:val="21"/>
              </w:rPr>
              <w:t>噪声主要来源于</w:t>
            </w:r>
            <w:r>
              <w:rPr>
                <w:rFonts w:hint="eastAsia"/>
                <w:color w:val="auto"/>
                <w:kern w:val="0"/>
                <w:szCs w:val="21"/>
                <w:lang w:val="en-US" w:eastAsia="zh-CN"/>
              </w:rPr>
              <w:t>装卸油料时抽油泵、运输车辆</w:t>
            </w:r>
            <w:r>
              <w:rPr>
                <w:rFonts w:hint="eastAsia"/>
                <w:color w:val="auto"/>
                <w:kern w:val="0"/>
                <w:szCs w:val="21"/>
              </w:rPr>
              <w:t>产生的噪声。采取的噪声防治措施如下</w:t>
            </w:r>
            <w:r>
              <w:rPr>
                <w:rFonts w:hint="eastAsia"/>
                <w:color w:val="auto"/>
                <w:kern w:val="0"/>
                <w:szCs w:val="21"/>
                <w:lang w:eastAsia="zh-CN"/>
              </w:rPr>
              <w:t>：</w:t>
            </w:r>
          </w:p>
          <w:p>
            <w:pPr>
              <w:autoSpaceDE w:val="0"/>
              <w:autoSpaceDN w:val="0"/>
              <w:adjustRightInd w:val="0"/>
              <w:snapToGrid w:val="0"/>
              <w:spacing w:line="400" w:lineRule="exact"/>
              <w:ind w:firstLine="420" w:firstLineChars="200"/>
              <w:jc w:val="left"/>
              <w:rPr>
                <w:rFonts w:hint="eastAsia"/>
                <w:color w:val="auto"/>
                <w:kern w:val="0"/>
                <w:szCs w:val="21"/>
                <w:lang w:eastAsia="zh-CN"/>
              </w:rPr>
            </w:pPr>
            <w:r>
              <w:rPr>
                <w:rFonts w:hint="eastAsia"/>
                <w:color w:val="auto"/>
                <w:kern w:val="0"/>
                <w:szCs w:val="21"/>
              </w:rPr>
              <w:t>①</w:t>
            </w:r>
            <w:r>
              <w:rPr>
                <w:rFonts w:hint="eastAsia"/>
                <w:color w:val="auto"/>
                <w:kern w:val="0"/>
                <w:szCs w:val="21"/>
                <w:lang w:eastAsia="zh-CN"/>
              </w:rPr>
              <w:t>项目所用设备均为低噪声的环保型设备；</w:t>
            </w:r>
          </w:p>
          <w:p>
            <w:pPr>
              <w:autoSpaceDE w:val="0"/>
              <w:autoSpaceDN w:val="0"/>
              <w:adjustRightInd w:val="0"/>
              <w:snapToGrid w:val="0"/>
              <w:spacing w:line="400" w:lineRule="exact"/>
              <w:ind w:firstLine="420" w:firstLineChars="200"/>
              <w:jc w:val="left"/>
              <w:rPr>
                <w:rFonts w:hint="eastAsia"/>
                <w:color w:val="auto"/>
                <w:kern w:val="0"/>
                <w:szCs w:val="21"/>
                <w:lang w:eastAsia="zh-CN"/>
              </w:rPr>
            </w:pPr>
            <w:r>
              <w:rPr>
                <w:rFonts w:hint="eastAsia"/>
                <w:color w:val="auto"/>
                <w:kern w:val="0"/>
                <w:szCs w:val="21"/>
              </w:rPr>
              <w:t>②</w:t>
            </w:r>
            <w:r>
              <w:rPr>
                <w:rFonts w:hint="eastAsia"/>
                <w:color w:val="auto"/>
                <w:kern w:val="0"/>
                <w:szCs w:val="21"/>
                <w:lang w:val="en-US" w:eastAsia="zh-CN"/>
              </w:rPr>
              <w:t>设置封闭储存间，周围采用彩钢板封闭</w:t>
            </w:r>
            <w:r>
              <w:rPr>
                <w:rFonts w:hint="eastAsia"/>
                <w:color w:val="auto"/>
                <w:kern w:val="0"/>
                <w:szCs w:val="21"/>
                <w:lang w:eastAsia="zh-CN"/>
              </w:rPr>
              <w:t>；</w:t>
            </w:r>
          </w:p>
          <w:p>
            <w:pPr>
              <w:autoSpaceDE w:val="0"/>
              <w:autoSpaceDN w:val="0"/>
              <w:adjustRightInd w:val="0"/>
              <w:snapToGrid w:val="0"/>
              <w:spacing w:line="400" w:lineRule="exact"/>
              <w:ind w:firstLine="420" w:firstLineChars="200"/>
              <w:jc w:val="left"/>
              <w:rPr>
                <w:rFonts w:hint="eastAsia" w:eastAsia="宋体"/>
                <w:color w:val="auto"/>
                <w:kern w:val="0"/>
                <w:szCs w:val="21"/>
                <w:lang w:eastAsia="zh-CN"/>
              </w:rPr>
            </w:pPr>
            <w:r>
              <w:rPr>
                <w:rFonts w:hint="eastAsia"/>
                <w:color w:val="auto"/>
                <w:kern w:val="0"/>
                <w:szCs w:val="21"/>
              </w:rPr>
              <w:t>③</w:t>
            </w:r>
            <w:r>
              <w:rPr>
                <w:rFonts w:hint="eastAsia"/>
                <w:color w:val="auto"/>
                <w:kern w:val="0"/>
                <w:szCs w:val="21"/>
                <w:lang w:val="en-US" w:eastAsia="zh-CN"/>
              </w:rPr>
              <w:t>加强对运输车辆的管理，禁止鸣笛；运输、装卸作业在昼间进行，夜间不进行运输、装卸作业，减轻了噪声对周围影响。</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kern w:val="0"/>
                <w:szCs w:val="21"/>
                <w:lang w:val="en-US" w:eastAsia="zh-CN"/>
              </w:rPr>
            </w:pPr>
            <w:r>
              <w:rPr>
                <w:rFonts w:hint="eastAsia"/>
                <w:color w:val="auto"/>
                <w:kern w:val="0"/>
                <w:szCs w:val="21"/>
                <w:lang w:val="en-US" w:eastAsia="zh-CN"/>
              </w:rPr>
              <w:t>根据建设单位提供的2023年排污监测报告（融华检测(2023)字第101704号），公司正常运行期间</w:t>
            </w:r>
            <w:r>
              <w:rPr>
                <w:rFonts w:hint="default" w:ascii="Times New Roman" w:hAnsi="Times New Roman" w:cs="Times New Roman"/>
                <w:color w:val="auto"/>
                <w:kern w:val="0"/>
                <w:szCs w:val="21"/>
                <w:lang w:val="en-US" w:eastAsia="zh-CN"/>
              </w:rPr>
              <w:t>，厂界噪声排放情况见下表。</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现有工程正常</w:t>
            </w:r>
            <w:r>
              <w:rPr>
                <w:rFonts w:hint="eastAsia" w:eastAsia="黑体" w:cs="Times New Roman"/>
                <w:color w:val="auto"/>
                <w:kern w:val="0"/>
                <w:sz w:val="20"/>
                <w:szCs w:val="20"/>
                <w:highlight w:val="none"/>
                <w:lang w:val="en-US" w:eastAsia="zh-CN"/>
              </w:rPr>
              <w:t>运行</w:t>
            </w:r>
            <w:r>
              <w:rPr>
                <w:rFonts w:hint="default" w:ascii="Times New Roman" w:hAnsi="Times New Roman" w:eastAsia="黑体" w:cs="Times New Roman"/>
                <w:color w:val="auto"/>
                <w:kern w:val="0"/>
                <w:sz w:val="20"/>
                <w:szCs w:val="20"/>
                <w:highlight w:val="none"/>
                <w:lang w:val="en-US" w:eastAsia="zh-CN"/>
              </w:rPr>
              <w:t>期间噪声排放情况一览表</w:t>
            </w:r>
          </w:p>
          <w:tbl>
            <w:tblPr>
              <w:tblStyle w:val="17"/>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646"/>
              <w:gridCol w:w="2248"/>
              <w:gridCol w:w="1747"/>
              <w:gridCol w:w="1679"/>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blHeader/>
                <w:jc w:val="center"/>
              </w:trPr>
              <w:tc>
                <w:tcPr>
                  <w:tcW w:w="10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cs="Times New Roman"/>
                      <w:b/>
                      <w:color w:val="auto"/>
                      <w:sz w:val="18"/>
                      <w:szCs w:val="18"/>
                      <w:lang w:val="en-US" w:eastAsia="zh-CN"/>
                    </w:rPr>
                    <w:t>监测日期</w:t>
                  </w:r>
                </w:p>
              </w:tc>
              <w:tc>
                <w:tcPr>
                  <w:tcW w:w="6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点位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rPr>
                    <w:t>编号</w:t>
                  </w:r>
                </w:p>
              </w:tc>
              <w:tc>
                <w:tcPr>
                  <w:tcW w:w="224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cs="Times New Roman"/>
                      <w:b/>
                      <w:color w:val="auto"/>
                      <w:sz w:val="18"/>
                      <w:szCs w:val="18"/>
                      <w:lang w:eastAsia="zh-CN"/>
                    </w:rPr>
                    <w:t>监测点位</w:t>
                  </w:r>
                </w:p>
              </w:tc>
              <w:tc>
                <w:tcPr>
                  <w:tcW w:w="17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cs="Times New Roman"/>
                      <w:b/>
                      <w:color w:val="auto"/>
                      <w:sz w:val="18"/>
                      <w:szCs w:val="18"/>
                      <w:lang w:eastAsia="zh-CN"/>
                    </w:rPr>
                    <w:t>监测</w:t>
                  </w:r>
                  <w:r>
                    <w:rPr>
                      <w:rFonts w:hint="default" w:ascii="Times New Roman" w:hAnsi="Times New Roman" w:cs="Times New Roman"/>
                      <w:b/>
                      <w:color w:val="auto"/>
                      <w:sz w:val="18"/>
                      <w:szCs w:val="18"/>
                    </w:rPr>
                    <w:t>时段</w:t>
                  </w:r>
                </w:p>
              </w:tc>
              <w:tc>
                <w:tcPr>
                  <w:tcW w:w="167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lang w:eastAsia="zh-CN"/>
                    </w:rPr>
                    <w:t>监测</w:t>
                  </w:r>
                  <w:r>
                    <w:rPr>
                      <w:rFonts w:hint="default" w:ascii="Times New Roman" w:hAnsi="Times New Roman" w:cs="Times New Roman"/>
                      <w:b/>
                      <w:color w:val="auto"/>
                      <w:sz w:val="18"/>
                      <w:szCs w:val="18"/>
                    </w:rPr>
                    <w:t>结果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color w:val="auto"/>
                      <w:sz w:val="18"/>
                      <w:szCs w:val="18"/>
                    </w:rPr>
                    <w:t>（等效连续A声级）</w:t>
                  </w:r>
                </w:p>
              </w:tc>
              <w:tc>
                <w:tcPr>
                  <w:tcW w:w="8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color w:val="auto"/>
                      <w:sz w:val="18"/>
                      <w:szCs w:val="18"/>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38" w:type="dxa"/>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2023</w:t>
                  </w:r>
                  <w:r>
                    <w:rPr>
                      <w:rFonts w:hint="eastAsia" w:cs="Times New Roman"/>
                      <w:color w:val="auto"/>
                      <w:kern w:val="2"/>
                      <w:sz w:val="18"/>
                      <w:szCs w:val="18"/>
                      <w:lang w:val="en-US" w:eastAsia="zh-CN" w:bidi="ar-SA"/>
                    </w:rPr>
                    <w:t>.10.10</w:t>
                  </w:r>
                </w:p>
              </w:tc>
              <w:tc>
                <w:tcPr>
                  <w:tcW w:w="64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vertAlign w:val="superscript"/>
                    </w:rPr>
                    <w:t>#</w:t>
                  </w:r>
                </w:p>
              </w:tc>
              <w:tc>
                <w:tcPr>
                  <w:tcW w:w="22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sz w:val="18"/>
                      <w:szCs w:val="18"/>
                    </w:rPr>
                    <w:t>项目区</w:t>
                  </w:r>
                  <w:r>
                    <w:rPr>
                      <w:rFonts w:hint="eastAsia" w:cs="Times New Roman"/>
                      <w:color w:val="auto"/>
                      <w:sz w:val="18"/>
                      <w:szCs w:val="18"/>
                      <w:lang w:val="en-US" w:eastAsia="zh-CN"/>
                    </w:rPr>
                    <w:t>南</w:t>
                  </w:r>
                  <w:r>
                    <w:rPr>
                      <w:rFonts w:hint="default" w:ascii="Times New Roman" w:hAnsi="Times New Roman" w:cs="Times New Roman"/>
                      <w:color w:val="auto"/>
                      <w:sz w:val="18"/>
                      <w:szCs w:val="18"/>
                    </w:rPr>
                    <w:t>界外1m</w:t>
                  </w:r>
                  <w:r>
                    <w:rPr>
                      <w:rFonts w:hint="default" w:ascii="Times New Roman" w:hAnsi="Times New Roman" w:cs="Times New Roman"/>
                      <w:color w:val="auto"/>
                      <w:sz w:val="18"/>
                      <w:szCs w:val="18"/>
                      <w:lang w:eastAsia="zh-CN"/>
                    </w:rPr>
                    <w:t>，高</w:t>
                  </w:r>
                  <w:r>
                    <w:rPr>
                      <w:rFonts w:hint="default" w:ascii="Times New Roman" w:hAnsi="Times New Roman" w:cs="Times New Roman"/>
                      <w:color w:val="auto"/>
                      <w:sz w:val="18"/>
                      <w:szCs w:val="18"/>
                      <w:lang w:val="en-US" w:eastAsia="zh-CN"/>
                    </w:rPr>
                    <w:t>1.2m</w:t>
                  </w:r>
                </w:p>
              </w:tc>
              <w:tc>
                <w:tcPr>
                  <w:tcW w:w="174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昼间（</w:t>
                  </w:r>
                  <w:r>
                    <w:rPr>
                      <w:rFonts w:hint="default" w:ascii="Times New Roman" w:hAnsi="Times New Roman" w:eastAsia="宋体" w:cs="Times New Roman"/>
                      <w:color w:val="auto"/>
                      <w:sz w:val="18"/>
                      <w:szCs w:val="18"/>
                      <w:lang w:val="en-US" w:eastAsia="zh-CN"/>
                    </w:rPr>
                    <w:t>15</w:t>
                  </w:r>
                  <w:r>
                    <w:rPr>
                      <w:rFonts w:hint="default" w:ascii="Times New Roman" w:hAnsi="Times New Roman" w:eastAsia="宋体" w:cs="Times New Roman"/>
                      <w:color w:val="auto"/>
                      <w:sz w:val="18"/>
                      <w:szCs w:val="18"/>
                    </w:rPr>
                    <w:t>:</w:t>
                  </w:r>
                  <w:r>
                    <w:rPr>
                      <w:rFonts w:hint="eastAsia" w:cs="Times New Roman"/>
                      <w:color w:val="auto"/>
                      <w:sz w:val="18"/>
                      <w:szCs w:val="18"/>
                      <w:lang w:val="en-US" w:eastAsia="zh-CN"/>
                    </w:rPr>
                    <w:t>31</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15</w:t>
                  </w:r>
                  <w:r>
                    <w:rPr>
                      <w:rFonts w:hint="default" w:ascii="Times New Roman" w:hAnsi="Times New Roman" w:eastAsia="宋体" w:cs="Times New Roman"/>
                      <w:color w:val="auto"/>
                      <w:sz w:val="18"/>
                      <w:szCs w:val="18"/>
                    </w:rPr>
                    <w:t>:</w:t>
                  </w:r>
                  <w:r>
                    <w:rPr>
                      <w:rFonts w:hint="eastAsia" w:cs="Times New Roman"/>
                      <w:color w:val="auto"/>
                      <w:sz w:val="18"/>
                      <w:szCs w:val="18"/>
                      <w:lang w:val="en-US" w:eastAsia="zh-CN"/>
                    </w:rPr>
                    <w:t>36</w:t>
                  </w:r>
                  <w:r>
                    <w:rPr>
                      <w:rFonts w:hint="default" w:ascii="Times New Roman" w:hAnsi="Times New Roman" w:eastAsia="宋体" w:cs="Times New Roman"/>
                      <w:color w:val="auto"/>
                      <w:sz w:val="18"/>
                      <w:szCs w:val="18"/>
                    </w:rPr>
                    <w:t>）</w:t>
                  </w:r>
                </w:p>
              </w:tc>
              <w:tc>
                <w:tcPr>
                  <w:tcW w:w="167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50.7</w:t>
                  </w:r>
                </w:p>
              </w:tc>
              <w:tc>
                <w:tcPr>
                  <w:tcW w:w="8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38" w:type="dxa"/>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18"/>
                      <w:szCs w:val="18"/>
                      <w:lang w:val="en-US" w:eastAsia="zh-CN" w:bidi="ar-SA"/>
                    </w:rPr>
                  </w:pPr>
                </w:p>
              </w:tc>
              <w:tc>
                <w:tcPr>
                  <w:tcW w:w="64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sz w:val="18"/>
                      <w:szCs w:val="18"/>
                    </w:rPr>
                    <w:t>2</w:t>
                  </w:r>
                  <w:r>
                    <w:rPr>
                      <w:rFonts w:hint="default" w:ascii="Times New Roman" w:hAnsi="Times New Roman" w:cs="Times New Roman"/>
                      <w:color w:val="auto"/>
                      <w:sz w:val="18"/>
                      <w:szCs w:val="18"/>
                      <w:vertAlign w:val="superscript"/>
                    </w:rPr>
                    <w:t>#</w:t>
                  </w:r>
                </w:p>
              </w:tc>
              <w:tc>
                <w:tcPr>
                  <w:tcW w:w="224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color w:val="auto"/>
                      <w:sz w:val="18"/>
                      <w:szCs w:val="18"/>
                    </w:rPr>
                    <w:t>项目区西界外1m</w:t>
                  </w:r>
                  <w:r>
                    <w:rPr>
                      <w:rFonts w:hint="default" w:ascii="Times New Roman" w:hAnsi="Times New Roman" w:cs="Times New Roman"/>
                      <w:color w:val="auto"/>
                      <w:sz w:val="18"/>
                      <w:szCs w:val="18"/>
                      <w:lang w:eastAsia="zh-CN"/>
                    </w:rPr>
                    <w:t>，高</w:t>
                  </w:r>
                  <w:r>
                    <w:rPr>
                      <w:rFonts w:hint="default" w:ascii="Times New Roman" w:hAnsi="Times New Roman" w:cs="Times New Roman"/>
                      <w:color w:val="auto"/>
                      <w:sz w:val="18"/>
                      <w:szCs w:val="18"/>
                      <w:lang w:val="en-US" w:eastAsia="zh-CN"/>
                    </w:rPr>
                    <w:t>1.2m</w:t>
                  </w:r>
                </w:p>
              </w:tc>
              <w:tc>
                <w:tcPr>
                  <w:tcW w:w="174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昼间（</w:t>
                  </w:r>
                  <w:r>
                    <w:rPr>
                      <w:rFonts w:hint="default" w:ascii="Times New Roman" w:hAnsi="Times New Roman" w:eastAsia="宋体" w:cs="Times New Roman"/>
                      <w:color w:val="auto"/>
                      <w:sz w:val="18"/>
                      <w:szCs w:val="18"/>
                      <w:lang w:val="en-US" w:eastAsia="zh-CN"/>
                    </w:rPr>
                    <w:t>15</w:t>
                  </w:r>
                  <w:r>
                    <w:rPr>
                      <w:rFonts w:hint="default" w:ascii="Times New Roman" w:hAnsi="Times New Roman" w:eastAsia="宋体" w:cs="Times New Roman"/>
                      <w:color w:val="auto"/>
                      <w:sz w:val="18"/>
                      <w:szCs w:val="18"/>
                    </w:rPr>
                    <w:t>:</w:t>
                  </w:r>
                  <w:r>
                    <w:rPr>
                      <w:rFonts w:hint="eastAsia" w:cs="Times New Roman"/>
                      <w:color w:val="auto"/>
                      <w:sz w:val="18"/>
                      <w:szCs w:val="18"/>
                      <w:lang w:val="en-US" w:eastAsia="zh-CN"/>
                    </w:rPr>
                    <w:t>38</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15</w:t>
                  </w:r>
                  <w:r>
                    <w:rPr>
                      <w:rFonts w:hint="default" w:ascii="Times New Roman" w:hAnsi="Times New Roman" w:eastAsia="宋体" w:cs="Times New Roman"/>
                      <w:color w:val="auto"/>
                      <w:sz w:val="18"/>
                      <w:szCs w:val="18"/>
                    </w:rPr>
                    <w:t>:</w:t>
                  </w:r>
                  <w:r>
                    <w:rPr>
                      <w:rFonts w:hint="eastAsia" w:eastAsia="宋体" w:cs="Times New Roman"/>
                      <w:color w:val="auto"/>
                      <w:sz w:val="18"/>
                      <w:szCs w:val="18"/>
                      <w:lang w:val="en-US" w:eastAsia="zh-CN"/>
                    </w:rPr>
                    <w:t>43</w:t>
                  </w:r>
                  <w:r>
                    <w:rPr>
                      <w:rFonts w:hint="default" w:ascii="Times New Roman" w:hAnsi="Times New Roman" w:eastAsia="宋体" w:cs="Times New Roman"/>
                      <w:color w:val="auto"/>
                      <w:sz w:val="18"/>
                      <w:szCs w:val="18"/>
                    </w:rPr>
                    <w:t>）</w:t>
                  </w:r>
                </w:p>
              </w:tc>
              <w:tc>
                <w:tcPr>
                  <w:tcW w:w="167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51.2</w:t>
                  </w:r>
                </w:p>
              </w:tc>
              <w:tc>
                <w:tcPr>
                  <w:tcW w:w="819"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65</w:t>
                  </w:r>
                </w:p>
              </w:tc>
            </w:tr>
          </w:tbl>
          <w:p>
            <w:pPr>
              <w:autoSpaceDE w:val="0"/>
              <w:autoSpaceDN w:val="0"/>
              <w:adjustRightInd w:val="0"/>
              <w:snapToGrid w:val="0"/>
              <w:spacing w:line="400" w:lineRule="exact"/>
              <w:ind w:firstLine="420" w:firstLineChars="200"/>
              <w:jc w:val="left"/>
              <w:rPr>
                <w:color w:val="auto"/>
                <w:kern w:val="0"/>
                <w:szCs w:val="21"/>
              </w:rPr>
            </w:pPr>
            <w:r>
              <w:rPr>
                <w:color w:val="auto"/>
                <w:kern w:val="0"/>
                <w:szCs w:val="21"/>
              </w:rPr>
              <w:t>经调查，项目</w:t>
            </w:r>
            <w:r>
              <w:rPr>
                <w:rFonts w:hint="eastAsia"/>
                <w:color w:val="auto"/>
                <w:kern w:val="0"/>
                <w:szCs w:val="21"/>
              </w:rPr>
              <w:t>仅昼间进行生产，</w:t>
            </w:r>
            <w:r>
              <w:rPr>
                <w:color w:val="auto"/>
                <w:kern w:val="0"/>
                <w:szCs w:val="21"/>
              </w:rPr>
              <w:t>建成运行后，</w:t>
            </w:r>
            <w:r>
              <w:rPr>
                <w:rFonts w:hint="eastAsia"/>
                <w:color w:val="auto"/>
                <w:kern w:val="0"/>
                <w:szCs w:val="21"/>
              </w:rPr>
              <w:t>未造成扰民影响</w:t>
            </w:r>
            <w:r>
              <w:rPr>
                <w:color w:val="auto"/>
                <w:kern w:val="0"/>
                <w:szCs w:val="21"/>
              </w:rPr>
              <w:t>。</w:t>
            </w:r>
          </w:p>
          <w:p>
            <w:pPr>
              <w:autoSpaceDE w:val="0"/>
              <w:autoSpaceDN w:val="0"/>
              <w:adjustRightInd w:val="0"/>
              <w:snapToGrid w:val="0"/>
              <w:spacing w:line="400" w:lineRule="exact"/>
              <w:ind w:firstLine="422" w:firstLineChars="200"/>
              <w:jc w:val="left"/>
              <w:rPr>
                <w:b/>
                <w:bCs/>
                <w:color w:val="auto"/>
                <w:kern w:val="0"/>
                <w:szCs w:val="21"/>
              </w:rPr>
            </w:pPr>
            <w:r>
              <w:rPr>
                <w:b/>
                <w:bCs/>
                <w:color w:val="auto"/>
                <w:kern w:val="0"/>
                <w:szCs w:val="21"/>
              </w:rPr>
              <w:t>（4）固体废物</w:t>
            </w:r>
          </w:p>
          <w:p>
            <w:pPr>
              <w:autoSpaceDE w:val="0"/>
              <w:autoSpaceDN w:val="0"/>
              <w:adjustRightInd w:val="0"/>
              <w:snapToGrid w:val="0"/>
              <w:spacing w:line="400" w:lineRule="exact"/>
              <w:ind w:firstLine="420" w:firstLineChars="200"/>
              <w:jc w:val="left"/>
              <w:rPr>
                <w:rFonts w:hint="eastAsia"/>
                <w:color w:val="auto"/>
                <w:kern w:val="0"/>
                <w:szCs w:val="21"/>
              </w:rPr>
            </w:pPr>
            <w:r>
              <w:rPr>
                <w:rFonts w:hint="eastAsia"/>
                <w:color w:val="auto"/>
                <w:kern w:val="0"/>
                <w:szCs w:val="21"/>
              </w:rPr>
              <w:t>本项目</w:t>
            </w:r>
            <w:r>
              <w:rPr>
                <w:rFonts w:hint="eastAsia"/>
                <w:color w:val="auto"/>
                <w:kern w:val="0"/>
                <w:szCs w:val="21"/>
                <w:lang w:val="en-US" w:eastAsia="zh-CN"/>
              </w:rPr>
              <w:t>运行期间产生的</w:t>
            </w:r>
            <w:r>
              <w:rPr>
                <w:rFonts w:hint="eastAsia"/>
                <w:color w:val="auto"/>
                <w:kern w:val="0"/>
                <w:szCs w:val="21"/>
              </w:rPr>
              <w:t>固体废物包括危险废物和一般固体废物。</w:t>
            </w:r>
            <w:r>
              <w:rPr>
                <w:rFonts w:hint="eastAsia"/>
                <w:color w:val="auto"/>
                <w:kern w:val="0"/>
                <w:szCs w:val="21"/>
                <w:lang w:val="en-US" w:eastAsia="zh-CN"/>
              </w:rPr>
              <w:t>危险废物为双层隔热储油罐清理的底部油泥、含油工作服、含油手套、吸油棉、含油沙及滴漏的废矿物油；一般固体废物为职工产生的生活垃圾。</w:t>
            </w:r>
          </w:p>
          <w:p>
            <w:pPr>
              <w:numPr>
                <w:ilvl w:val="0"/>
                <w:numId w:val="12"/>
              </w:numPr>
              <w:autoSpaceDE w:val="0"/>
              <w:autoSpaceDN w:val="0"/>
              <w:adjustRightInd w:val="0"/>
              <w:snapToGrid w:val="0"/>
              <w:spacing w:line="400" w:lineRule="exact"/>
              <w:ind w:left="0" w:leftChars="0" w:firstLine="420" w:firstLineChars="200"/>
              <w:jc w:val="left"/>
              <w:rPr>
                <w:rFonts w:hint="default"/>
                <w:color w:val="auto"/>
                <w:kern w:val="0"/>
                <w:szCs w:val="21"/>
                <w:lang w:val="en-US" w:eastAsia="zh-CN"/>
              </w:rPr>
            </w:pPr>
            <w:r>
              <w:rPr>
                <w:rFonts w:hint="eastAsia"/>
                <w:color w:val="auto"/>
                <w:kern w:val="0"/>
                <w:szCs w:val="21"/>
                <w:lang w:val="en-US" w:eastAsia="zh-CN"/>
              </w:rPr>
              <w:t>罐底油泥</w:t>
            </w:r>
          </w:p>
          <w:p>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lang w:val="en-US" w:eastAsia="zh-CN"/>
              </w:rPr>
              <w:t>本项目双层隔热储油罐在使用过程中会堆积一定的油泥，预计每5年清理一次，清理油泥约0.5t/次。在储存间西北侧设置危险废物暂存点，设置收集油桶和防漏托盘。</w:t>
            </w:r>
            <w:r>
              <w:rPr>
                <w:rFonts w:hint="eastAsia"/>
                <w:color w:val="auto"/>
                <w:kern w:val="0"/>
                <w:szCs w:val="21"/>
                <w:lang w:eastAsia="zh-CN"/>
              </w:rPr>
              <w:t>危险废物暂存</w:t>
            </w:r>
            <w:r>
              <w:rPr>
                <w:rFonts w:hint="eastAsia"/>
                <w:color w:val="auto"/>
                <w:kern w:val="0"/>
                <w:szCs w:val="21"/>
                <w:lang w:val="en-US" w:eastAsia="zh-CN"/>
              </w:rPr>
              <w:t>点设置于储存间内，</w:t>
            </w:r>
            <w:r>
              <w:rPr>
                <w:rFonts w:hint="eastAsia"/>
                <w:color w:val="auto"/>
                <w:kern w:val="0"/>
                <w:szCs w:val="21"/>
                <w:lang w:eastAsia="zh-CN"/>
              </w:rPr>
              <w:t>地面</w:t>
            </w:r>
            <w:r>
              <w:rPr>
                <w:rFonts w:hint="eastAsia"/>
                <w:color w:val="auto"/>
                <w:kern w:val="0"/>
                <w:szCs w:val="21"/>
                <w:lang w:val="en-US" w:eastAsia="zh-CN"/>
              </w:rPr>
              <w:t>和围堰均</w:t>
            </w:r>
            <w:r>
              <w:rPr>
                <w:rFonts w:hint="eastAsia"/>
                <w:color w:val="auto"/>
                <w:kern w:val="0"/>
                <w:szCs w:val="21"/>
                <w:lang w:eastAsia="zh-CN"/>
              </w:rPr>
              <w:t>进行了防渗处理。</w:t>
            </w:r>
            <w:r>
              <w:rPr>
                <w:rFonts w:hint="eastAsia"/>
                <w:color w:val="auto"/>
                <w:kern w:val="0"/>
                <w:szCs w:val="21"/>
                <w:lang w:val="en-US" w:eastAsia="zh-CN"/>
              </w:rPr>
              <w:t>由于运行时间较短，目前暂未对双层隔热储油罐底部油泥进行清理。</w:t>
            </w:r>
          </w:p>
          <w:p>
            <w:pPr>
              <w:numPr>
                <w:ilvl w:val="0"/>
                <w:numId w:val="12"/>
              </w:numPr>
              <w:autoSpaceDE w:val="0"/>
              <w:autoSpaceDN w:val="0"/>
              <w:adjustRightInd w:val="0"/>
              <w:snapToGrid w:val="0"/>
              <w:spacing w:line="400" w:lineRule="exact"/>
              <w:ind w:left="0" w:leftChars="0" w:firstLine="420" w:firstLineChars="200"/>
              <w:jc w:val="left"/>
              <w:rPr>
                <w:rFonts w:hint="default"/>
                <w:color w:val="auto"/>
                <w:kern w:val="0"/>
                <w:szCs w:val="21"/>
                <w:lang w:val="en-US" w:eastAsia="zh-CN"/>
              </w:rPr>
            </w:pPr>
            <w:r>
              <w:rPr>
                <w:rFonts w:hint="eastAsia"/>
                <w:color w:val="auto"/>
                <w:kern w:val="0"/>
                <w:szCs w:val="21"/>
                <w:lang w:val="en-US" w:eastAsia="zh-CN"/>
              </w:rPr>
              <w:t>滴漏废矿物油</w:t>
            </w:r>
          </w:p>
          <w:p>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lang w:eastAsia="zh-CN"/>
              </w:rPr>
              <w:t>项目废矿物油在装卸</w:t>
            </w:r>
            <w:r>
              <w:rPr>
                <w:rFonts w:hint="eastAsia"/>
                <w:color w:val="auto"/>
                <w:kern w:val="0"/>
                <w:szCs w:val="21"/>
                <w:lang w:val="en-US" w:eastAsia="zh-CN"/>
              </w:rPr>
              <w:t>区</w:t>
            </w:r>
            <w:r>
              <w:rPr>
                <w:rFonts w:hint="eastAsia"/>
                <w:color w:val="auto"/>
                <w:kern w:val="0"/>
                <w:szCs w:val="21"/>
                <w:lang w:eastAsia="zh-CN"/>
              </w:rPr>
              <w:t>卸车和装车过程，在</w:t>
            </w:r>
            <w:r>
              <w:rPr>
                <w:rFonts w:hint="eastAsia"/>
                <w:color w:val="auto"/>
                <w:kern w:val="0"/>
                <w:szCs w:val="21"/>
                <w:lang w:val="en-US" w:eastAsia="zh-CN"/>
              </w:rPr>
              <w:t>进、</w:t>
            </w:r>
            <w:r>
              <w:rPr>
                <w:rFonts w:hint="eastAsia"/>
                <w:color w:val="auto"/>
                <w:kern w:val="0"/>
                <w:szCs w:val="21"/>
                <w:lang w:eastAsia="zh-CN"/>
              </w:rPr>
              <w:t>出油口会有少量滴漏，</w:t>
            </w:r>
            <w:r>
              <w:rPr>
                <w:rFonts w:hint="eastAsia"/>
                <w:color w:val="auto"/>
                <w:kern w:val="0"/>
                <w:szCs w:val="21"/>
                <w:lang w:val="en-US" w:eastAsia="zh-CN"/>
              </w:rPr>
              <w:t>滴漏废矿物油约</w:t>
            </w:r>
            <w:r>
              <w:rPr>
                <w:rFonts w:hint="eastAsia"/>
                <w:color w:val="auto"/>
                <w:kern w:val="0"/>
                <w:szCs w:val="21"/>
                <w:lang w:eastAsia="zh-CN"/>
              </w:rPr>
              <w:t>0.</w:t>
            </w:r>
            <w:r>
              <w:rPr>
                <w:rFonts w:hint="eastAsia"/>
                <w:color w:val="auto"/>
                <w:kern w:val="0"/>
                <w:szCs w:val="21"/>
                <w:lang w:val="en-US" w:eastAsia="zh-CN"/>
              </w:rPr>
              <w:t>8</w:t>
            </w:r>
            <w:r>
              <w:rPr>
                <w:rFonts w:hint="eastAsia"/>
                <w:color w:val="auto"/>
                <w:kern w:val="0"/>
                <w:szCs w:val="21"/>
                <w:lang w:eastAsia="zh-CN"/>
              </w:rPr>
              <w:t>t/a</w:t>
            </w:r>
            <w:r>
              <w:rPr>
                <w:rFonts w:hint="eastAsia"/>
                <w:color w:val="auto"/>
                <w:kern w:val="0"/>
                <w:szCs w:val="21"/>
                <w:lang w:val="zh-CN" w:eastAsia="zh-CN"/>
              </w:rPr>
              <w:t>。</w:t>
            </w:r>
            <w:r>
              <w:rPr>
                <w:rFonts w:hint="eastAsia"/>
                <w:color w:val="auto"/>
                <w:kern w:val="0"/>
                <w:szCs w:val="21"/>
                <w:lang w:val="en-US" w:eastAsia="zh-CN"/>
              </w:rPr>
              <w:t>建设单位设置了收集桶，对输油软管输送结束的余油进行收集</w:t>
            </w:r>
            <w:r>
              <w:rPr>
                <w:rFonts w:hint="eastAsia"/>
                <w:color w:val="auto"/>
                <w:kern w:val="0"/>
                <w:szCs w:val="21"/>
                <w:lang w:eastAsia="zh-CN"/>
              </w:rPr>
              <w:t>；另外配备移动式的接油托盘，装卸作业时，放置于出油口下方，收集滴漏的废矿物油，</w:t>
            </w:r>
            <w:r>
              <w:rPr>
                <w:rFonts w:hint="eastAsia"/>
                <w:color w:val="auto"/>
                <w:kern w:val="0"/>
                <w:szCs w:val="21"/>
                <w:lang w:val="en-US" w:eastAsia="zh-CN"/>
              </w:rPr>
              <w:t>然后回收进入储油罐内外卖。</w:t>
            </w:r>
          </w:p>
          <w:p>
            <w:pPr>
              <w:numPr>
                <w:ilvl w:val="0"/>
                <w:numId w:val="12"/>
              </w:numPr>
              <w:autoSpaceDE w:val="0"/>
              <w:autoSpaceDN w:val="0"/>
              <w:adjustRightInd w:val="0"/>
              <w:snapToGrid w:val="0"/>
              <w:spacing w:line="400" w:lineRule="exact"/>
              <w:ind w:left="0" w:leftChars="0" w:firstLine="420" w:firstLineChars="200"/>
              <w:jc w:val="left"/>
              <w:rPr>
                <w:rFonts w:hint="eastAsia"/>
                <w:color w:val="auto"/>
                <w:kern w:val="0"/>
                <w:szCs w:val="21"/>
                <w:lang w:val="en-US" w:eastAsia="zh-CN"/>
              </w:rPr>
            </w:pPr>
            <w:r>
              <w:rPr>
                <w:rFonts w:hint="eastAsia"/>
                <w:color w:val="auto"/>
                <w:kern w:val="0"/>
                <w:szCs w:val="21"/>
                <w:lang w:val="en-US" w:eastAsia="zh-CN"/>
              </w:rPr>
              <w:t>含油工作服、手套</w:t>
            </w:r>
          </w:p>
          <w:p>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lang w:eastAsia="zh-CN"/>
              </w:rPr>
              <w:t>项目运行过程中会产生</w:t>
            </w:r>
            <w:r>
              <w:rPr>
                <w:rFonts w:hint="eastAsia"/>
                <w:color w:val="auto"/>
                <w:kern w:val="0"/>
                <w:szCs w:val="21"/>
                <w:lang w:val="en-US" w:eastAsia="zh-CN"/>
              </w:rPr>
              <w:t>少量含油工作服、</w:t>
            </w:r>
            <w:r>
              <w:rPr>
                <w:rFonts w:hint="eastAsia"/>
                <w:color w:val="auto"/>
                <w:kern w:val="0"/>
                <w:szCs w:val="21"/>
                <w:lang w:eastAsia="zh-CN"/>
              </w:rPr>
              <w:t>沾油手套、废抹布等，根据</w:t>
            </w:r>
            <w:r>
              <w:rPr>
                <w:rFonts w:hint="eastAsia"/>
                <w:color w:val="auto"/>
                <w:kern w:val="0"/>
                <w:szCs w:val="21"/>
                <w:lang w:val="en-US" w:eastAsia="zh-CN"/>
              </w:rPr>
              <w:t>项目实际情况</w:t>
            </w:r>
            <w:r>
              <w:rPr>
                <w:rFonts w:hint="eastAsia"/>
                <w:color w:val="auto"/>
                <w:kern w:val="0"/>
                <w:szCs w:val="21"/>
                <w:lang w:eastAsia="zh-CN"/>
              </w:rPr>
              <w:t>，其产生量</w:t>
            </w:r>
            <w:r>
              <w:rPr>
                <w:rFonts w:hint="eastAsia"/>
                <w:color w:val="auto"/>
                <w:kern w:val="0"/>
                <w:szCs w:val="21"/>
                <w:lang w:val="en-US" w:eastAsia="zh-CN"/>
              </w:rPr>
              <w:t>约0.01t/a。目前在危废暂存间内设置有收集桶，分类收集，委托资质单位处置。</w:t>
            </w:r>
          </w:p>
          <w:p>
            <w:pPr>
              <w:numPr>
                <w:ilvl w:val="0"/>
                <w:numId w:val="12"/>
              </w:numPr>
              <w:autoSpaceDE w:val="0"/>
              <w:autoSpaceDN w:val="0"/>
              <w:adjustRightInd w:val="0"/>
              <w:snapToGrid w:val="0"/>
              <w:spacing w:line="400" w:lineRule="exact"/>
              <w:ind w:left="0" w:leftChars="0" w:firstLine="420" w:firstLineChars="200"/>
              <w:jc w:val="left"/>
              <w:rPr>
                <w:rFonts w:hint="default"/>
                <w:color w:val="auto"/>
                <w:kern w:val="0"/>
                <w:szCs w:val="21"/>
                <w:lang w:val="en-US" w:eastAsia="zh-CN"/>
              </w:rPr>
            </w:pPr>
            <w:r>
              <w:rPr>
                <w:rFonts w:hint="eastAsia"/>
                <w:color w:val="auto"/>
                <w:kern w:val="0"/>
                <w:szCs w:val="21"/>
                <w:lang w:val="en-US" w:eastAsia="zh-CN"/>
              </w:rPr>
              <w:t>废弃吸油棉、含油锯末、含油沙</w:t>
            </w:r>
          </w:p>
          <w:p>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lang w:val="en-US" w:eastAsia="zh-CN"/>
              </w:rPr>
              <w:t>本项目在日常运营过程中，物流及设备清洁环节会有少量废矿物油滴漏。项目对滴漏于地面的废矿物油采用吸油棉清洁，然后与含油手套等一起收集暂存，根据项目实际情况，其产生量约0.01t/a。目前未采用锯末、沙等进行吸油。</w:t>
            </w:r>
          </w:p>
          <w:p>
            <w:pPr>
              <w:numPr>
                <w:ilvl w:val="0"/>
                <w:numId w:val="12"/>
              </w:numPr>
              <w:autoSpaceDE w:val="0"/>
              <w:autoSpaceDN w:val="0"/>
              <w:adjustRightInd w:val="0"/>
              <w:snapToGrid w:val="0"/>
              <w:spacing w:line="400" w:lineRule="exact"/>
              <w:ind w:left="0" w:leftChars="0" w:firstLine="420" w:firstLineChars="200"/>
              <w:jc w:val="left"/>
              <w:rPr>
                <w:rFonts w:hint="default"/>
                <w:color w:val="auto"/>
                <w:kern w:val="0"/>
                <w:szCs w:val="21"/>
                <w:lang w:val="en-US" w:eastAsia="zh-CN"/>
              </w:rPr>
            </w:pPr>
            <w:r>
              <w:rPr>
                <w:rFonts w:hint="eastAsia"/>
                <w:color w:val="auto"/>
                <w:kern w:val="0"/>
                <w:szCs w:val="21"/>
                <w:lang w:val="en-US" w:eastAsia="zh-CN"/>
              </w:rPr>
              <w:t>生活垃圾</w:t>
            </w:r>
          </w:p>
          <w:p>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lang w:val="en-US" w:eastAsia="zh-CN"/>
              </w:rPr>
              <w:t>本项目劳动定员4人，生活垃圾产生量约0.7t/a。厂区设置有垃圾收集桶，生活垃圾自行清运至附近垃圾收集点，由环卫部门统一清运。</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lang w:val="en-US" w:eastAsia="zh-CN"/>
              </w:rPr>
              <w:t>项目运行以来，未出现固废外排或环境污染事故，采取的措施合理有效，满足环保要求。</w:t>
            </w:r>
            <w:r>
              <w:rPr>
                <w:rFonts w:hint="eastAsia"/>
                <w:color w:val="auto"/>
                <w:kern w:val="0"/>
                <w:szCs w:val="21"/>
              </w:rPr>
              <w:t>现有</w:t>
            </w:r>
            <w:r>
              <w:rPr>
                <w:rFonts w:hint="eastAsia"/>
                <w:color w:val="auto"/>
                <w:kern w:val="0"/>
                <w:szCs w:val="21"/>
                <w:lang w:val="en-US" w:eastAsia="zh-CN"/>
              </w:rPr>
              <w:t>项目</w:t>
            </w:r>
            <w:r>
              <w:rPr>
                <w:rFonts w:hint="eastAsia"/>
                <w:color w:val="auto"/>
                <w:kern w:val="0"/>
                <w:szCs w:val="21"/>
              </w:rPr>
              <w:t>固废</w:t>
            </w:r>
            <w:r>
              <w:rPr>
                <w:color w:val="auto"/>
                <w:kern w:val="0"/>
                <w:szCs w:val="21"/>
              </w:rPr>
              <w:t>产生及处理情况见</w:t>
            </w:r>
            <w:r>
              <w:rPr>
                <w:rFonts w:hint="eastAsia"/>
                <w:color w:val="auto"/>
                <w:kern w:val="0"/>
                <w:szCs w:val="21"/>
              </w:rPr>
              <w:t>下</w:t>
            </w:r>
            <w:r>
              <w:rPr>
                <w:color w:val="auto"/>
                <w:kern w:val="0"/>
                <w:szCs w:val="21"/>
              </w:rPr>
              <w:t>表</w:t>
            </w:r>
            <w:r>
              <w:rPr>
                <w:rFonts w:hint="eastAsia"/>
                <w:color w:val="auto"/>
                <w:kern w:val="0"/>
                <w:szCs w:val="21"/>
              </w:rPr>
              <w:t>。</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固体废物产生及处置情况</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755"/>
              <w:gridCol w:w="1349"/>
              <w:gridCol w:w="1543"/>
              <w:gridCol w:w="791"/>
              <w:gridCol w:w="2697"/>
              <w:gridCol w:w="1060"/>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542" w:hRule="atLeast"/>
                <w:tblHeader/>
                <w:jc w:val="center"/>
              </w:trPr>
              <w:tc>
                <w:tcPr>
                  <w:tcW w:w="755"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b/>
                      <w:bCs/>
                      <w:color w:val="auto"/>
                      <w:sz w:val="18"/>
                      <w:szCs w:val="18"/>
                    </w:rPr>
                  </w:pPr>
                  <w:r>
                    <w:rPr>
                      <w:b/>
                      <w:bCs/>
                      <w:color w:val="auto"/>
                      <w:sz w:val="18"/>
                      <w:szCs w:val="18"/>
                    </w:rPr>
                    <w:t>分类</w:t>
                  </w:r>
                </w:p>
              </w:tc>
              <w:tc>
                <w:tcPr>
                  <w:tcW w:w="1349"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b/>
                      <w:bCs/>
                      <w:color w:val="auto"/>
                      <w:sz w:val="18"/>
                      <w:szCs w:val="18"/>
                    </w:rPr>
                  </w:pPr>
                  <w:r>
                    <w:rPr>
                      <w:b/>
                      <w:bCs/>
                      <w:color w:val="auto"/>
                      <w:sz w:val="18"/>
                      <w:szCs w:val="18"/>
                    </w:rPr>
                    <w:t>固废名称</w:t>
                  </w:r>
                </w:p>
              </w:tc>
              <w:tc>
                <w:tcPr>
                  <w:tcW w:w="1543"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b/>
                      <w:bCs/>
                      <w:color w:val="auto"/>
                      <w:sz w:val="18"/>
                      <w:szCs w:val="18"/>
                    </w:rPr>
                  </w:pPr>
                  <w:r>
                    <w:rPr>
                      <w:b/>
                      <w:bCs/>
                      <w:color w:val="auto"/>
                      <w:sz w:val="18"/>
                      <w:szCs w:val="18"/>
                    </w:rPr>
                    <w:t>来源</w:t>
                  </w:r>
                </w:p>
              </w:tc>
              <w:tc>
                <w:tcPr>
                  <w:tcW w:w="791"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b/>
                      <w:bCs/>
                      <w:color w:val="auto"/>
                      <w:sz w:val="18"/>
                      <w:szCs w:val="18"/>
                    </w:rPr>
                  </w:pPr>
                  <w:r>
                    <w:rPr>
                      <w:rFonts w:hint="eastAsia"/>
                      <w:b/>
                      <w:bCs/>
                      <w:color w:val="auto"/>
                      <w:sz w:val="18"/>
                      <w:szCs w:val="18"/>
                    </w:rPr>
                    <w:t>产生</w:t>
                  </w:r>
                  <w:r>
                    <w:rPr>
                      <w:b/>
                      <w:bCs/>
                      <w:color w:val="auto"/>
                      <w:sz w:val="18"/>
                      <w:szCs w:val="18"/>
                    </w:rPr>
                    <w:t>量</w:t>
                  </w:r>
                </w:p>
              </w:tc>
              <w:tc>
                <w:tcPr>
                  <w:tcW w:w="2697" w:type="dxa"/>
                  <w:tcBorders>
                    <w:right w:val="single" w:color="auto" w:sz="4" w:space="0"/>
                  </w:tcBorders>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b/>
                      <w:bCs/>
                      <w:color w:val="auto"/>
                      <w:sz w:val="18"/>
                      <w:szCs w:val="18"/>
                    </w:rPr>
                  </w:pPr>
                  <w:r>
                    <w:rPr>
                      <w:b/>
                      <w:bCs/>
                      <w:color w:val="auto"/>
                      <w:sz w:val="18"/>
                      <w:szCs w:val="18"/>
                    </w:rPr>
                    <w:t>处理处置方式</w:t>
                  </w:r>
                </w:p>
              </w:tc>
              <w:tc>
                <w:tcPr>
                  <w:tcW w:w="1062" w:type="dxa"/>
                  <w:gridSpan w:val="2"/>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eastAsia" w:eastAsia="宋体"/>
                      <w:b/>
                      <w:bCs/>
                      <w:color w:val="auto"/>
                      <w:sz w:val="18"/>
                      <w:szCs w:val="18"/>
                      <w:lang w:val="en-US" w:eastAsia="zh-CN"/>
                    </w:rPr>
                  </w:pPr>
                  <w:r>
                    <w:rPr>
                      <w:rFonts w:hint="eastAsia"/>
                      <w:b/>
                      <w:bCs/>
                      <w:color w:val="auto"/>
                      <w:sz w:val="18"/>
                      <w:szCs w:val="18"/>
                      <w:lang w:val="en-US" w:eastAsia="zh-CN"/>
                    </w:rPr>
                    <w:t>是否满足环保要求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gridAfter w:val="1"/>
                <w:wAfter w:w="2" w:type="dxa"/>
                <w:cantSplit/>
                <w:trHeight w:val="542" w:hRule="atLeast"/>
                <w:jc w:val="center"/>
              </w:trPr>
              <w:tc>
                <w:tcPr>
                  <w:tcW w:w="755" w:type="dxa"/>
                  <w:vMerge w:val="restart"/>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color w:val="auto"/>
                      <w:sz w:val="18"/>
                      <w:szCs w:val="18"/>
                    </w:rPr>
                  </w:pPr>
                  <w:r>
                    <w:rPr>
                      <w:color w:val="auto"/>
                      <w:sz w:val="18"/>
                      <w:szCs w:val="18"/>
                    </w:rPr>
                    <w:t>危险</w:t>
                  </w:r>
                </w:p>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color w:val="auto"/>
                      <w:sz w:val="18"/>
                      <w:szCs w:val="18"/>
                    </w:rPr>
                  </w:pPr>
                  <w:r>
                    <w:rPr>
                      <w:color w:val="auto"/>
                      <w:sz w:val="18"/>
                      <w:szCs w:val="18"/>
                    </w:rPr>
                    <w:t>废物</w:t>
                  </w:r>
                </w:p>
              </w:tc>
              <w:tc>
                <w:tcPr>
                  <w:tcW w:w="1349"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油泥</w:t>
                  </w:r>
                </w:p>
              </w:tc>
              <w:tc>
                <w:tcPr>
                  <w:tcW w:w="1543"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双层隔热储油罐</w:t>
                  </w:r>
                </w:p>
              </w:tc>
              <w:tc>
                <w:tcPr>
                  <w:tcW w:w="791"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0.5t/次</w:t>
                  </w:r>
                </w:p>
              </w:tc>
              <w:tc>
                <w:tcPr>
                  <w:tcW w:w="2697"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设置了危险废物暂存间，委托有资质的单位处理，暂未清理</w:t>
                  </w:r>
                </w:p>
              </w:tc>
              <w:tc>
                <w:tcPr>
                  <w:tcW w:w="106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gridAfter w:val="1"/>
                <w:wAfter w:w="2" w:type="dxa"/>
                <w:cantSplit/>
                <w:trHeight w:val="542" w:hRule="atLeast"/>
                <w:jc w:val="center"/>
              </w:trPr>
              <w:tc>
                <w:tcPr>
                  <w:tcW w:w="755"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color w:val="auto"/>
                      <w:sz w:val="18"/>
                      <w:szCs w:val="18"/>
                    </w:rPr>
                  </w:pPr>
                </w:p>
              </w:tc>
              <w:tc>
                <w:tcPr>
                  <w:tcW w:w="1349"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滴漏废矿物油</w:t>
                  </w:r>
                </w:p>
              </w:tc>
              <w:tc>
                <w:tcPr>
                  <w:tcW w:w="1543"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废矿物油装卸</w:t>
                  </w:r>
                </w:p>
              </w:tc>
              <w:tc>
                <w:tcPr>
                  <w:tcW w:w="791"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r>
                    <w:rPr>
                      <w:rFonts w:hint="eastAsia" w:cs="Times New Roman"/>
                      <w:color w:val="auto"/>
                      <w:sz w:val="18"/>
                      <w:szCs w:val="18"/>
                      <w:lang w:val="en-US" w:eastAsia="zh-CN"/>
                    </w:rPr>
                    <w:t>8</w:t>
                  </w:r>
                  <w:r>
                    <w:rPr>
                      <w:rFonts w:hint="eastAsia" w:ascii="Times New Roman" w:hAnsi="Times New Roman" w:eastAsia="宋体" w:cs="Times New Roman"/>
                      <w:color w:val="auto"/>
                      <w:sz w:val="18"/>
                      <w:szCs w:val="18"/>
                      <w:lang w:val="en-US" w:eastAsia="zh-CN"/>
                    </w:rPr>
                    <w:t>t/a</w:t>
                  </w:r>
                </w:p>
              </w:tc>
              <w:tc>
                <w:tcPr>
                  <w:tcW w:w="2697"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收集滴漏的废矿物油，回收进入储油罐内外卖</w:t>
                  </w:r>
                </w:p>
              </w:tc>
              <w:tc>
                <w:tcPr>
                  <w:tcW w:w="106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gridAfter w:val="1"/>
                <w:wAfter w:w="2" w:type="dxa"/>
                <w:cantSplit/>
                <w:trHeight w:val="542" w:hRule="atLeast"/>
                <w:jc w:val="center"/>
              </w:trPr>
              <w:tc>
                <w:tcPr>
                  <w:tcW w:w="755"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color w:val="auto"/>
                      <w:sz w:val="18"/>
                      <w:szCs w:val="18"/>
                    </w:rPr>
                  </w:pPr>
                </w:p>
              </w:tc>
              <w:tc>
                <w:tcPr>
                  <w:tcW w:w="1349"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含油工作服、手套</w:t>
                  </w:r>
                </w:p>
              </w:tc>
              <w:tc>
                <w:tcPr>
                  <w:tcW w:w="1543"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职工</w:t>
                  </w:r>
                </w:p>
              </w:tc>
              <w:tc>
                <w:tcPr>
                  <w:tcW w:w="791"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0.01t/a</w:t>
                  </w:r>
                </w:p>
              </w:tc>
              <w:tc>
                <w:tcPr>
                  <w:tcW w:w="2697"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设置了危险废物暂存间，委托有资质的单位处理</w:t>
                  </w:r>
                </w:p>
              </w:tc>
              <w:tc>
                <w:tcPr>
                  <w:tcW w:w="106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gridAfter w:val="1"/>
                <w:wAfter w:w="2" w:type="dxa"/>
                <w:cantSplit/>
                <w:trHeight w:val="542" w:hRule="atLeast"/>
                <w:jc w:val="center"/>
              </w:trPr>
              <w:tc>
                <w:tcPr>
                  <w:tcW w:w="755"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color w:val="auto"/>
                      <w:sz w:val="18"/>
                      <w:szCs w:val="18"/>
                    </w:rPr>
                  </w:pPr>
                </w:p>
              </w:tc>
              <w:tc>
                <w:tcPr>
                  <w:tcW w:w="1349"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含油锯末、沙、吸油棉</w:t>
                  </w:r>
                </w:p>
              </w:tc>
              <w:tc>
                <w:tcPr>
                  <w:tcW w:w="1543"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物流及设备清洁</w:t>
                  </w:r>
                </w:p>
              </w:tc>
              <w:tc>
                <w:tcPr>
                  <w:tcW w:w="791"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0.01t/a</w:t>
                  </w:r>
                </w:p>
              </w:tc>
              <w:tc>
                <w:tcPr>
                  <w:tcW w:w="2697"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设置了危险废物暂存间，委托有资质的单位处理</w:t>
                  </w:r>
                </w:p>
              </w:tc>
              <w:tc>
                <w:tcPr>
                  <w:tcW w:w="106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gridAfter w:val="1"/>
                <w:wAfter w:w="2" w:type="dxa"/>
                <w:cantSplit/>
                <w:trHeight w:val="552" w:hRule="atLeast"/>
                <w:jc w:val="center"/>
              </w:trPr>
              <w:tc>
                <w:tcPr>
                  <w:tcW w:w="755"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color w:val="auto"/>
                      <w:sz w:val="18"/>
                      <w:szCs w:val="18"/>
                    </w:rPr>
                  </w:pPr>
                  <w:r>
                    <w:rPr>
                      <w:color w:val="auto"/>
                      <w:sz w:val="18"/>
                      <w:szCs w:val="18"/>
                    </w:rPr>
                    <w:t>一般</w:t>
                  </w:r>
                </w:p>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color w:val="auto"/>
                      <w:sz w:val="18"/>
                      <w:szCs w:val="18"/>
                    </w:rPr>
                  </w:pPr>
                  <w:r>
                    <w:rPr>
                      <w:color w:val="auto"/>
                      <w:sz w:val="18"/>
                      <w:szCs w:val="18"/>
                    </w:rPr>
                    <w:t>固废</w:t>
                  </w:r>
                </w:p>
              </w:tc>
              <w:tc>
                <w:tcPr>
                  <w:tcW w:w="1349"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生活垃圾</w:t>
                  </w:r>
                </w:p>
              </w:tc>
              <w:tc>
                <w:tcPr>
                  <w:tcW w:w="1543"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办公生活</w:t>
                  </w:r>
                </w:p>
              </w:tc>
              <w:tc>
                <w:tcPr>
                  <w:tcW w:w="791"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r>
                    <w:rPr>
                      <w:rFonts w:hint="eastAsia" w:cs="Times New Roman"/>
                      <w:color w:val="auto"/>
                      <w:sz w:val="18"/>
                      <w:szCs w:val="18"/>
                      <w:lang w:val="en-US" w:eastAsia="zh-CN"/>
                    </w:rPr>
                    <w:t>7</w:t>
                  </w:r>
                  <w:r>
                    <w:rPr>
                      <w:rFonts w:hint="eastAsia" w:ascii="Times New Roman" w:hAnsi="Times New Roman" w:eastAsia="宋体" w:cs="Times New Roman"/>
                      <w:color w:val="auto"/>
                      <w:sz w:val="18"/>
                      <w:szCs w:val="18"/>
                      <w:lang w:val="en-US" w:eastAsia="zh-CN"/>
                    </w:rPr>
                    <w:t>t/a</w:t>
                  </w:r>
                </w:p>
              </w:tc>
              <w:tc>
                <w:tcPr>
                  <w:tcW w:w="2697"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袋装收集，运至附近生活垃圾收集点</w:t>
                  </w:r>
                </w:p>
              </w:tc>
              <w:tc>
                <w:tcPr>
                  <w:tcW w:w="106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满足</w:t>
                  </w:r>
                </w:p>
              </w:tc>
            </w:tr>
          </w:tbl>
          <w:p>
            <w:pPr>
              <w:adjustRightInd w:val="0"/>
              <w:snapToGrid w:val="0"/>
              <w:spacing w:line="400" w:lineRule="exact"/>
              <w:ind w:left="-53" w:leftChars="-25" w:right="-53" w:rightChars="-25"/>
              <w:jc w:val="left"/>
              <w:rPr>
                <w:rFonts w:eastAsia="黑体"/>
                <w:bCs/>
                <w:color w:val="auto"/>
                <w:sz w:val="22"/>
                <w:szCs w:val="22"/>
              </w:rPr>
            </w:pPr>
            <w:r>
              <w:rPr>
                <w:rFonts w:eastAsia="黑体"/>
                <w:bCs/>
                <w:color w:val="auto"/>
                <w:sz w:val="22"/>
                <w:szCs w:val="22"/>
              </w:rPr>
              <w:t>3、存在的主要环境问题及整改方案</w:t>
            </w:r>
          </w:p>
          <w:p>
            <w:pPr>
              <w:autoSpaceDE w:val="0"/>
              <w:autoSpaceDN w:val="0"/>
              <w:adjustRightInd w:val="0"/>
              <w:snapToGrid w:val="0"/>
              <w:spacing w:line="400" w:lineRule="exact"/>
              <w:ind w:firstLine="420" w:firstLineChars="200"/>
              <w:jc w:val="left"/>
              <w:rPr>
                <w:rFonts w:hint="eastAsia"/>
                <w:color w:val="auto"/>
                <w:kern w:val="0"/>
                <w:szCs w:val="21"/>
                <w:lang w:val="en-US" w:eastAsia="zh-CN"/>
              </w:rPr>
            </w:pPr>
            <w:r>
              <w:rPr>
                <w:rFonts w:hint="eastAsia"/>
                <w:color w:val="auto"/>
                <w:kern w:val="0"/>
                <w:szCs w:val="21"/>
              </w:rPr>
              <w:t>根据现场</w:t>
            </w:r>
            <w:r>
              <w:rPr>
                <w:rFonts w:hint="eastAsia"/>
                <w:color w:val="auto"/>
                <w:kern w:val="0"/>
                <w:szCs w:val="21"/>
                <w:lang w:val="en-US" w:eastAsia="zh-CN"/>
              </w:rPr>
              <w:t>调查</w:t>
            </w:r>
            <w:r>
              <w:rPr>
                <w:rFonts w:hint="eastAsia"/>
                <w:color w:val="auto"/>
                <w:kern w:val="0"/>
                <w:szCs w:val="21"/>
              </w:rPr>
              <w:t>，</w:t>
            </w:r>
            <w:r>
              <w:rPr>
                <w:rFonts w:hint="eastAsia"/>
                <w:color w:val="auto"/>
                <w:kern w:val="0"/>
                <w:szCs w:val="21"/>
                <w:lang w:val="en-US" w:eastAsia="zh-CN"/>
              </w:rPr>
              <w:t>现有项目不存在的环境问题。</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eastAsia" w:cs="Times New Roman"/>
                <w:color w:val="auto"/>
                <w:kern w:val="0"/>
                <w:szCs w:val="21"/>
                <w:lang w:val="en-US" w:eastAsia="zh-CN"/>
              </w:rPr>
              <w:t>本项目搬迁后，现有的储油车间设施、设备等将全部拆除</w:t>
            </w:r>
            <w:r>
              <w:rPr>
                <w:rFonts w:hint="default" w:ascii="Times New Roman" w:hAnsi="Times New Roman" w:cs="Times New Roman"/>
                <w:color w:val="auto"/>
                <w:kern w:val="0"/>
                <w:szCs w:val="21"/>
              </w:rPr>
              <w:t>。为确保项目搬迁后不遗留环境问题，搬迁过程需采取以下管控措施。</w:t>
            </w:r>
          </w:p>
          <w:p>
            <w:pPr>
              <w:numPr>
                <w:ilvl w:val="0"/>
                <w:numId w:val="13"/>
              </w:numPr>
              <w:autoSpaceDE w:val="0"/>
              <w:autoSpaceDN w:val="0"/>
              <w:adjustRightInd w:val="0"/>
              <w:snapToGrid w:val="0"/>
              <w:spacing w:line="400" w:lineRule="exact"/>
              <w:ind w:left="0" w:leftChars="0"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现有设备搬迁过程中，应加强管理，对搬迁过程产生的含油工作服、手套</w:t>
            </w:r>
            <w:r>
              <w:rPr>
                <w:rFonts w:hint="eastAsia" w:cs="Times New Roman"/>
                <w:color w:val="auto"/>
                <w:kern w:val="0"/>
                <w:szCs w:val="21"/>
                <w:lang w:eastAsia="zh-CN"/>
              </w:rPr>
              <w:t>、</w:t>
            </w:r>
            <w:r>
              <w:rPr>
                <w:rFonts w:hint="default" w:ascii="Times New Roman" w:hAnsi="Times New Roman" w:cs="Times New Roman"/>
                <w:color w:val="auto"/>
                <w:kern w:val="0"/>
                <w:szCs w:val="21"/>
              </w:rPr>
              <w:t>含油锯末、沙、吸油棉等应统一收集，按危险废物进行管理，交由有资质单位处理。</w:t>
            </w:r>
          </w:p>
          <w:p>
            <w:pPr>
              <w:numPr>
                <w:ilvl w:val="0"/>
                <w:numId w:val="13"/>
              </w:numPr>
              <w:autoSpaceDE w:val="0"/>
              <w:autoSpaceDN w:val="0"/>
              <w:adjustRightInd w:val="0"/>
              <w:snapToGrid w:val="0"/>
              <w:spacing w:line="400" w:lineRule="exact"/>
              <w:ind w:left="0" w:leftChars="0"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对现有</w:t>
            </w:r>
            <w:r>
              <w:rPr>
                <w:rFonts w:hint="eastAsia" w:cs="Times New Roman"/>
                <w:color w:val="auto"/>
                <w:kern w:val="0"/>
                <w:szCs w:val="21"/>
                <w:lang w:val="en-US" w:eastAsia="zh-CN"/>
              </w:rPr>
              <w:t>储存间已产生</w:t>
            </w:r>
            <w:r>
              <w:rPr>
                <w:rFonts w:hint="default" w:ascii="Times New Roman" w:hAnsi="Times New Roman" w:cs="Times New Roman"/>
                <w:color w:val="auto"/>
                <w:kern w:val="0"/>
                <w:szCs w:val="21"/>
              </w:rPr>
              <w:t>的各类固体废物应分类收集后妥善处置，属于危险废物的必须委托有资质单位处理，并建立台账备查，禁止遗留在现有业务用房或随意丢弃处置。</w:t>
            </w:r>
          </w:p>
          <w:p>
            <w:pPr>
              <w:numPr>
                <w:ilvl w:val="0"/>
                <w:numId w:val="13"/>
              </w:numPr>
              <w:autoSpaceDE w:val="0"/>
              <w:autoSpaceDN w:val="0"/>
              <w:adjustRightInd w:val="0"/>
              <w:snapToGrid w:val="0"/>
              <w:spacing w:line="400" w:lineRule="exact"/>
              <w:ind w:left="0" w:leftChars="0"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搬迁后产生的其他一般固废应收集后交由环卫部门清运。</w:t>
            </w:r>
          </w:p>
          <w:p>
            <w:pPr>
              <w:numPr>
                <w:ilvl w:val="0"/>
                <w:numId w:val="13"/>
              </w:numPr>
              <w:autoSpaceDE w:val="0"/>
              <w:autoSpaceDN w:val="0"/>
              <w:adjustRightInd w:val="0"/>
              <w:snapToGrid w:val="0"/>
              <w:spacing w:line="400" w:lineRule="exact"/>
              <w:ind w:left="0" w:leftChars="0"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加强管理，对原有设施搬迁时，做到文明施工，避免影响周围</w:t>
            </w:r>
            <w:r>
              <w:rPr>
                <w:rFonts w:hint="eastAsia" w:cs="Times New Roman"/>
                <w:color w:val="auto"/>
                <w:kern w:val="0"/>
                <w:szCs w:val="21"/>
                <w:lang w:val="en-US" w:eastAsia="zh-CN"/>
              </w:rPr>
              <w:t>企业生产经营</w:t>
            </w:r>
            <w:r>
              <w:rPr>
                <w:rFonts w:hint="default" w:ascii="Times New Roman" w:hAnsi="Times New Roman" w:cs="Times New Roman"/>
                <w:color w:val="auto"/>
                <w:kern w:val="0"/>
                <w:szCs w:val="21"/>
              </w:rPr>
              <w:t>。</w:t>
            </w:r>
          </w:p>
          <w:p>
            <w:pPr>
              <w:numPr>
                <w:ilvl w:val="0"/>
                <w:numId w:val="13"/>
              </w:numPr>
              <w:autoSpaceDE w:val="0"/>
              <w:autoSpaceDN w:val="0"/>
              <w:adjustRightInd w:val="0"/>
              <w:snapToGrid w:val="0"/>
              <w:spacing w:line="400" w:lineRule="exact"/>
              <w:ind w:left="0" w:leftChars="0"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项目搬迁后，现有土地用途发生变化的，在变更前应当按照相关规定进行土壤污染状况调查，根据调查结果，对受到污染的土地采取修复措施。</w:t>
            </w:r>
          </w:p>
          <w:p>
            <w:pPr>
              <w:numPr>
                <w:ilvl w:val="0"/>
                <w:numId w:val="13"/>
              </w:numPr>
              <w:autoSpaceDE w:val="0"/>
              <w:autoSpaceDN w:val="0"/>
              <w:adjustRightInd w:val="0"/>
              <w:snapToGrid w:val="0"/>
              <w:spacing w:line="400" w:lineRule="exact"/>
              <w:ind w:left="0" w:leftChars="0"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搬迁完成后，项目现有的危废暂存间及收集设施、设备和容器、包装物等不能继续利用的，应当按照国家有关规定经过消除污染处理处置</w:t>
            </w:r>
            <w:r>
              <w:rPr>
                <w:rFonts w:hint="eastAsia"/>
                <w:color w:val="auto"/>
                <w:kern w:val="0"/>
                <w:szCs w:val="21"/>
                <w:lang w:val="en-US" w:eastAsia="zh-CN"/>
              </w:rPr>
              <w:t>，确保搬迁过程无遗留环境问题。</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0000FF"/>
                <w:kern w:val="0"/>
                <w:szCs w:val="21"/>
              </w:rPr>
            </w:pP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bCs/>
                <w:color w:val="0000FF"/>
                <w:szCs w:val="21"/>
              </w:rPr>
            </w:pPr>
            <w:r>
              <w:rPr>
                <w:rFonts w:hint="default" w:ascii="Times New Roman" w:hAnsi="Times New Roman" w:cs="Times New Roman"/>
                <w:color w:val="0000FF"/>
                <w:kern w:val="0"/>
                <w:szCs w:val="21"/>
              </w:rPr>
              <w:t xml:space="preserve"> </w:t>
            </w:r>
          </w:p>
        </w:tc>
      </w:tr>
    </w:tbl>
    <w:p>
      <w:pPr>
        <w:jc w:val="center"/>
        <w:rPr>
          <w:rFonts w:hint="default" w:ascii="Times New Roman" w:hAnsi="Times New Roman" w:eastAsia="黑体" w:cs="Times New Roman"/>
          <w:snapToGrid w:val="0"/>
          <w:color w:val="0000FF"/>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formProt w:val="1"/>
          <w:docGrid w:linePitch="312" w:charSpace="0"/>
        </w:sectPr>
      </w:pPr>
    </w:p>
    <w:p>
      <w:pPr>
        <w:widowControl/>
        <w:adjustRightInd w:val="0"/>
        <w:snapToGrid w:val="0"/>
        <w:spacing w:line="14" w:lineRule="auto"/>
        <w:jc w:val="center"/>
        <w:outlineLvl w:val="0"/>
        <w:rPr>
          <w:rFonts w:hint="default" w:ascii="Times New Roman" w:hAnsi="Times New Roman" w:eastAsia="黑体" w:cs="Times New Roman"/>
          <w:snapToGrid w:val="0"/>
          <w:color w:val="0000FF"/>
          <w:kern w:val="0"/>
          <w:sz w:val="30"/>
          <w:szCs w:val="30"/>
        </w:rPr>
      </w:pPr>
    </w:p>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eastAsia="黑体" w:cs="Times New Roman"/>
          <w:snapToGrid w:val="0"/>
          <w:color w:val="auto"/>
          <w:kern w:val="0"/>
          <w:sz w:val="30"/>
          <w:szCs w:val="30"/>
        </w:rPr>
        <w:t>三、区域环境质量现状、环境保护目标及评价标准</w:t>
      </w:r>
    </w:p>
    <w:tbl>
      <w:tblPr>
        <w:tblStyle w:val="17"/>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2"/>
        <w:gridCol w:w="83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2" w:type="dxa"/>
            <w:noWrap w:val="0"/>
            <w:vAlign w:val="center"/>
          </w:tcPr>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区域</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质量</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现状</w:t>
            </w: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区域</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质量</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现状</w:t>
            </w: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区域</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质量</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现状</w:t>
            </w: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区域</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质量</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现状</w:t>
            </w: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both"/>
              <w:rPr>
                <w:rFonts w:hint="default" w:ascii="Times New Roman" w:hAnsi="Times New Roman" w:cs="Times New Roman"/>
                <w:b/>
                <w:bCs/>
                <w:color w:val="auto"/>
                <w:kern w:val="0"/>
                <w:szCs w:val="21"/>
              </w:rPr>
            </w:pPr>
          </w:p>
        </w:tc>
        <w:tc>
          <w:tcPr>
            <w:tcW w:w="8308" w:type="dxa"/>
            <w:noWrap w:val="0"/>
            <w:vAlign w:val="center"/>
          </w:tcPr>
          <w:p>
            <w:pPr>
              <w:numPr>
                <w:ilvl w:val="0"/>
                <w:numId w:val="14"/>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大气环境</w:t>
            </w:r>
          </w:p>
          <w:p>
            <w:pPr>
              <w:numPr>
                <w:ilvl w:val="0"/>
                <w:numId w:val="15"/>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达标区判定</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本次采用达州市生态环境局网站（https://sthjj.dazhou.gov.cn/news-show-15720.html）发布的《达州市2022年环境空气质量状况》，由于项目</w:t>
            </w:r>
            <w:r>
              <w:rPr>
                <w:rFonts w:hint="eastAsia" w:cs="Times New Roman"/>
                <w:color w:val="auto"/>
                <w:kern w:val="0"/>
                <w:szCs w:val="21"/>
                <w:lang w:val="en-US" w:eastAsia="zh-CN"/>
              </w:rPr>
              <w:t>位于宣汉县柳池镇</w:t>
            </w:r>
            <w:r>
              <w:rPr>
                <w:rFonts w:hint="default" w:ascii="Times New Roman" w:hAnsi="Times New Roman" w:cs="Times New Roman"/>
                <w:color w:val="auto"/>
                <w:kern w:val="0"/>
                <w:szCs w:val="21"/>
                <w:lang w:val="en-US" w:eastAsia="zh-CN"/>
              </w:rPr>
              <w:t>，因此，评价采用2022年</w:t>
            </w:r>
            <w:r>
              <w:rPr>
                <w:rFonts w:hint="eastAsia" w:cs="Times New Roman"/>
                <w:color w:val="auto"/>
                <w:kern w:val="0"/>
                <w:szCs w:val="21"/>
                <w:lang w:val="en-US" w:eastAsia="zh-CN"/>
              </w:rPr>
              <w:t>宣汉县</w:t>
            </w:r>
            <w:r>
              <w:rPr>
                <w:rFonts w:hint="default" w:ascii="Times New Roman" w:hAnsi="Times New Roman" w:cs="Times New Roman"/>
                <w:color w:val="auto"/>
                <w:kern w:val="0"/>
                <w:szCs w:val="21"/>
                <w:lang w:val="en-US" w:eastAsia="zh-CN"/>
              </w:rPr>
              <w:t>环境空气质量进行评价。</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2022年达州市</w:t>
            </w:r>
            <w:r>
              <w:rPr>
                <w:rFonts w:hint="eastAsia" w:cs="Times New Roman"/>
                <w:color w:val="auto"/>
                <w:kern w:val="0"/>
                <w:szCs w:val="21"/>
                <w:lang w:val="en-US" w:eastAsia="zh-CN"/>
              </w:rPr>
              <w:t>宣汉县</w:t>
            </w:r>
            <w:r>
              <w:rPr>
                <w:rFonts w:hint="default" w:ascii="Times New Roman" w:hAnsi="Times New Roman" w:cs="Times New Roman"/>
                <w:color w:val="auto"/>
                <w:kern w:val="0"/>
                <w:szCs w:val="21"/>
                <w:lang w:val="en-US" w:eastAsia="zh-CN"/>
              </w:rPr>
              <w:t>SO</w:t>
            </w:r>
            <w:r>
              <w:rPr>
                <w:rFonts w:hint="default" w:ascii="Times New Roman" w:hAnsi="Times New Roman" w:cs="Times New Roman"/>
                <w:color w:val="auto"/>
                <w:kern w:val="0"/>
                <w:szCs w:val="21"/>
                <w:vertAlign w:val="subscript"/>
                <w:lang w:val="en-US" w:eastAsia="zh-CN"/>
              </w:rPr>
              <w:t>2</w:t>
            </w:r>
            <w:r>
              <w:rPr>
                <w:rFonts w:hint="default" w:ascii="Times New Roman" w:hAnsi="Times New Roman" w:cs="Times New Roman"/>
                <w:color w:val="auto"/>
                <w:kern w:val="0"/>
                <w:szCs w:val="21"/>
                <w:lang w:val="en-US" w:eastAsia="zh-CN"/>
              </w:rPr>
              <w:t>平均浓度为</w:t>
            </w:r>
            <w:r>
              <w:rPr>
                <w:rFonts w:hint="eastAsia" w:cs="Times New Roman"/>
                <w:color w:val="auto"/>
                <w:kern w:val="0"/>
                <w:szCs w:val="21"/>
                <w:lang w:val="en-US" w:eastAsia="zh-CN"/>
              </w:rPr>
              <w:t>5</w:t>
            </w:r>
            <w:r>
              <w:rPr>
                <w:rFonts w:hint="default" w:ascii="Times New Roman" w:hAnsi="Times New Roman" w:cs="Times New Roman"/>
                <w:color w:val="auto"/>
                <w:kern w:val="0"/>
                <w:szCs w:val="21"/>
                <w:lang w:val="en-US" w:eastAsia="zh-CN"/>
              </w:rPr>
              <w:t>μg/m³，同比下降</w:t>
            </w:r>
            <w:r>
              <w:rPr>
                <w:rFonts w:hint="eastAsia" w:cs="Times New Roman"/>
                <w:color w:val="auto"/>
                <w:kern w:val="0"/>
                <w:szCs w:val="21"/>
                <w:lang w:val="en-US" w:eastAsia="zh-CN"/>
              </w:rPr>
              <w:t>2</w:t>
            </w:r>
            <w:r>
              <w:rPr>
                <w:rFonts w:hint="default" w:ascii="Times New Roman" w:hAnsi="Times New Roman" w:cs="Times New Roman"/>
                <w:color w:val="auto"/>
                <w:kern w:val="0"/>
                <w:szCs w:val="21"/>
                <w:lang w:val="en-US" w:eastAsia="zh-CN"/>
              </w:rPr>
              <w:t>.0mg/m³，下降幅度为</w:t>
            </w:r>
            <w:r>
              <w:rPr>
                <w:rFonts w:hint="eastAsia" w:cs="Times New Roman"/>
                <w:color w:val="auto"/>
                <w:kern w:val="0"/>
                <w:szCs w:val="21"/>
                <w:lang w:val="en-US" w:eastAsia="zh-CN"/>
              </w:rPr>
              <w:t>28.6</w:t>
            </w:r>
            <w:r>
              <w:rPr>
                <w:rFonts w:hint="default" w:ascii="Times New Roman" w:hAnsi="Times New Roman" w:cs="Times New Roman"/>
                <w:color w:val="auto"/>
                <w:kern w:val="0"/>
                <w:szCs w:val="21"/>
                <w:lang w:val="en-US" w:eastAsia="zh-CN"/>
              </w:rPr>
              <w:t>%；NO</w:t>
            </w:r>
            <w:r>
              <w:rPr>
                <w:rFonts w:hint="default" w:ascii="Times New Roman" w:hAnsi="Times New Roman" w:cs="Times New Roman"/>
                <w:color w:val="auto"/>
                <w:kern w:val="0"/>
                <w:szCs w:val="21"/>
                <w:vertAlign w:val="subscript"/>
                <w:lang w:val="en-US" w:eastAsia="zh-CN"/>
              </w:rPr>
              <w:t>2</w:t>
            </w:r>
            <w:r>
              <w:rPr>
                <w:rFonts w:hint="default" w:ascii="Times New Roman" w:hAnsi="Times New Roman" w:cs="Times New Roman"/>
                <w:color w:val="auto"/>
                <w:kern w:val="0"/>
                <w:szCs w:val="21"/>
                <w:lang w:val="en-US" w:eastAsia="zh-CN"/>
              </w:rPr>
              <w:t>平均浓度为</w:t>
            </w:r>
            <w:r>
              <w:rPr>
                <w:rFonts w:hint="eastAsia" w:cs="Times New Roman"/>
                <w:color w:val="auto"/>
                <w:kern w:val="0"/>
                <w:szCs w:val="21"/>
                <w:lang w:val="en-US" w:eastAsia="zh-CN"/>
              </w:rPr>
              <w:t>19</w:t>
            </w:r>
            <w:r>
              <w:rPr>
                <w:rFonts w:hint="default" w:ascii="Times New Roman" w:hAnsi="Times New Roman" w:cs="Times New Roman"/>
                <w:color w:val="auto"/>
                <w:kern w:val="0"/>
                <w:szCs w:val="21"/>
                <w:lang w:val="en-US" w:eastAsia="zh-CN"/>
              </w:rPr>
              <w:t>μg/m³，同比</w:t>
            </w:r>
            <w:r>
              <w:rPr>
                <w:rFonts w:hint="eastAsia" w:cs="Times New Roman"/>
                <w:color w:val="auto"/>
                <w:kern w:val="0"/>
                <w:szCs w:val="21"/>
                <w:lang w:val="en-US" w:eastAsia="zh-CN"/>
              </w:rPr>
              <w:t>无变化</w:t>
            </w:r>
            <w:r>
              <w:rPr>
                <w:rFonts w:hint="default" w:ascii="Times New Roman" w:hAnsi="Times New Roman" w:cs="Times New Roman"/>
                <w:color w:val="auto"/>
                <w:kern w:val="0"/>
                <w:szCs w:val="21"/>
                <w:lang w:val="en-US" w:eastAsia="zh-CN"/>
              </w:rPr>
              <w:t>；CO平均浓度为1.</w:t>
            </w:r>
            <w:r>
              <w:rPr>
                <w:rFonts w:hint="eastAsia" w:cs="Times New Roman"/>
                <w:color w:val="auto"/>
                <w:kern w:val="0"/>
                <w:szCs w:val="21"/>
                <w:lang w:val="en-US" w:eastAsia="zh-CN"/>
              </w:rPr>
              <w:t>1</w:t>
            </w:r>
            <w:r>
              <w:rPr>
                <w:rFonts w:hint="default" w:ascii="Times New Roman" w:hAnsi="Times New Roman" w:cs="Times New Roman"/>
                <w:color w:val="auto"/>
                <w:kern w:val="0"/>
                <w:szCs w:val="21"/>
                <w:lang w:val="en-US" w:eastAsia="zh-CN"/>
              </w:rPr>
              <w:t>mg/m³，同比下降0.</w:t>
            </w:r>
            <w:r>
              <w:rPr>
                <w:rFonts w:hint="eastAsia" w:cs="Times New Roman"/>
                <w:color w:val="auto"/>
                <w:kern w:val="0"/>
                <w:szCs w:val="21"/>
                <w:lang w:val="en-US" w:eastAsia="zh-CN"/>
              </w:rPr>
              <w:t>1</w:t>
            </w:r>
            <w:r>
              <w:rPr>
                <w:rFonts w:hint="default" w:ascii="Times New Roman" w:hAnsi="Times New Roman" w:cs="Times New Roman"/>
                <w:color w:val="auto"/>
                <w:kern w:val="0"/>
                <w:szCs w:val="21"/>
                <w:lang w:val="en-US" w:eastAsia="zh-CN"/>
              </w:rPr>
              <w:t>mg/m³，下降幅度为</w:t>
            </w:r>
            <w:r>
              <w:rPr>
                <w:rFonts w:hint="eastAsia" w:cs="Times New Roman"/>
                <w:color w:val="auto"/>
                <w:kern w:val="0"/>
                <w:szCs w:val="21"/>
                <w:lang w:val="en-US" w:eastAsia="zh-CN"/>
              </w:rPr>
              <w:t>8.3</w:t>
            </w:r>
            <w:r>
              <w:rPr>
                <w:rFonts w:hint="default" w:ascii="Times New Roman" w:hAnsi="Times New Roman" w:cs="Times New Roman"/>
                <w:color w:val="auto"/>
                <w:kern w:val="0"/>
                <w:szCs w:val="21"/>
                <w:lang w:val="en-US" w:eastAsia="zh-CN"/>
              </w:rPr>
              <w:t>%；O</w:t>
            </w:r>
            <w:r>
              <w:rPr>
                <w:rFonts w:hint="default" w:ascii="Times New Roman" w:hAnsi="Times New Roman" w:cs="Times New Roman"/>
                <w:color w:val="auto"/>
                <w:kern w:val="0"/>
                <w:szCs w:val="21"/>
                <w:vertAlign w:val="subscript"/>
                <w:lang w:val="en-US" w:eastAsia="zh-CN"/>
              </w:rPr>
              <w:t>3</w:t>
            </w:r>
            <w:r>
              <w:rPr>
                <w:rFonts w:hint="default" w:ascii="Times New Roman" w:hAnsi="Times New Roman" w:cs="Times New Roman"/>
                <w:color w:val="auto"/>
                <w:kern w:val="0"/>
                <w:szCs w:val="21"/>
                <w:lang w:val="en-US" w:eastAsia="zh-CN"/>
              </w:rPr>
              <w:t>平均浓度为</w:t>
            </w:r>
            <w:r>
              <w:rPr>
                <w:rFonts w:hint="eastAsia" w:cs="Times New Roman"/>
                <w:color w:val="auto"/>
                <w:kern w:val="0"/>
                <w:szCs w:val="21"/>
                <w:lang w:val="en-US" w:eastAsia="zh-CN"/>
              </w:rPr>
              <w:t>99</w:t>
            </w:r>
            <w:r>
              <w:rPr>
                <w:rFonts w:hint="default" w:ascii="Times New Roman" w:hAnsi="Times New Roman" w:cs="Times New Roman"/>
                <w:color w:val="auto"/>
                <w:kern w:val="0"/>
                <w:szCs w:val="21"/>
                <w:lang w:val="en-US" w:eastAsia="zh-CN"/>
              </w:rPr>
              <w:t>μg/m³，同比上升2</w:t>
            </w:r>
            <w:r>
              <w:rPr>
                <w:rFonts w:hint="eastAsia" w:cs="Times New Roman"/>
                <w:color w:val="auto"/>
                <w:kern w:val="0"/>
                <w:szCs w:val="21"/>
                <w:lang w:val="en-US" w:eastAsia="zh-CN"/>
              </w:rPr>
              <w:t>5</w:t>
            </w:r>
            <w:r>
              <w:rPr>
                <w:rFonts w:hint="default" w:ascii="Times New Roman" w:hAnsi="Times New Roman" w:cs="Times New Roman"/>
                <w:color w:val="auto"/>
                <w:kern w:val="0"/>
                <w:szCs w:val="21"/>
                <w:lang w:val="en-US" w:eastAsia="zh-CN"/>
              </w:rPr>
              <w:t>.0μg/m³，上升幅度为</w:t>
            </w:r>
            <w:r>
              <w:rPr>
                <w:rFonts w:hint="eastAsia" w:cs="Times New Roman"/>
                <w:color w:val="auto"/>
                <w:kern w:val="0"/>
                <w:szCs w:val="21"/>
                <w:lang w:val="en-US" w:eastAsia="zh-CN"/>
              </w:rPr>
              <w:t>33.8</w:t>
            </w:r>
            <w:r>
              <w:rPr>
                <w:rFonts w:hint="default" w:ascii="Times New Roman" w:hAnsi="Times New Roman" w:cs="Times New Roman"/>
                <w:color w:val="auto"/>
                <w:kern w:val="0"/>
                <w:szCs w:val="21"/>
                <w:lang w:val="en-US" w:eastAsia="zh-CN"/>
              </w:rPr>
              <w:t>%；PM</w:t>
            </w:r>
            <w:r>
              <w:rPr>
                <w:rFonts w:hint="default" w:ascii="Times New Roman" w:hAnsi="Times New Roman" w:cs="Times New Roman"/>
                <w:color w:val="auto"/>
                <w:kern w:val="0"/>
                <w:szCs w:val="21"/>
                <w:vertAlign w:val="subscript"/>
                <w:lang w:val="en-US" w:eastAsia="zh-CN"/>
              </w:rPr>
              <w:t>2.5</w:t>
            </w:r>
            <w:r>
              <w:rPr>
                <w:rFonts w:hint="default" w:ascii="Times New Roman" w:hAnsi="Times New Roman" w:cs="Times New Roman"/>
                <w:color w:val="auto"/>
                <w:kern w:val="0"/>
                <w:szCs w:val="21"/>
                <w:lang w:val="en-US" w:eastAsia="zh-CN"/>
              </w:rPr>
              <w:t>平均浓度为</w:t>
            </w:r>
            <w:r>
              <w:rPr>
                <w:rFonts w:hint="eastAsia" w:cs="Times New Roman"/>
                <w:color w:val="auto"/>
                <w:kern w:val="0"/>
                <w:szCs w:val="21"/>
                <w:lang w:val="en-US" w:eastAsia="zh-CN"/>
              </w:rPr>
              <w:t>27</w:t>
            </w:r>
            <w:r>
              <w:rPr>
                <w:rFonts w:hint="default" w:ascii="Times New Roman" w:hAnsi="Times New Roman" w:cs="Times New Roman"/>
                <w:color w:val="auto"/>
                <w:kern w:val="0"/>
                <w:szCs w:val="21"/>
                <w:lang w:val="en-US" w:eastAsia="zh-CN"/>
              </w:rPr>
              <w:t>μg/m³，同比</w:t>
            </w:r>
            <w:r>
              <w:rPr>
                <w:rFonts w:hint="eastAsia" w:cs="Times New Roman"/>
                <w:color w:val="auto"/>
                <w:kern w:val="0"/>
                <w:szCs w:val="21"/>
                <w:lang w:val="en-US" w:eastAsia="zh-CN"/>
              </w:rPr>
              <w:t>上升1.0</w:t>
            </w:r>
            <w:r>
              <w:rPr>
                <w:rFonts w:hint="default" w:ascii="Times New Roman" w:hAnsi="Times New Roman" w:cs="Times New Roman"/>
                <w:color w:val="auto"/>
                <w:kern w:val="0"/>
                <w:szCs w:val="21"/>
                <w:lang w:val="en-US" w:eastAsia="zh-CN"/>
              </w:rPr>
              <w:t>μg/m³，</w:t>
            </w:r>
            <w:r>
              <w:rPr>
                <w:rFonts w:hint="eastAsia" w:cs="Times New Roman"/>
                <w:color w:val="auto"/>
                <w:kern w:val="0"/>
                <w:szCs w:val="21"/>
                <w:lang w:val="en-US" w:eastAsia="zh-CN"/>
              </w:rPr>
              <w:t>上升</w:t>
            </w:r>
            <w:r>
              <w:rPr>
                <w:rFonts w:hint="default" w:ascii="Times New Roman" w:hAnsi="Times New Roman" w:cs="Times New Roman"/>
                <w:color w:val="auto"/>
                <w:kern w:val="0"/>
                <w:szCs w:val="21"/>
                <w:lang w:val="en-US" w:eastAsia="zh-CN"/>
              </w:rPr>
              <w:t>幅度为</w:t>
            </w:r>
            <w:r>
              <w:rPr>
                <w:rFonts w:hint="eastAsia" w:cs="Times New Roman"/>
                <w:color w:val="auto"/>
                <w:kern w:val="0"/>
                <w:szCs w:val="21"/>
                <w:lang w:val="en-US" w:eastAsia="zh-CN"/>
              </w:rPr>
              <w:t>3.8</w:t>
            </w:r>
            <w:r>
              <w:rPr>
                <w:rFonts w:hint="default" w:ascii="Times New Roman" w:hAnsi="Times New Roman" w:cs="Times New Roman"/>
                <w:color w:val="auto"/>
                <w:kern w:val="0"/>
                <w:szCs w:val="21"/>
                <w:lang w:val="en-US" w:eastAsia="zh-CN"/>
              </w:rPr>
              <w:t>%；PM</w:t>
            </w:r>
            <w:r>
              <w:rPr>
                <w:rFonts w:hint="default" w:ascii="Times New Roman" w:hAnsi="Times New Roman" w:cs="Times New Roman"/>
                <w:color w:val="auto"/>
                <w:kern w:val="0"/>
                <w:szCs w:val="21"/>
                <w:vertAlign w:val="subscript"/>
                <w:lang w:val="en-US" w:eastAsia="zh-CN"/>
              </w:rPr>
              <w:t>10</w:t>
            </w:r>
            <w:r>
              <w:rPr>
                <w:rFonts w:hint="default" w:ascii="Times New Roman" w:hAnsi="Times New Roman" w:cs="Times New Roman"/>
                <w:color w:val="auto"/>
                <w:kern w:val="0"/>
                <w:szCs w:val="21"/>
                <w:lang w:val="en-US" w:eastAsia="zh-CN"/>
              </w:rPr>
              <w:t>平均浓度为</w:t>
            </w:r>
            <w:r>
              <w:rPr>
                <w:rFonts w:hint="eastAsia" w:cs="Times New Roman"/>
                <w:color w:val="auto"/>
                <w:kern w:val="0"/>
                <w:szCs w:val="21"/>
                <w:lang w:val="en-US" w:eastAsia="zh-CN"/>
              </w:rPr>
              <w:t>50</w:t>
            </w:r>
            <w:r>
              <w:rPr>
                <w:rFonts w:hint="default" w:ascii="Times New Roman" w:hAnsi="Times New Roman" w:cs="Times New Roman"/>
                <w:color w:val="auto"/>
                <w:kern w:val="0"/>
                <w:szCs w:val="21"/>
                <w:lang w:val="en-US" w:eastAsia="zh-CN"/>
              </w:rPr>
              <w:t>μg/m³，同比</w:t>
            </w:r>
            <w:r>
              <w:rPr>
                <w:rFonts w:hint="eastAsia" w:cs="Times New Roman"/>
                <w:color w:val="auto"/>
                <w:kern w:val="0"/>
                <w:szCs w:val="21"/>
                <w:lang w:val="en-US" w:eastAsia="zh-CN"/>
              </w:rPr>
              <w:t>上升7</w:t>
            </w:r>
            <w:r>
              <w:rPr>
                <w:rFonts w:hint="default" w:ascii="Times New Roman" w:hAnsi="Times New Roman" w:cs="Times New Roman"/>
                <w:color w:val="auto"/>
                <w:kern w:val="0"/>
                <w:szCs w:val="21"/>
                <w:lang w:val="en-US" w:eastAsia="zh-CN"/>
              </w:rPr>
              <w:t>.0μg/m³，</w:t>
            </w:r>
            <w:r>
              <w:rPr>
                <w:rFonts w:hint="eastAsia" w:cs="Times New Roman"/>
                <w:color w:val="auto"/>
                <w:kern w:val="0"/>
                <w:szCs w:val="21"/>
                <w:lang w:val="en-US" w:eastAsia="zh-CN"/>
              </w:rPr>
              <w:t>上升</w:t>
            </w:r>
            <w:r>
              <w:rPr>
                <w:rFonts w:hint="default" w:ascii="Times New Roman" w:hAnsi="Times New Roman" w:cs="Times New Roman"/>
                <w:color w:val="auto"/>
                <w:kern w:val="0"/>
                <w:szCs w:val="21"/>
                <w:lang w:val="en-US" w:eastAsia="zh-CN"/>
              </w:rPr>
              <w:t>幅度为</w:t>
            </w:r>
            <w:r>
              <w:rPr>
                <w:rFonts w:hint="eastAsia" w:cs="Times New Roman"/>
                <w:color w:val="auto"/>
                <w:kern w:val="0"/>
                <w:szCs w:val="21"/>
                <w:lang w:val="en-US" w:eastAsia="zh-CN"/>
              </w:rPr>
              <w:t>16.3</w:t>
            </w:r>
            <w:r>
              <w:rPr>
                <w:rFonts w:hint="default" w:ascii="Times New Roman" w:hAnsi="Times New Roman" w:cs="Times New Roman"/>
                <w:color w:val="auto"/>
                <w:kern w:val="0"/>
                <w:szCs w:val="21"/>
                <w:lang w:val="en-US" w:eastAsia="zh-CN"/>
              </w:rPr>
              <w:t>%。环境空气质量达标率为9</w:t>
            </w:r>
            <w:r>
              <w:rPr>
                <w:rFonts w:hint="eastAsia" w:cs="Times New Roman"/>
                <w:color w:val="auto"/>
                <w:kern w:val="0"/>
                <w:szCs w:val="21"/>
                <w:lang w:val="en-US" w:eastAsia="zh-CN"/>
              </w:rPr>
              <w:t>7.3</w:t>
            </w:r>
            <w:r>
              <w:rPr>
                <w:rFonts w:hint="default" w:ascii="Times New Roman" w:hAnsi="Times New Roman" w:cs="Times New Roman"/>
                <w:color w:val="auto"/>
                <w:kern w:val="0"/>
                <w:szCs w:val="21"/>
                <w:lang w:val="en-US" w:eastAsia="zh-CN"/>
              </w:rPr>
              <w:t>%，同比上升</w:t>
            </w:r>
            <w:r>
              <w:rPr>
                <w:rFonts w:hint="eastAsia" w:cs="Times New Roman"/>
                <w:color w:val="auto"/>
                <w:kern w:val="0"/>
                <w:szCs w:val="21"/>
                <w:lang w:val="en-US" w:eastAsia="zh-CN"/>
              </w:rPr>
              <w:t>3.9</w:t>
            </w:r>
            <w:r>
              <w:rPr>
                <w:rFonts w:hint="default" w:ascii="Times New Roman" w:hAnsi="Times New Roman" w:cs="Times New Roman"/>
                <w:color w:val="auto"/>
                <w:kern w:val="0"/>
                <w:szCs w:val="21"/>
                <w:lang w:val="en-US" w:eastAsia="zh-CN"/>
              </w:rPr>
              <w:t>%，达标天数全年3</w:t>
            </w:r>
            <w:r>
              <w:rPr>
                <w:rFonts w:hint="eastAsia" w:cs="Times New Roman"/>
                <w:color w:val="auto"/>
                <w:kern w:val="0"/>
                <w:szCs w:val="21"/>
                <w:lang w:val="en-US" w:eastAsia="zh-CN"/>
              </w:rPr>
              <w:t>55</w:t>
            </w:r>
            <w:r>
              <w:rPr>
                <w:rFonts w:hint="default" w:ascii="Times New Roman" w:hAnsi="Times New Roman" w:cs="Times New Roman"/>
                <w:color w:val="auto"/>
                <w:kern w:val="0"/>
                <w:szCs w:val="21"/>
                <w:lang w:val="en-US" w:eastAsia="zh-CN"/>
              </w:rPr>
              <w:t>天。其中空气质量优1</w:t>
            </w:r>
            <w:r>
              <w:rPr>
                <w:rFonts w:hint="eastAsia" w:cs="Times New Roman"/>
                <w:color w:val="auto"/>
                <w:kern w:val="0"/>
                <w:szCs w:val="21"/>
                <w:lang w:val="en-US" w:eastAsia="zh-CN"/>
              </w:rPr>
              <w:t>94</w:t>
            </w:r>
            <w:r>
              <w:rPr>
                <w:rFonts w:hint="default" w:ascii="Times New Roman" w:hAnsi="Times New Roman" w:cs="Times New Roman"/>
                <w:color w:val="auto"/>
                <w:kern w:val="0"/>
                <w:szCs w:val="21"/>
                <w:lang w:val="en-US" w:eastAsia="zh-CN"/>
              </w:rPr>
              <w:t>天、良1</w:t>
            </w:r>
            <w:r>
              <w:rPr>
                <w:rFonts w:hint="eastAsia" w:cs="Times New Roman"/>
                <w:color w:val="auto"/>
                <w:kern w:val="0"/>
                <w:szCs w:val="21"/>
                <w:lang w:val="en-US" w:eastAsia="zh-CN"/>
              </w:rPr>
              <w:t>61</w:t>
            </w:r>
            <w:r>
              <w:rPr>
                <w:rFonts w:hint="default" w:ascii="Times New Roman" w:hAnsi="Times New Roman" w:cs="Times New Roman"/>
                <w:color w:val="auto"/>
                <w:kern w:val="0"/>
                <w:szCs w:val="21"/>
                <w:lang w:val="en-US" w:eastAsia="zh-CN"/>
              </w:rPr>
              <w:t>天、轻度污染</w:t>
            </w:r>
            <w:r>
              <w:rPr>
                <w:rFonts w:hint="eastAsia" w:cs="Times New Roman"/>
                <w:color w:val="auto"/>
                <w:kern w:val="0"/>
                <w:szCs w:val="21"/>
                <w:lang w:val="en-US" w:eastAsia="zh-CN"/>
              </w:rPr>
              <w:t>9</w:t>
            </w:r>
            <w:r>
              <w:rPr>
                <w:rFonts w:hint="default" w:ascii="Times New Roman" w:hAnsi="Times New Roman" w:cs="Times New Roman"/>
                <w:color w:val="auto"/>
                <w:kern w:val="0"/>
                <w:szCs w:val="21"/>
                <w:lang w:val="en-US" w:eastAsia="zh-CN"/>
              </w:rPr>
              <w:t>天、中度污染</w:t>
            </w:r>
            <w:r>
              <w:rPr>
                <w:rFonts w:hint="eastAsia" w:cs="Times New Roman"/>
                <w:color w:val="auto"/>
                <w:kern w:val="0"/>
                <w:szCs w:val="21"/>
                <w:lang w:val="en-US" w:eastAsia="zh-CN"/>
              </w:rPr>
              <w:t>1</w:t>
            </w:r>
            <w:r>
              <w:rPr>
                <w:rFonts w:hint="default" w:ascii="Times New Roman" w:hAnsi="Times New Roman" w:cs="Times New Roman"/>
                <w:color w:val="auto"/>
                <w:kern w:val="0"/>
                <w:szCs w:val="21"/>
                <w:lang w:val="en-US" w:eastAsia="zh-CN"/>
              </w:rPr>
              <w:t>天。</w:t>
            </w:r>
            <w:r>
              <w:rPr>
                <w:rFonts w:hint="default" w:ascii="Times New Roman" w:hAnsi="Times New Roman" w:cs="Times New Roman"/>
                <w:color w:val="auto"/>
                <w:szCs w:val="21"/>
                <w:lang w:val="zh-CN"/>
              </w:rPr>
              <w:t>本项目</w:t>
            </w:r>
            <w:r>
              <w:rPr>
                <w:rFonts w:hint="default" w:ascii="Times New Roman" w:hAnsi="Times New Roman" w:cs="Times New Roman"/>
                <w:color w:val="auto"/>
                <w:kern w:val="0"/>
                <w:szCs w:val="21"/>
                <w:lang w:val="en-US" w:eastAsia="zh-CN"/>
              </w:rPr>
              <w:t>所在区域为环境空气质量达标区。</w:t>
            </w:r>
          </w:p>
          <w:p>
            <w:pPr>
              <w:numPr>
                <w:ilvl w:val="0"/>
                <w:numId w:val="15"/>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特征污染物监测</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根据项目特点，对项目的特征污染物（</w:t>
            </w:r>
            <w:r>
              <w:rPr>
                <w:rFonts w:hint="default" w:ascii="Times New Roman" w:hAnsi="Times New Roman" w:cs="Times New Roman"/>
                <w:color w:val="auto"/>
                <w:szCs w:val="21"/>
                <w:lang w:val="en-US" w:eastAsia="zh-CN"/>
              </w:rPr>
              <w:t>非甲烷总烃</w:t>
            </w:r>
            <w:r>
              <w:rPr>
                <w:rFonts w:hint="default" w:ascii="Times New Roman" w:hAnsi="Times New Roman" w:cs="Times New Roman"/>
                <w:color w:val="auto"/>
                <w:szCs w:val="21"/>
              </w:rPr>
              <w:t>）</w:t>
            </w:r>
            <w:r>
              <w:rPr>
                <w:rFonts w:hint="eastAsia" w:cs="Times New Roman"/>
                <w:color w:val="auto"/>
                <w:szCs w:val="21"/>
                <w:lang w:eastAsia="zh-CN"/>
              </w:rPr>
              <w:t>，</w:t>
            </w:r>
            <w:r>
              <w:rPr>
                <w:rFonts w:hint="eastAsia" w:cs="Times New Roman"/>
                <w:color w:val="auto"/>
                <w:szCs w:val="21"/>
                <w:lang w:val="en-US" w:eastAsia="zh-CN"/>
              </w:rPr>
              <w:t>采用四川融华环境检测有限公司进行的实测数据进行评价。监测项目为非甲烷总烃，采样频次为连续检测3天，每天采样4次</w:t>
            </w:r>
            <w:r>
              <w:rPr>
                <w:rFonts w:hint="default" w:ascii="Times New Roman" w:hAnsi="Times New Roman" w:cs="Times New Roman"/>
                <w:color w:val="auto"/>
                <w:szCs w:val="21"/>
              </w:rPr>
              <w:t>。</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 xml:space="preserve">监测结果见下表。 </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环境空气（</w:t>
            </w:r>
            <w:r>
              <w:rPr>
                <w:rFonts w:hint="default" w:ascii="Times New Roman" w:hAnsi="Times New Roman" w:eastAsia="黑体" w:cs="Times New Roman"/>
                <w:color w:val="auto"/>
                <w:kern w:val="0"/>
                <w:sz w:val="20"/>
                <w:szCs w:val="20"/>
                <w:lang w:val="en-US" w:eastAsia="zh-CN"/>
              </w:rPr>
              <w:t>非甲烷总烃</w:t>
            </w:r>
            <w:r>
              <w:rPr>
                <w:rFonts w:hint="default" w:ascii="Times New Roman" w:hAnsi="Times New Roman" w:eastAsia="黑体" w:cs="Times New Roman"/>
                <w:color w:val="auto"/>
                <w:kern w:val="0"/>
                <w:sz w:val="20"/>
                <w:szCs w:val="20"/>
                <w:lang w:val="zh-CN" w:eastAsia="zh-CN"/>
              </w:rPr>
              <w:t>）现状评价结果表</w:t>
            </w:r>
          </w:p>
          <w:tbl>
            <w:tblPr>
              <w:tblStyle w:val="17"/>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038"/>
              <w:gridCol w:w="1634"/>
              <w:gridCol w:w="1705"/>
              <w:gridCol w:w="1494"/>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98" w:type="dxa"/>
                  <w:noWrap w:val="0"/>
                  <w:vAlign w:val="center"/>
                </w:tcPr>
                <w:p>
                  <w:pPr>
                    <w:adjustRightInd w:val="0"/>
                    <w:snapToGrid w:val="0"/>
                    <w:spacing w:line="26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监测点位</w:t>
                  </w:r>
                </w:p>
              </w:tc>
              <w:tc>
                <w:tcPr>
                  <w:tcW w:w="1038" w:type="dxa"/>
                  <w:noWrap w:val="0"/>
                  <w:vAlign w:val="center"/>
                </w:tcPr>
                <w:p>
                  <w:pPr>
                    <w:adjustRightInd w:val="0"/>
                    <w:snapToGrid w:val="0"/>
                    <w:spacing w:line="26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监测日期</w:t>
                  </w:r>
                </w:p>
              </w:tc>
              <w:tc>
                <w:tcPr>
                  <w:tcW w:w="1634" w:type="dxa"/>
                  <w:noWrap w:val="0"/>
                  <w:vAlign w:val="center"/>
                </w:tcPr>
                <w:p>
                  <w:pPr>
                    <w:adjustRightInd w:val="0"/>
                    <w:snapToGrid w:val="0"/>
                    <w:spacing w:line="260" w:lineRule="exact"/>
                    <w:jc w:val="center"/>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rPr>
                    <w:t>监测结果</w:t>
                  </w:r>
                  <w:r>
                    <w:rPr>
                      <w:rFonts w:hint="default" w:ascii="Times New Roman" w:hAnsi="Times New Roman" w:cs="Times New Roman"/>
                      <w:b/>
                      <w:bCs/>
                      <w:color w:val="auto"/>
                      <w:sz w:val="18"/>
                      <w:szCs w:val="18"/>
                      <w:lang w:eastAsia="zh-CN"/>
                    </w:rPr>
                    <w:t>（</w:t>
                  </w:r>
                  <w:r>
                    <w:rPr>
                      <w:rFonts w:hint="default" w:ascii="Times New Roman" w:hAnsi="Times New Roman" w:cs="Times New Roman"/>
                      <w:b/>
                      <w:bCs/>
                      <w:color w:val="auto"/>
                      <w:sz w:val="18"/>
                      <w:szCs w:val="18"/>
                      <w:lang w:val="en-US" w:eastAsia="zh-CN"/>
                    </w:rPr>
                    <w:t>mg/L</w:t>
                  </w:r>
                  <w:r>
                    <w:rPr>
                      <w:rFonts w:hint="default" w:ascii="Times New Roman" w:hAnsi="Times New Roman" w:cs="Times New Roman"/>
                      <w:b/>
                      <w:bCs/>
                      <w:color w:val="auto"/>
                      <w:sz w:val="18"/>
                      <w:szCs w:val="18"/>
                      <w:lang w:eastAsia="zh-CN"/>
                    </w:rPr>
                    <w:t>）</w:t>
                  </w:r>
                </w:p>
              </w:tc>
              <w:tc>
                <w:tcPr>
                  <w:tcW w:w="1705" w:type="dxa"/>
                  <w:noWrap w:val="0"/>
                  <w:vAlign w:val="center"/>
                </w:tcPr>
                <w:p>
                  <w:pPr>
                    <w:adjustRightInd w:val="0"/>
                    <w:snapToGrid w:val="0"/>
                    <w:spacing w:line="26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评价标准（</w:t>
                  </w:r>
                  <w:r>
                    <w:rPr>
                      <w:rFonts w:hint="eastAsia" w:cs="Times New Roman"/>
                      <w:b/>
                      <w:bCs/>
                      <w:color w:val="auto"/>
                      <w:sz w:val="18"/>
                      <w:szCs w:val="18"/>
                      <w:lang w:val="en-US" w:eastAsia="zh-CN"/>
                    </w:rPr>
                    <w:t>1次</w:t>
                  </w:r>
                  <w:r>
                    <w:rPr>
                      <w:rFonts w:hint="default" w:ascii="Times New Roman" w:hAnsi="Times New Roman" w:cs="Times New Roman"/>
                      <w:b/>
                      <w:bCs/>
                      <w:color w:val="auto"/>
                      <w:sz w:val="18"/>
                      <w:szCs w:val="18"/>
                    </w:rPr>
                    <w:t>值）</w:t>
                  </w:r>
                </w:p>
              </w:tc>
              <w:tc>
                <w:tcPr>
                  <w:tcW w:w="1494" w:type="dxa"/>
                  <w:noWrap w:val="0"/>
                  <w:vAlign w:val="center"/>
                </w:tcPr>
                <w:p>
                  <w:pPr>
                    <w:adjustRightInd w:val="0"/>
                    <w:snapToGrid w:val="0"/>
                    <w:spacing w:line="26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占标率</w:t>
                  </w:r>
                </w:p>
              </w:tc>
              <w:tc>
                <w:tcPr>
                  <w:tcW w:w="1208" w:type="dxa"/>
                  <w:noWrap w:val="0"/>
                  <w:vAlign w:val="center"/>
                </w:tcPr>
                <w:p>
                  <w:pPr>
                    <w:adjustRightInd w:val="0"/>
                    <w:snapToGrid w:val="0"/>
                    <w:spacing w:line="26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98" w:type="dxa"/>
                  <w:vMerge w:val="restart"/>
                  <w:noWrap w:val="0"/>
                  <w:vAlign w:val="center"/>
                </w:tcPr>
                <w:p>
                  <w:pPr>
                    <w:adjustRightInd w:val="0"/>
                    <w:snapToGrid w:val="0"/>
                    <w:spacing w:line="26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项目区</w:t>
                  </w:r>
                  <w:r>
                    <w:rPr>
                      <w:rFonts w:hint="default" w:ascii="Times New Roman" w:hAnsi="Times New Roman" w:cs="Times New Roman"/>
                      <w:color w:val="auto"/>
                      <w:sz w:val="18"/>
                      <w:szCs w:val="18"/>
                      <w:lang w:val="en-US" w:eastAsia="zh-CN"/>
                    </w:rPr>
                    <w:t>内</w:t>
                  </w:r>
                </w:p>
              </w:tc>
              <w:tc>
                <w:tcPr>
                  <w:tcW w:w="1038" w:type="dxa"/>
                  <w:noWrap w:val="0"/>
                  <w:vAlign w:val="center"/>
                </w:tcPr>
                <w:p>
                  <w:pPr>
                    <w:spacing w:line="260" w:lineRule="exact"/>
                    <w:ind w:left="-105" w:leftChars="-50" w:right="-105" w:rightChars="-50"/>
                    <w:jc w:val="center"/>
                    <w:rPr>
                      <w:rFonts w:hint="default" w:ascii="Times New Roman" w:hAnsi="Times New Roman" w:cs="Times New Roman"/>
                      <w:color w:val="auto"/>
                      <w:sz w:val="18"/>
                      <w:szCs w:val="18"/>
                      <w:lang w:val="en-US" w:eastAsia="zh-CN"/>
                    </w:rPr>
                  </w:pPr>
                  <w:r>
                    <w:rPr>
                      <w:rFonts w:hint="eastAsia" w:cs="Times New Roman"/>
                      <w:color w:val="auto"/>
                      <w:szCs w:val="21"/>
                      <w:u w:val="single"/>
                      <w:lang w:val="en-US" w:eastAsia="zh-CN"/>
                    </w:rPr>
                    <w:t>***</w:t>
                  </w:r>
                </w:p>
              </w:tc>
              <w:tc>
                <w:tcPr>
                  <w:tcW w:w="1634"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 w:val="18"/>
                      <w:szCs w:val="18"/>
                      <w:lang w:val="en-US" w:eastAsia="zh-CN"/>
                    </w:rPr>
                  </w:pPr>
                  <w:r>
                    <w:rPr>
                      <w:rFonts w:hint="eastAsia" w:cs="Times New Roman"/>
                      <w:color w:val="auto"/>
                      <w:szCs w:val="21"/>
                      <w:u w:val="single"/>
                      <w:lang w:val="en-US" w:eastAsia="zh-CN"/>
                    </w:rPr>
                    <w:t>***</w:t>
                  </w:r>
                </w:p>
              </w:tc>
              <w:tc>
                <w:tcPr>
                  <w:tcW w:w="1705" w:type="dxa"/>
                  <w:noWrap w:val="0"/>
                  <w:vAlign w:val="center"/>
                </w:tcPr>
                <w:p>
                  <w:pPr>
                    <w:adjustRightInd w:val="0"/>
                    <w:snapToGrid w:val="0"/>
                    <w:spacing w:line="260" w:lineRule="exact"/>
                    <w:jc w:val="center"/>
                    <w:rPr>
                      <w:rFonts w:hint="default" w:ascii="Times New Roman" w:hAnsi="Times New Roman" w:cs="Times New Roman"/>
                      <w:color w:val="auto"/>
                      <w:sz w:val="18"/>
                      <w:szCs w:val="18"/>
                    </w:rPr>
                  </w:pPr>
                  <w:r>
                    <w:rPr>
                      <w:rFonts w:hint="eastAsia" w:cs="Times New Roman"/>
                      <w:color w:val="auto"/>
                      <w:szCs w:val="21"/>
                      <w:u w:val="single"/>
                      <w:lang w:val="en-US" w:eastAsia="zh-CN"/>
                    </w:rPr>
                    <w:t>***</w:t>
                  </w:r>
                </w:p>
              </w:tc>
              <w:tc>
                <w:tcPr>
                  <w:tcW w:w="1494" w:type="dxa"/>
                  <w:noWrap w:val="0"/>
                  <w:vAlign w:val="center"/>
                </w:tcPr>
                <w:p>
                  <w:pPr>
                    <w:adjustRightInd w:val="0"/>
                    <w:snapToGrid w:val="0"/>
                    <w:spacing w:line="26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Cs w:val="21"/>
                      <w:u w:val="single"/>
                      <w:lang w:val="en-US" w:eastAsia="zh-CN"/>
                    </w:rPr>
                    <w:t>***</w:t>
                  </w:r>
                </w:p>
              </w:tc>
              <w:tc>
                <w:tcPr>
                  <w:tcW w:w="1208" w:type="dxa"/>
                  <w:noWrap w:val="0"/>
                  <w:vAlign w:val="center"/>
                </w:tcPr>
                <w:p>
                  <w:pPr>
                    <w:adjustRightInd w:val="0"/>
                    <w:snapToGrid w:val="0"/>
                    <w:spacing w:line="2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98" w:type="dxa"/>
                  <w:vMerge w:val="continue"/>
                  <w:noWrap w:val="0"/>
                  <w:vAlign w:val="center"/>
                </w:tcPr>
                <w:p>
                  <w:pPr>
                    <w:adjustRightInd w:val="0"/>
                    <w:snapToGrid w:val="0"/>
                    <w:spacing w:line="260" w:lineRule="exact"/>
                    <w:ind w:left="-53" w:leftChars="-25" w:right="-53" w:rightChars="-25"/>
                    <w:jc w:val="center"/>
                    <w:rPr>
                      <w:rFonts w:hint="default" w:ascii="Times New Roman" w:hAnsi="Times New Roman" w:cs="Times New Roman"/>
                      <w:color w:val="auto"/>
                      <w:sz w:val="18"/>
                      <w:szCs w:val="18"/>
                    </w:rPr>
                  </w:pPr>
                </w:p>
              </w:tc>
              <w:tc>
                <w:tcPr>
                  <w:tcW w:w="1038" w:type="dxa"/>
                  <w:noWrap w:val="0"/>
                  <w:vAlign w:val="center"/>
                </w:tcPr>
                <w:p>
                  <w:pPr>
                    <w:spacing w:line="260" w:lineRule="exact"/>
                    <w:ind w:left="-105" w:leftChars="-50" w:right="-105" w:rightChars="-50"/>
                    <w:jc w:val="center"/>
                    <w:rPr>
                      <w:rFonts w:hint="default" w:ascii="Times New Roman" w:hAnsi="Times New Roman" w:cs="Times New Roman"/>
                      <w:color w:val="auto"/>
                      <w:sz w:val="18"/>
                      <w:szCs w:val="18"/>
                      <w:lang w:val="en-US" w:eastAsia="zh-CN"/>
                    </w:rPr>
                  </w:pPr>
                  <w:r>
                    <w:rPr>
                      <w:rFonts w:hint="eastAsia" w:cs="Times New Roman"/>
                      <w:color w:val="auto"/>
                      <w:szCs w:val="21"/>
                      <w:u w:val="single"/>
                      <w:lang w:val="en-US" w:eastAsia="zh-CN"/>
                    </w:rPr>
                    <w:t>***</w:t>
                  </w:r>
                </w:p>
              </w:tc>
              <w:tc>
                <w:tcPr>
                  <w:tcW w:w="1634"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 w:val="18"/>
                      <w:szCs w:val="18"/>
                      <w:lang w:val="en-US" w:eastAsia="zh-CN"/>
                    </w:rPr>
                  </w:pPr>
                  <w:r>
                    <w:rPr>
                      <w:rFonts w:hint="eastAsia" w:cs="Times New Roman"/>
                      <w:color w:val="auto"/>
                      <w:szCs w:val="21"/>
                      <w:u w:val="single"/>
                      <w:lang w:val="en-US" w:eastAsia="zh-CN"/>
                    </w:rPr>
                    <w:t>***</w:t>
                  </w:r>
                </w:p>
              </w:tc>
              <w:tc>
                <w:tcPr>
                  <w:tcW w:w="1705" w:type="dxa"/>
                  <w:noWrap w:val="0"/>
                  <w:vAlign w:val="center"/>
                </w:tcPr>
                <w:p>
                  <w:pPr>
                    <w:adjustRightInd w:val="0"/>
                    <w:snapToGrid w:val="0"/>
                    <w:spacing w:line="260" w:lineRule="exact"/>
                    <w:jc w:val="center"/>
                    <w:rPr>
                      <w:rFonts w:hint="default" w:ascii="Times New Roman" w:hAnsi="Times New Roman" w:cs="Times New Roman"/>
                      <w:color w:val="auto"/>
                      <w:sz w:val="18"/>
                      <w:szCs w:val="18"/>
                    </w:rPr>
                  </w:pPr>
                  <w:r>
                    <w:rPr>
                      <w:rFonts w:hint="eastAsia" w:cs="Times New Roman"/>
                      <w:color w:val="auto"/>
                      <w:szCs w:val="21"/>
                      <w:u w:val="single"/>
                      <w:lang w:val="en-US" w:eastAsia="zh-CN"/>
                    </w:rPr>
                    <w:t>***</w:t>
                  </w:r>
                </w:p>
              </w:tc>
              <w:tc>
                <w:tcPr>
                  <w:tcW w:w="1494" w:type="dxa"/>
                  <w:noWrap w:val="0"/>
                  <w:vAlign w:val="center"/>
                </w:tcPr>
                <w:p>
                  <w:pPr>
                    <w:adjustRightInd w:val="0"/>
                    <w:snapToGrid w:val="0"/>
                    <w:spacing w:line="260" w:lineRule="exact"/>
                    <w:jc w:val="center"/>
                    <w:rPr>
                      <w:rFonts w:hint="default" w:ascii="Times New Roman" w:hAnsi="Times New Roman" w:cs="Times New Roman"/>
                      <w:color w:val="auto"/>
                      <w:sz w:val="18"/>
                      <w:szCs w:val="18"/>
                    </w:rPr>
                  </w:pPr>
                  <w:r>
                    <w:rPr>
                      <w:rFonts w:hint="eastAsia" w:cs="Times New Roman"/>
                      <w:color w:val="auto"/>
                      <w:szCs w:val="21"/>
                      <w:u w:val="single"/>
                      <w:lang w:val="en-US" w:eastAsia="zh-CN"/>
                    </w:rPr>
                    <w:t>***</w:t>
                  </w:r>
                </w:p>
              </w:tc>
              <w:tc>
                <w:tcPr>
                  <w:tcW w:w="1208" w:type="dxa"/>
                  <w:noWrap w:val="0"/>
                  <w:vAlign w:val="center"/>
                </w:tcPr>
                <w:p>
                  <w:pPr>
                    <w:adjustRightInd w:val="0"/>
                    <w:snapToGrid w:val="0"/>
                    <w:spacing w:line="2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98" w:type="dxa"/>
                  <w:vMerge w:val="continue"/>
                  <w:noWrap w:val="0"/>
                  <w:vAlign w:val="center"/>
                </w:tcPr>
                <w:p>
                  <w:pPr>
                    <w:adjustRightInd w:val="0"/>
                    <w:snapToGrid w:val="0"/>
                    <w:spacing w:line="260" w:lineRule="exact"/>
                    <w:ind w:left="-53" w:leftChars="-25" w:right="-53" w:rightChars="-25"/>
                    <w:jc w:val="center"/>
                    <w:rPr>
                      <w:rFonts w:hint="default" w:ascii="Times New Roman" w:hAnsi="Times New Roman" w:cs="Times New Roman"/>
                      <w:color w:val="auto"/>
                      <w:sz w:val="18"/>
                      <w:szCs w:val="18"/>
                    </w:rPr>
                  </w:pPr>
                </w:p>
              </w:tc>
              <w:tc>
                <w:tcPr>
                  <w:tcW w:w="1038" w:type="dxa"/>
                  <w:noWrap w:val="0"/>
                  <w:vAlign w:val="center"/>
                </w:tcPr>
                <w:p>
                  <w:pPr>
                    <w:spacing w:line="260" w:lineRule="exact"/>
                    <w:ind w:left="-105" w:leftChars="-50" w:right="-105" w:rightChars="-50"/>
                    <w:jc w:val="center"/>
                    <w:rPr>
                      <w:rFonts w:hint="default" w:ascii="Times New Roman" w:hAnsi="Times New Roman" w:cs="Times New Roman"/>
                      <w:color w:val="auto"/>
                      <w:sz w:val="18"/>
                      <w:szCs w:val="18"/>
                      <w:lang w:val="en-US" w:eastAsia="zh-CN"/>
                    </w:rPr>
                  </w:pPr>
                  <w:r>
                    <w:rPr>
                      <w:rFonts w:hint="eastAsia" w:cs="Times New Roman"/>
                      <w:color w:val="auto"/>
                      <w:szCs w:val="21"/>
                      <w:u w:val="single"/>
                      <w:lang w:val="en-US" w:eastAsia="zh-CN"/>
                    </w:rPr>
                    <w:t>***</w:t>
                  </w:r>
                </w:p>
              </w:tc>
              <w:tc>
                <w:tcPr>
                  <w:tcW w:w="1634" w:type="dxa"/>
                  <w:noWrap w:val="0"/>
                  <w:vAlign w:val="center"/>
                </w:tcPr>
                <w:p>
                  <w:pPr>
                    <w:spacing w:line="260" w:lineRule="exact"/>
                    <w:ind w:left="-105" w:leftChars="-50" w:right="-105" w:rightChars="-50"/>
                    <w:jc w:val="center"/>
                    <w:rPr>
                      <w:rFonts w:hint="default" w:ascii="Times New Roman" w:hAnsi="Times New Roman" w:eastAsia="宋体" w:cs="Times New Roman"/>
                      <w:color w:val="auto"/>
                      <w:sz w:val="18"/>
                      <w:szCs w:val="18"/>
                      <w:lang w:val="en-US" w:eastAsia="zh-CN"/>
                    </w:rPr>
                  </w:pPr>
                  <w:r>
                    <w:rPr>
                      <w:rFonts w:hint="eastAsia" w:cs="Times New Roman"/>
                      <w:color w:val="auto"/>
                      <w:szCs w:val="21"/>
                      <w:u w:val="single"/>
                      <w:lang w:val="en-US" w:eastAsia="zh-CN"/>
                    </w:rPr>
                    <w:t>***</w:t>
                  </w:r>
                </w:p>
              </w:tc>
              <w:tc>
                <w:tcPr>
                  <w:tcW w:w="1705" w:type="dxa"/>
                  <w:noWrap w:val="0"/>
                  <w:vAlign w:val="center"/>
                </w:tcPr>
                <w:p>
                  <w:pPr>
                    <w:adjustRightInd w:val="0"/>
                    <w:snapToGrid w:val="0"/>
                    <w:spacing w:line="260" w:lineRule="exact"/>
                    <w:jc w:val="center"/>
                    <w:rPr>
                      <w:rFonts w:hint="default" w:ascii="Times New Roman" w:hAnsi="Times New Roman" w:cs="Times New Roman"/>
                      <w:color w:val="auto"/>
                      <w:sz w:val="18"/>
                      <w:szCs w:val="18"/>
                    </w:rPr>
                  </w:pPr>
                  <w:r>
                    <w:rPr>
                      <w:rFonts w:hint="eastAsia" w:cs="Times New Roman"/>
                      <w:color w:val="auto"/>
                      <w:szCs w:val="21"/>
                      <w:u w:val="single"/>
                      <w:lang w:val="en-US" w:eastAsia="zh-CN"/>
                    </w:rPr>
                    <w:t>***</w:t>
                  </w:r>
                </w:p>
              </w:tc>
              <w:tc>
                <w:tcPr>
                  <w:tcW w:w="1494" w:type="dxa"/>
                  <w:noWrap w:val="0"/>
                  <w:vAlign w:val="center"/>
                </w:tcPr>
                <w:p>
                  <w:pPr>
                    <w:adjustRightInd w:val="0"/>
                    <w:snapToGrid w:val="0"/>
                    <w:spacing w:line="260" w:lineRule="exact"/>
                    <w:jc w:val="center"/>
                    <w:rPr>
                      <w:rFonts w:hint="default" w:ascii="Times New Roman" w:hAnsi="Times New Roman" w:cs="Times New Roman"/>
                      <w:color w:val="auto"/>
                      <w:sz w:val="18"/>
                      <w:szCs w:val="18"/>
                    </w:rPr>
                  </w:pPr>
                  <w:r>
                    <w:rPr>
                      <w:rFonts w:hint="eastAsia" w:cs="Times New Roman"/>
                      <w:color w:val="auto"/>
                      <w:szCs w:val="21"/>
                      <w:u w:val="single"/>
                      <w:lang w:val="en-US" w:eastAsia="zh-CN"/>
                    </w:rPr>
                    <w:t>***</w:t>
                  </w:r>
                </w:p>
              </w:tc>
              <w:tc>
                <w:tcPr>
                  <w:tcW w:w="1208" w:type="dxa"/>
                  <w:noWrap w:val="0"/>
                  <w:vAlign w:val="center"/>
                </w:tcPr>
                <w:p>
                  <w:pPr>
                    <w:adjustRightInd w:val="0"/>
                    <w:snapToGrid w:val="0"/>
                    <w:spacing w:line="2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977" w:type="dxa"/>
                  <w:gridSpan w:val="6"/>
                  <w:noWrap w:val="0"/>
                  <w:vAlign w:val="center"/>
                </w:tcPr>
                <w:p>
                  <w:pPr>
                    <w:adjustRightInd w:val="0"/>
                    <w:snapToGrid w:val="0"/>
                    <w:spacing w:line="260" w:lineRule="exact"/>
                    <w:jc w:val="both"/>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评价标准：</w:t>
                  </w:r>
                  <w:r>
                    <w:rPr>
                      <w:rFonts w:hint="default" w:ascii="Times New Roman" w:hAnsi="Times New Roman" w:cs="Times New Roman"/>
                      <w:color w:val="auto"/>
                      <w:sz w:val="18"/>
                      <w:szCs w:val="18"/>
                    </w:rPr>
                    <w:t>采用《大气污染物综合排放标准详解》</w:t>
                  </w:r>
                  <w:r>
                    <w:rPr>
                      <w:rFonts w:hint="default" w:ascii="Times New Roman" w:hAnsi="Times New Roman" w:cs="Times New Roman"/>
                      <w:color w:val="auto"/>
                      <w:sz w:val="18"/>
                      <w:szCs w:val="18"/>
                      <w:lang w:val="en-US" w:eastAsia="zh-CN"/>
                    </w:rPr>
                    <w:t>中的</w:t>
                  </w: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作为参考浓度限值。</w:t>
                  </w:r>
                </w:p>
              </w:tc>
            </w:tr>
          </w:tbl>
          <w:p>
            <w:pPr>
              <w:autoSpaceDE w:val="0"/>
              <w:autoSpaceDN w:val="0"/>
              <w:adjustRightInd w:val="0"/>
              <w:snapToGrid w:val="0"/>
              <w:spacing w:line="400" w:lineRule="exact"/>
              <w:ind w:right="-31" w:rightChars="-15" w:firstLine="420" w:firstLineChars="20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由上表可见，项目区环境空气中项目特征因子</w:t>
            </w:r>
            <w:r>
              <w:rPr>
                <w:rFonts w:hint="default" w:ascii="Times New Roman" w:hAnsi="Times New Roman" w:cs="Times New Roman"/>
                <w:color w:val="auto"/>
                <w:szCs w:val="21"/>
                <w:lang w:val="en-US" w:eastAsia="zh-CN"/>
              </w:rPr>
              <w:t>非甲烷总烃</w:t>
            </w:r>
            <w:r>
              <w:rPr>
                <w:rFonts w:hint="default" w:ascii="Times New Roman" w:hAnsi="Times New Roman" w:cs="Times New Roman"/>
                <w:color w:val="auto"/>
                <w:szCs w:val="21"/>
              </w:rPr>
              <w:t>的占标率均小于100%。说明项目所在地环境空气质量（</w:t>
            </w:r>
            <w:r>
              <w:rPr>
                <w:rFonts w:hint="default" w:ascii="Times New Roman" w:hAnsi="Times New Roman" w:cs="Times New Roman"/>
                <w:color w:val="auto"/>
                <w:szCs w:val="21"/>
                <w:lang w:val="en-US" w:eastAsia="zh-CN"/>
              </w:rPr>
              <w:t>非甲烷总烃</w:t>
            </w:r>
            <w:r>
              <w:rPr>
                <w:rFonts w:hint="default" w:ascii="Times New Roman" w:hAnsi="Times New Roman" w:cs="Times New Roman"/>
                <w:color w:val="auto"/>
                <w:szCs w:val="21"/>
              </w:rPr>
              <w:t>）能够满足相关要求</w:t>
            </w:r>
            <w:r>
              <w:rPr>
                <w:rFonts w:hint="default" w:ascii="Times New Roman" w:hAnsi="Times New Roman" w:cs="Times New Roman"/>
                <w:color w:val="auto"/>
                <w:szCs w:val="21"/>
                <w:lang w:eastAsia="zh-CN"/>
              </w:rPr>
              <w:t>。</w:t>
            </w:r>
          </w:p>
          <w:p>
            <w:pPr>
              <w:numPr>
                <w:ilvl w:val="0"/>
                <w:numId w:val="14"/>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地表水环境</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szCs w:val="28"/>
                <w:highlight w:val="none"/>
                <w:lang w:val="zh-CN"/>
              </w:rPr>
            </w:pPr>
            <w:r>
              <w:rPr>
                <w:rFonts w:hint="default" w:ascii="Times New Roman" w:hAnsi="Times New Roman" w:cs="Times New Roman"/>
                <w:color w:val="auto"/>
                <w:kern w:val="0"/>
                <w:szCs w:val="21"/>
                <w:highlight w:val="none"/>
              </w:rPr>
              <w:t>本项目无外排废水，项目所在地</w:t>
            </w:r>
            <w:r>
              <w:rPr>
                <w:rFonts w:hint="eastAsia" w:cs="Times New Roman"/>
                <w:color w:val="auto"/>
                <w:kern w:val="0"/>
                <w:szCs w:val="21"/>
                <w:highlight w:val="none"/>
                <w:lang w:val="en-US" w:eastAsia="zh-CN"/>
              </w:rPr>
              <w:t>附</w:t>
            </w:r>
            <w:r>
              <w:rPr>
                <w:rFonts w:hint="default" w:ascii="Times New Roman" w:hAnsi="Times New Roman" w:cs="Times New Roman"/>
                <w:color w:val="auto"/>
                <w:kern w:val="0"/>
                <w:szCs w:val="21"/>
                <w:highlight w:val="none"/>
                <w:lang w:val="en-US" w:eastAsia="zh-CN"/>
              </w:rPr>
              <w:t>近的河流为</w:t>
            </w:r>
            <w:r>
              <w:rPr>
                <w:rFonts w:hint="eastAsia" w:cs="Times New Roman"/>
                <w:color w:val="auto"/>
                <w:kern w:val="0"/>
                <w:szCs w:val="21"/>
                <w:highlight w:val="none"/>
                <w:lang w:val="en-US" w:eastAsia="zh-CN"/>
              </w:rPr>
              <w:t>后河，后河属于州河上游一级支流</w:t>
            </w:r>
            <w:r>
              <w:rPr>
                <w:rFonts w:hint="default" w:ascii="Times New Roman" w:hAnsi="Times New Roman" w:cs="Times New Roman"/>
                <w:color w:val="auto"/>
                <w:kern w:val="0"/>
                <w:szCs w:val="21"/>
                <w:highlight w:val="none"/>
                <w:lang w:val="en-US" w:eastAsia="zh-CN"/>
              </w:rPr>
              <w:t>，因此本报告采用</w:t>
            </w:r>
            <w:r>
              <w:rPr>
                <w:rFonts w:hint="eastAsia" w:cs="Times New Roman"/>
                <w:color w:val="auto"/>
                <w:kern w:val="0"/>
                <w:szCs w:val="21"/>
                <w:highlight w:val="none"/>
                <w:lang w:val="en-US" w:eastAsia="zh-CN"/>
              </w:rPr>
              <w:t>达州市生态环境局发布的《达州市地表水水质月报》</w:t>
            </w:r>
            <w:r>
              <w:rPr>
                <w:rFonts w:hint="default" w:ascii="Times New Roman" w:hAnsi="Times New Roman" w:cs="Times New Roman"/>
                <w:color w:val="auto"/>
                <w:kern w:val="0"/>
                <w:szCs w:val="21"/>
                <w:highlight w:val="none"/>
                <w:lang w:val="en-US" w:eastAsia="zh-CN"/>
              </w:rPr>
              <w:t>数据说明区域的水环境质量</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szCs w:val="28"/>
                <w:highlight w:val="none"/>
                <w:lang w:val="zh-CN"/>
              </w:rPr>
              <w:t>根据《202</w:t>
            </w:r>
            <w:r>
              <w:rPr>
                <w:rFonts w:hint="default" w:ascii="Times New Roman" w:hAnsi="Times New Roman" w:cs="Times New Roman"/>
                <w:color w:val="auto"/>
                <w:szCs w:val="28"/>
                <w:highlight w:val="none"/>
                <w:lang w:val="en-US" w:eastAsia="zh-CN"/>
              </w:rPr>
              <w:t>3</w:t>
            </w:r>
            <w:r>
              <w:rPr>
                <w:rFonts w:hint="default" w:ascii="Times New Roman" w:hAnsi="Times New Roman" w:cs="Times New Roman"/>
                <w:color w:val="auto"/>
                <w:szCs w:val="28"/>
                <w:highlight w:val="none"/>
                <w:lang w:val="zh-CN"/>
              </w:rPr>
              <w:t>年</w:t>
            </w:r>
            <w:r>
              <w:rPr>
                <w:rFonts w:hint="eastAsia" w:cs="Times New Roman"/>
                <w:color w:val="auto"/>
                <w:szCs w:val="28"/>
                <w:highlight w:val="none"/>
                <w:lang w:val="en-US" w:eastAsia="zh-CN"/>
              </w:rPr>
              <w:t>9</w:t>
            </w:r>
            <w:r>
              <w:rPr>
                <w:rFonts w:hint="default" w:ascii="Times New Roman" w:hAnsi="Times New Roman" w:cs="Times New Roman"/>
                <w:color w:val="auto"/>
                <w:szCs w:val="28"/>
                <w:highlight w:val="none"/>
                <w:lang w:val="zh-CN"/>
              </w:rPr>
              <w:t>月达州市地表水水质月报》：2023年9月全市37个河流断面均为优（Ⅰ~Ⅱ类）良（Ⅲ类）水质断面，占比100%。</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szCs w:val="28"/>
                <w:highlight w:val="none"/>
                <w:lang w:val="zh-CN"/>
              </w:rPr>
            </w:pPr>
            <w:r>
              <w:rPr>
                <w:rFonts w:hint="default" w:ascii="Times New Roman" w:hAnsi="Times New Roman" w:cs="Times New Roman"/>
                <w:color w:val="auto"/>
                <w:szCs w:val="28"/>
                <w:highlight w:val="none"/>
                <w:lang w:val="en-US" w:eastAsia="zh-CN"/>
              </w:rPr>
              <w:t>区域</w:t>
            </w:r>
            <w:r>
              <w:rPr>
                <w:rFonts w:hint="default" w:ascii="Times New Roman" w:hAnsi="Times New Roman" w:cs="Times New Roman"/>
                <w:color w:val="auto"/>
                <w:szCs w:val="28"/>
                <w:highlight w:val="none"/>
                <w:lang w:val="zh-CN"/>
              </w:rPr>
              <w:t>水质评价结果表如下。</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202</w:t>
            </w:r>
            <w:r>
              <w:rPr>
                <w:rFonts w:hint="default" w:ascii="Times New Roman" w:hAnsi="Times New Roman" w:eastAsia="黑体" w:cs="Times New Roman"/>
                <w:color w:val="auto"/>
                <w:kern w:val="0"/>
                <w:sz w:val="20"/>
                <w:szCs w:val="20"/>
                <w:highlight w:val="none"/>
                <w:lang w:val="en-US" w:eastAsia="zh-CN"/>
              </w:rPr>
              <w:t>3</w:t>
            </w:r>
            <w:r>
              <w:rPr>
                <w:rFonts w:hint="default" w:ascii="Times New Roman" w:hAnsi="Times New Roman" w:eastAsia="黑体" w:cs="Times New Roman"/>
                <w:color w:val="auto"/>
                <w:kern w:val="0"/>
                <w:sz w:val="20"/>
                <w:szCs w:val="20"/>
                <w:highlight w:val="none"/>
                <w:lang w:val="zh-CN" w:eastAsia="zh-CN"/>
              </w:rPr>
              <w:t>年</w:t>
            </w:r>
            <w:r>
              <w:rPr>
                <w:rFonts w:hint="eastAsia" w:eastAsia="黑体" w:cs="Times New Roman"/>
                <w:color w:val="auto"/>
                <w:kern w:val="0"/>
                <w:sz w:val="20"/>
                <w:szCs w:val="20"/>
                <w:highlight w:val="none"/>
                <w:lang w:val="en-US" w:eastAsia="zh-CN"/>
              </w:rPr>
              <w:t>9</w:t>
            </w:r>
            <w:r>
              <w:rPr>
                <w:rFonts w:hint="default" w:ascii="Times New Roman" w:hAnsi="Times New Roman" w:eastAsia="黑体" w:cs="Times New Roman"/>
                <w:color w:val="auto"/>
                <w:kern w:val="0"/>
                <w:sz w:val="20"/>
                <w:szCs w:val="20"/>
                <w:highlight w:val="none"/>
                <w:lang w:val="zh-CN" w:eastAsia="zh-CN"/>
              </w:rPr>
              <w:t>月</w:t>
            </w:r>
            <w:r>
              <w:rPr>
                <w:rFonts w:hint="eastAsia" w:eastAsia="黑体" w:cs="Times New Roman"/>
                <w:color w:val="auto"/>
                <w:kern w:val="0"/>
                <w:sz w:val="20"/>
                <w:szCs w:val="20"/>
                <w:highlight w:val="none"/>
                <w:lang w:val="en-US" w:eastAsia="zh-CN"/>
              </w:rPr>
              <w:t>州河</w:t>
            </w:r>
            <w:r>
              <w:rPr>
                <w:rFonts w:hint="default" w:ascii="Times New Roman" w:hAnsi="Times New Roman" w:eastAsia="黑体" w:cs="Times New Roman"/>
                <w:color w:val="auto"/>
                <w:kern w:val="0"/>
                <w:sz w:val="20"/>
                <w:szCs w:val="20"/>
                <w:highlight w:val="none"/>
                <w:lang w:val="zh-CN" w:eastAsia="zh-CN"/>
              </w:rPr>
              <w:t>水质评价结果表</w:t>
            </w:r>
          </w:p>
          <w:tbl>
            <w:tblPr>
              <w:tblStyle w:val="17"/>
              <w:tblW w:w="807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3"/>
              <w:gridCol w:w="488"/>
              <w:gridCol w:w="500"/>
              <w:gridCol w:w="1183"/>
              <w:gridCol w:w="1937"/>
              <w:gridCol w:w="801"/>
              <w:gridCol w:w="565"/>
              <w:gridCol w:w="469"/>
              <w:gridCol w:w="477"/>
              <w:gridCol w:w="11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jc w:val="center"/>
              </w:trPr>
              <w:tc>
                <w:tcPr>
                  <w:tcW w:w="5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序号</w:t>
                  </w:r>
                </w:p>
              </w:tc>
              <w:tc>
                <w:tcPr>
                  <w:tcW w:w="98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河流</w:t>
                  </w: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断面名称</w:t>
                  </w:r>
                </w:p>
              </w:tc>
              <w:tc>
                <w:tcPr>
                  <w:tcW w:w="19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断面属性</w:t>
                  </w:r>
                </w:p>
              </w:tc>
              <w:tc>
                <w:tcPr>
                  <w:tcW w:w="8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断面性质</w:t>
                  </w:r>
                </w:p>
              </w:tc>
              <w:tc>
                <w:tcPr>
                  <w:tcW w:w="5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上年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同期</w:t>
                  </w:r>
                </w:p>
              </w:tc>
              <w:tc>
                <w:tcPr>
                  <w:tcW w:w="4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上月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类别</w:t>
                  </w:r>
                </w:p>
              </w:tc>
              <w:tc>
                <w:tcPr>
                  <w:tcW w:w="4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本月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类别</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主要污染指标（类别）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jc w:val="center"/>
              </w:trPr>
              <w:tc>
                <w:tcPr>
                  <w:tcW w:w="5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w:t>
                  </w:r>
                </w:p>
              </w:tc>
              <w:tc>
                <w:tcPr>
                  <w:tcW w:w="48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州河水系</w:t>
                  </w:r>
                </w:p>
              </w:tc>
              <w:tc>
                <w:tcPr>
                  <w:tcW w:w="50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干流</w:t>
                  </w: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舵石盘</w:t>
                  </w:r>
                </w:p>
              </w:tc>
              <w:tc>
                <w:tcPr>
                  <w:tcW w:w="19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渠县境内</w:t>
                  </w:r>
                </w:p>
              </w:tc>
              <w:tc>
                <w:tcPr>
                  <w:tcW w:w="8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国考</w:t>
                  </w:r>
                </w:p>
              </w:tc>
              <w:tc>
                <w:tcPr>
                  <w:tcW w:w="5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Ⅲ</w:t>
                  </w:r>
                </w:p>
              </w:tc>
              <w:tc>
                <w:tcPr>
                  <w:tcW w:w="4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Ⅲ</w:t>
                  </w:r>
                </w:p>
              </w:tc>
              <w:tc>
                <w:tcPr>
                  <w:tcW w:w="4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Ⅱ</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jc w:val="center"/>
              </w:trPr>
              <w:tc>
                <w:tcPr>
                  <w:tcW w:w="5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2</w:t>
                  </w:r>
                </w:p>
              </w:tc>
              <w:tc>
                <w:tcPr>
                  <w:tcW w:w="4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50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车家河</w:t>
                  </w:r>
                </w:p>
              </w:tc>
              <w:tc>
                <w:tcPr>
                  <w:tcW w:w="19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市城区</w:t>
                  </w:r>
                </w:p>
              </w:tc>
              <w:tc>
                <w:tcPr>
                  <w:tcW w:w="8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国考</w:t>
                  </w:r>
                </w:p>
              </w:tc>
              <w:tc>
                <w:tcPr>
                  <w:tcW w:w="5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Ⅱ</w:t>
                  </w:r>
                </w:p>
              </w:tc>
              <w:tc>
                <w:tcPr>
                  <w:tcW w:w="4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Ⅱ</w:t>
                  </w:r>
                </w:p>
              </w:tc>
              <w:tc>
                <w:tcPr>
                  <w:tcW w:w="4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Ⅱ</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jc w:val="center"/>
              </w:trPr>
              <w:tc>
                <w:tcPr>
                  <w:tcW w:w="5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w:t>
                  </w:r>
                </w:p>
              </w:tc>
              <w:tc>
                <w:tcPr>
                  <w:tcW w:w="4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50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张鼓坪</w:t>
                  </w:r>
                </w:p>
              </w:tc>
              <w:tc>
                <w:tcPr>
                  <w:tcW w:w="19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县界(宣汉县→通川区)</w:t>
                  </w:r>
                </w:p>
              </w:tc>
              <w:tc>
                <w:tcPr>
                  <w:tcW w:w="8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省控考核评价</w:t>
                  </w:r>
                </w:p>
              </w:tc>
              <w:tc>
                <w:tcPr>
                  <w:tcW w:w="5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Ⅲ</w:t>
                  </w:r>
                </w:p>
              </w:tc>
              <w:tc>
                <w:tcPr>
                  <w:tcW w:w="4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Ⅱ</w:t>
                  </w:r>
                </w:p>
              </w:tc>
              <w:tc>
                <w:tcPr>
                  <w:tcW w:w="4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Ⅱ</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jc w:val="center"/>
              </w:trPr>
              <w:tc>
                <w:tcPr>
                  <w:tcW w:w="5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w:t>
                  </w:r>
                </w:p>
              </w:tc>
              <w:tc>
                <w:tcPr>
                  <w:tcW w:w="4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50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白鹤山</w:t>
                  </w:r>
                </w:p>
              </w:tc>
              <w:tc>
                <w:tcPr>
                  <w:tcW w:w="193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县界(达川区→渠县)</w:t>
                  </w:r>
                </w:p>
              </w:tc>
              <w:tc>
                <w:tcPr>
                  <w:tcW w:w="8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省控考核评价</w:t>
                  </w:r>
                </w:p>
              </w:tc>
              <w:tc>
                <w:tcPr>
                  <w:tcW w:w="5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Ⅲ</w:t>
                  </w:r>
                </w:p>
              </w:tc>
              <w:tc>
                <w:tcPr>
                  <w:tcW w:w="46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Ⅲ</w:t>
                  </w:r>
                </w:p>
              </w:tc>
              <w:tc>
                <w:tcPr>
                  <w:tcW w:w="4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Ⅲ</w:t>
                  </w:r>
                </w:p>
              </w:tc>
              <w:tc>
                <w:tcPr>
                  <w:tcW w:w="1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r>
          </w:tbl>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8"/>
                <w:highlight w:val="none"/>
                <w:lang w:val="zh-CN"/>
              </w:rPr>
              <w:t>本项目区域</w:t>
            </w:r>
            <w:r>
              <w:rPr>
                <w:rFonts w:hint="eastAsia" w:cs="Times New Roman"/>
                <w:color w:val="auto"/>
                <w:szCs w:val="28"/>
                <w:highlight w:val="none"/>
                <w:lang w:val="en-US" w:eastAsia="zh-CN"/>
              </w:rPr>
              <w:t>下游最近的</w:t>
            </w:r>
            <w:r>
              <w:rPr>
                <w:rFonts w:hint="default" w:ascii="Times New Roman" w:hAnsi="Times New Roman" w:cs="Times New Roman"/>
                <w:color w:val="auto"/>
                <w:szCs w:val="28"/>
                <w:highlight w:val="none"/>
                <w:lang w:val="zh-CN"/>
              </w:rPr>
              <w:t>地表水体</w:t>
            </w:r>
            <w:r>
              <w:rPr>
                <w:rFonts w:hint="eastAsia" w:cs="Times New Roman"/>
                <w:color w:val="auto"/>
                <w:szCs w:val="28"/>
                <w:highlight w:val="none"/>
                <w:lang w:val="en-US" w:eastAsia="zh-CN"/>
              </w:rPr>
              <w:t>监测断面</w:t>
            </w:r>
            <w:r>
              <w:rPr>
                <w:rFonts w:hint="default" w:ascii="Times New Roman" w:hAnsi="Times New Roman" w:cs="Times New Roman"/>
                <w:color w:val="auto"/>
                <w:szCs w:val="28"/>
                <w:highlight w:val="none"/>
                <w:lang w:val="zh-CN"/>
              </w:rPr>
              <w:t>为</w:t>
            </w:r>
            <w:r>
              <w:rPr>
                <w:rFonts w:hint="eastAsia" w:cs="Times New Roman"/>
                <w:color w:val="auto"/>
                <w:szCs w:val="28"/>
                <w:highlight w:val="none"/>
                <w:lang w:val="en-US" w:eastAsia="zh-CN"/>
              </w:rPr>
              <w:t>张鼓坪</w:t>
            </w:r>
            <w:r>
              <w:rPr>
                <w:rFonts w:hint="default" w:ascii="Times New Roman" w:hAnsi="Times New Roman" w:cs="Times New Roman"/>
                <w:color w:val="auto"/>
                <w:szCs w:val="28"/>
                <w:highlight w:val="none"/>
                <w:lang w:val="zh-CN"/>
              </w:rPr>
              <w:t>，根据上表</w:t>
            </w:r>
            <w:r>
              <w:rPr>
                <w:rFonts w:hint="default" w:ascii="Times New Roman" w:hAnsi="Times New Roman" w:cs="Times New Roman"/>
                <w:color w:val="auto"/>
                <w:szCs w:val="28"/>
                <w:highlight w:val="none"/>
                <w:lang w:val="en-US" w:eastAsia="zh-CN"/>
              </w:rPr>
              <w:t>水质月报结果</w:t>
            </w:r>
            <w:r>
              <w:rPr>
                <w:rFonts w:hint="default" w:ascii="Times New Roman" w:hAnsi="Times New Roman" w:cs="Times New Roman"/>
                <w:color w:val="auto"/>
                <w:szCs w:val="28"/>
                <w:highlight w:val="none"/>
                <w:lang w:val="zh-CN"/>
              </w:rPr>
              <w:t>表明：项目区域地表水能够</w:t>
            </w:r>
            <w:r>
              <w:rPr>
                <w:rFonts w:hint="default" w:ascii="Times New Roman" w:hAnsi="Times New Roman" w:cs="Times New Roman"/>
                <w:color w:val="auto"/>
                <w:szCs w:val="28"/>
                <w:highlight w:val="none"/>
              </w:rPr>
              <w:t>达到</w:t>
            </w:r>
            <w:r>
              <w:rPr>
                <w:rFonts w:hint="default" w:ascii="Times New Roman" w:hAnsi="Times New Roman" w:cs="Times New Roman"/>
                <w:color w:val="auto"/>
                <w:szCs w:val="28"/>
                <w:highlight w:val="none"/>
                <w:lang w:val="zh-CN"/>
              </w:rPr>
              <w:t>《地表水环境质量标准》（GB3838-2002）</w:t>
            </w:r>
            <w:r>
              <w:rPr>
                <w:rFonts w:hint="default" w:ascii="Times New Roman" w:hAnsi="Times New Roman" w:cs="Times New Roman"/>
                <w:color w:val="auto"/>
                <w:szCs w:val="28"/>
                <w:highlight w:val="none"/>
                <w:lang w:val="zh-CN" w:eastAsia="zh-CN"/>
              </w:rPr>
              <w:t>Ⅲ</w:t>
            </w:r>
            <w:r>
              <w:rPr>
                <w:rFonts w:hint="default" w:ascii="Times New Roman" w:hAnsi="Times New Roman" w:cs="Times New Roman"/>
                <w:color w:val="auto"/>
                <w:szCs w:val="28"/>
                <w:highlight w:val="none"/>
                <w:lang w:val="zh-CN"/>
              </w:rPr>
              <w:t>类水质标准</w:t>
            </w:r>
            <w:r>
              <w:rPr>
                <w:rFonts w:hint="default" w:ascii="Times New Roman" w:hAnsi="Times New Roman" w:cs="Times New Roman"/>
                <w:color w:val="auto"/>
                <w:szCs w:val="21"/>
                <w:lang w:val="zh-CN"/>
              </w:rPr>
              <w:t>，</w:t>
            </w:r>
            <w:r>
              <w:rPr>
                <w:rFonts w:hint="default" w:ascii="Times New Roman" w:hAnsi="Times New Roman" w:cs="Times New Roman"/>
                <w:color w:val="auto"/>
                <w:szCs w:val="21"/>
                <w:lang w:val="zh-CN" w:eastAsia="zh-CN"/>
              </w:rPr>
              <w:t>区域地表水环境质量良好</w:t>
            </w:r>
            <w:r>
              <w:rPr>
                <w:rFonts w:hint="default" w:ascii="Times New Roman" w:hAnsi="Times New Roman" w:cs="Times New Roman"/>
                <w:color w:val="auto"/>
                <w:szCs w:val="21"/>
                <w:lang w:val="zh-CN"/>
              </w:rPr>
              <w:t>。</w:t>
            </w:r>
          </w:p>
          <w:p>
            <w:pPr>
              <w:numPr>
                <w:ilvl w:val="0"/>
                <w:numId w:val="14"/>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zh-CN"/>
              </w:rPr>
              <w:t>声环境</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四川融华环境检测有限公司于</w:t>
            </w:r>
            <w:r>
              <w:rPr>
                <w:rFonts w:hint="default" w:ascii="Times New Roman" w:hAnsi="Times New Roman" w:cs="Times New Roman"/>
                <w:color w:val="auto"/>
                <w:szCs w:val="21"/>
                <w:lang w:val="zh-CN"/>
              </w:rPr>
              <w:t>202</w:t>
            </w:r>
            <w:r>
              <w:rPr>
                <w:rFonts w:hint="eastAsia" w:cs="Times New Roman"/>
                <w:color w:val="auto"/>
                <w:szCs w:val="21"/>
                <w:lang w:val="en-US" w:eastAsia="zh-CN"/>
              </w:rPr>
              <w:t>3</w:t>
            </w:r>
            <w:r>
              <w:rPr>
                <w:rFonts w:hint="default" w:ascii="Times New Roman" w:hAnsi="Times New Roman" w:cs="Times New Roman"/>
                <w:color w:val="auto"/>
                <w:szCs w:val="21"/>
                <w:lang w:val="zh-CN"/>
              </w:rPr>
              <w:t>年</w:t>
            </w:r>
            <w:r>
              <w:rPr>
                <w:rFonts w:hint="eastAsia" w:cs="Times New Roman"/>
                <w:color w:val="auto"/>
                <w:szCs w:val="21"/>
                <w:lang w:val="en-US" w:eastAsia="zh-CN"/>
              </w:rPr>
              <w:t>11</w:t>
            </w:r>
            <w:r>
              <w:rPr>
                <w:rFonts w:hint="default" w:ascii="Times New Roman" w:hAnsi="Times New Roman" w:cs="Times New Roman"/>
                <w:color w:val="auto"/>
                <w:szCs w:val="21"/>
                <w:lang w:val="zh-CN"/>
              </w:rPr>
              <w:t>月</w:t>
            </w:r>
            <w:r>
              <w:rPr>
                <w:rFonts w:hint="eastAsia" w:cs="Times New Roman"/>
                <w:color w:val="auto"/>
                <w:szCs w:val="21"/>
                <w:lang w:val="en-US" w:eastAsia="zh-CN"/>
              </w:rPr>
              <w:t>25</w:t>
            </w:r>
            <w:r>
              <w:rPr>
                <w:rFonts w:hint="default" w:ascii="Times New Roman" w:hAnsi="Times New Roman" w:cs="Times New Roman"/>
                <w:color w:val="auto"/>
                <w:szCs w:val="21"/>
                <w:lang w:val="zh-CN"/>
              </w:rPr>
              <w:t>日，</w:t>
            </w:r>
            <w:r>
              <w:rPr>
                <w:rFonts w:hint="default" w:ascii="Times New Roman" w:hAnsi="Times New Roman" w:cs="Times New Roman"/>
                <w:color w:val="auto"/>
                <w:szCs w:val="21"/>
                <w:lang w:val="en-US" w:eastAsia="zh-CN"/>
              </w:rPr>
              <w:t>对公司厂区周围</w:t>
            </w:r>
            <w:r>
              <w:rPr>
                <w:rFonts w:hint="default" w:ascii="Times New Roman" w:hAnsi="Times New Roman" w:cs="Times New Roman"/>
                <w:color w:val="auto"/>
                <w:szCs w:val="21"/>
              </w:rPr>
              <w:t>设</w:t>
            </w:r>
            <w:r>
              <w:rPr>
                <w:rFonts w:hint="eastAsia" w:cs="Times New Roman"/>
                <w:color w:val="auto"/>
                <w:szCs w:val="21"/>
                <w:lang w:val="en-US" w:eastAsia="zh-CN"/>
              </w:rPr>
              <w:t>4</w:t>
            </w:r>
            <w:r>
              <w:rPr>
                <w:rFonts w:hint="default" w:ascii="Times New Roman" w:hAnsi="Times New Roman" w:cs="Times New Roman"/>
                <w:color w:val="auto"/>
                <w:szCs w:val="21"/>
              </w:rPr>
              <w:t>个环境噪声监测点位</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将监测结果与评价标准进行对照，得出评价结果如下表</w:t>
            </w:r>
            <w:r>
              <w:rPr>
                <w:rFonts w:hint="default" w:ascii="Times New Roman" w:hAnsi="Times New Roman" w:cs="Times New Roman"/>
                <w:color w:val="auto"/>
                <w:szCs w:val="21"/>
                <w:lang w:val="zh-CN"/>
              </w:rPr>
              <w:t>。</w:t>
            </w:r>
            <w:r>
              <w:rPr>
                <w:rFonts w:hint="default" w:ascii="Times New Roman" w:hAnsi="Times New Roman" w:cs="Times New Roman"/>
                <w:color w:val="auto"/>
                <w:szCs w:val="21"/>
              </w:rPr>
              <w:t xml:space="preserve"> </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环境噪声现状评价结果表</w:t>
            </w:r>
          </w:p>
          <w:tbl>
            <w:tblPr>
              <w:tblStyle w:val="17"/>
              <w:tblW w:w="7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2309"/>
              <w:gridCol w:w="2048"/>
              <w:gridCol w:w="1902"/>
              <w:gridCol w:w="599"/>
              <w:gridCol w:w="577"/>
              <w:gridCol w:w="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编号</w:t>
                  </w:r>
                </w:p>
              </w:tc>
              <w:tc>
                <w:tcPr>
                  <w:tcW w:w="23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监测点位</w:t>
                  </w:r>
                </w:p>
              </w:tc>
              <w:tc>
                <w:tcPr>
                  <w:tcW w:w="204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eastAsia="zh-CN"/>
                    </w:rPr>
                    <w:t>检测时段</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检测结果</w:t>
                  </w:r>
                </w:p>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rPr>
                    <w:t>（等效连续A声级）</w:t>
                  </w:r>
                </w:p>
              </w:tc>
              <w:tc>
                <w:tcPr>
                  <w:tcW w:w="599" w:type="dxa"/>
                  <w:tcBorders>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cs="Times New Roman"/>
                      <w:b/>
                      <w:bCs/>
                      <w:color w:val="auto"/>
                      <w:kern w:val="0"/>
                      <w:sz w:val="18"/>
                      <w:szCs w:val="18"/>
                    </w:rPr>
                    <w:t>评价标准</w:t>
                  </w:r>
                </w:p>
              </w:tc>
              <w:tc>
                <w:tcPr>
                  <w:tcW w:w="581" w:type="dxa"/>
                  <w:gridSpan w:val="2"/>
                  <w:tcBorders>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cs="Times New Roman"/>
                      <w:b/>
                      <w:bCs/>
                      <w:color w:val="auto"/>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6" w:hRule="atLeast"/>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309"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项目东界外1m，高1.2m</w:t>
                  </w:r>
                </w:p>
              </w:tc>
              <w:tc>
                <w:tcPr>
                  <w:tcW w:w="2048"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昼间</w:t>
                  </w:r>
                  <w:r>
                    <w:rPr>
                      <w:rFonts w:hint="eastAsia" w:ascii="Times New Roman" w:hAnsi="Times New Roman" w:cs="Times New Roman"/>
                      <w:color w:val="auto"/>
                      <w:kern w:val="0"/>
                      <w:sz w:val="18"/>
                      <w:szCs w:val="18"/>
                      <w:lang w:val="en-US" w:eastAsia="zh-CN" w:bidi="ar-SA"/>
                    </w:rPr>
                    <w:t>（11:55~12:05）</w:t>
                  </w:r>
                </w:p>
              </w:tc>
              <w:tc>
                <w:tcPr>
                  <w:tcW w:w="1902"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kern w:val="0"/>
                      <w:sz w:val="18"/>
                      <w:szCs w:val="18"/>
                      <w:lang w:val="en-US" w:eastAsia="zh-CN" w:bidi="ar-SA"/>
                    </w:rPr>
                  </w:pPr>
                  <w:r>
                    <w:rPr>
                      <w:rFonts w:hint="eastAsia" w:cs="Times New Roman"/>
                      <w:color w:val="auto"/>
                      <w:szCs w:val="21"/>
                      <w:u w:val="single"/>
                      <w:lang w:val="en-US" w:eastAsia="zh-CN"/>
                    </w:rPr>
                    <w:t>***</w:t>
                  </w:r>
                </w:p>
              </w:tc>
              <w:tc>
                <w:tcPr>
                  <w:tcW w:w="599" w:type="dxa"/>
                  <w:tcBorders>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65</w:t>
                  </w:r>
                </w:p>
              </w:tc>
              <w:tc>
                <w:tcPr>
                  <w:tcW w:w="577" w:type="dxa"/>
                  <w:tcBorders>
                    <w:right w:val="single" w:color="000000" w:sz="6" w:space="0"/>
                  </w:tcBorders>
                  <w:noWrap w:val="0"/>
                  <w:vAlign w:val="center"/>
                </w:tcPr>
                <w:p>
                  <w:pPr>
                    <w:keepNext w:val="0"/>
                    <w:keepLines w:val="0"/>
                    <w:pageBreakBefore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6" w:hRule="atLeast"/>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309"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项目南界外1m，高1.2m</w:t>
                  </w:r>
                </w:p>
              </w:tc>
              <w:tc>
                <w:tcPr>
                  <w:tcW w:w="2048"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昼间</w:t>
                  </w:r>
                  <w:r>
                    <w:rPr>
                      <w:rFonts w:hint="eastAsia" w:ascii="Times New Roman" w:hAnsi="Times New Roman" w:cs="Times New Roman"/>
                      <w:color w:val="auto"/>
                      <w:kern w:val="0"/>
                      <w:sz w:val="18"/>
                      <w:szCs w:val="18"/>
                      <w:lang w:val="en-US" w:eastAsia="zh-CN" w:bidi="ar-SA"/>
                    </w:rPr>
                    <w:t>（11:03~11:13）</w:t>
                  </w:r>
                </w:p>
              </w:tc>
              <w:tc>
                <w:tcPr>
                  <w:tcW w:w="1902"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kern w:val="0"/>
                      <w:sz w:val="18"/>
                      <w:szCs w:val="18"/>
                      <w:lang w:val="en-US" w:eastAsia="zh-CN" w:bidi="ar-SA"/>
                    </w:rPr>
                  </w:pPr>
                  <w:r>
                    <w:rPr>
                      <w:rFonts w:hint="eastAsia" w:cs="Times New Roman"/>
                      <w:color w:val="auto"/>
                      <w:szCs w:val="21"/>
                      <w:u w:val="single"/>
                      <w:lang w:val="en-US" w:eastAsia="zh-CN"/>
                    </w:rPr>
                    <w:t>***</w:t>
                  </w:r>
                </w:p>
              </w:tc>
              <w:tc>
                <w:tcPr>
                  <w:tcW w:w="599" w:type="dxa"/>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65</w:t>
                  </w:r>
                </w:p>
              </w:tc>
              <w:tc>
                <w:tcPr>
                  <w:tcW w:w="577" w:type="dxa"/>
                  <w:noWrap w:val="0"/>
                  <w:vAlign w:val="center"/>
                </w:tcPr>
                <w:p>
                  <w:pPr>
                    <w:keepNext w:val="0"/>
                    <w:keepLines w:val="0"/>
                    <w:pageBreakBefore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6" w:hRule="atLeast"/>
                <w:jc w:val="center"/>
              </w:trPr>
              <w:tc>
                <w:tcPr>
                  <w:tcW w:w="539" w:type="dxa"/>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w:t>
                  </w:r>
                </w:p>
              </w:tc>
              <w:tc>
                <w:tcPr>
                  <w:tcW w:w="2309" w:type="dxa"/>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项目西界外1m，高1.2m</w:t>
                  </w:r>
                </w:p>
              </w:tc>
              <w:tc>
                <w:tcPr>
                  <w:tcW w:w="2048" w:type="dxa"/>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昼间</w:t>
                  </w:r>
                  <w:r>
                    <w:rPr>
                      <w:rFonts w:hint="eastAsia" w:ascii="Times New Roman" w:hAnsi="Times New Roman" w:cs="Times New Roman"/>
                      <w:color w:val="auto"/>
                      <w:kern w:val="0"/>
                      <w:sz w:val="18"/>
                      <w:szCs w:val="18"/>
                      <w:lang w:val="en-US" w:eastAsia="zh-CN" w:bidi="ar-SA"/>
                    </w:rPr>
                    <w:t>（11:19~11:29）</w:t>
                  </w:r>
                </w:p>
              </w:tc>
              <w:tc>
                <w:tcPr>
                  <w:tcW w:w="1902" w:type="dxa"/>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kern w:val="0"/>
                      <w:sz w:val="18"/>
                      <w:szCs w:val="18"/>
                      <w:lang w:val="en-US" w:eastAsia="zh-CN" w:bidi="ar-SA"/>
                    </w:rPr>
                  </w:pPr>
                  <w:r>
                    <w:rPr>
                      <w:rFonts w:hint="eastAsia" w:cs="Times New Roman"/>
                      <w:color w:val="auto"/>
                      <w:szCs w:val="21"/>
                      <w:u w:val="single"/>
                      <w:lang w:val="en-US" w:eastAsia="zh-CN"/>
                    </w:rPr>
                    <w:t>***</w:t>
                  </w:r>
                </w:p>
              </w:tc>
              <w:tc>
                <w:tcPr>
                  <w:tcW w:w="599" w:type="dxa"/>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65</w:t>
                  </w:r>
                </w:p>
              </w:tc>
              <w:tc>
                <w:tcPr>
                  <w:tcW w:w="577" w:type="dxa"/>
                  <w:vAlign w:val="center"/>
                </w:tcPr>
                <w:p>
                  <w:pPr>
                    <w:keepNext w:val="0"/>
                    <w:keepLines w:val="0"/>
                    <w:pageBreakBefore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78" w:hRule="atLeast"/>
                <w:jc w:val="center"/>
              </w:trPr>
              <w:tc>
                <w:tcPr>
                  <w:tcW w:w="539" w:type="dxa"/>
                </w:tcPr>
                <w:p>
                  <w:pPr>
                    <w:keepNext w:val="0"/>
                    <w:keepLines w:val="0"/>
                    <w:pageBreakBefore w:val="0"/>
                    <w:widowControl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w:t>
                  </w:r>
                </w:p>
              </w:tc>
              <w:tc>
                <w:tcPr>
                  <w:tcW w:w="2309" w:type="dxa"/>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项目北界外1m，高1.2m</w:t>
                  </w:r>
                </w:p>
              </w:tc>
              <w:tc>
                <w:tcPr>
                  <w:tcW w:w="2048" w:type="dxa"/>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昼间</w:t>
                  </w:r>
                  <w:r>
                    <w:rPr>
                      <w:rFonts w:hint="eastAsia" w:ascii="Times New Roman" w:hAnsi="Times New Roman" w:cs="Times New Roman"/>
                      <w:color w:val="auto"/>
                      <w:kern w:val="0"/>
                      <w:sz w:val="18"/>
                      <w:szCs w:val="18"/>
                      <w:lang w:val="en-US" w:eastAsia="zh-CN" w:bidi="ar-SA"/>
                    </w:rPr>
                    <w:t>（11:36~11:46）</w:t>
                  </w:r>
                </w:p>
              </w:tc>
              <w:tc>
                <w:tcPr>
                  <w:tcW w:w="1902" w:type="dxa"/>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color w:val="auto"/>
                      <w:kern w:val="0"/>
                      <w:sz w:val="18"/>
                      <w:szCs w:val="18"/>
                      <w:lang w:val="en-US" w:eastAsia="zh-CN" w:bidi="ar-SA"/>
                    </w:rPr>
                  </w:pPr>
                  <w:r>
                    <w:rPr>
                      <w:rFonts w:hint="eastAsia" w:cs="Times New Roman"/>
                      <w:color w:val="auto"/>
                      <w:szCs w:val="21"/>
                      <w:u w:val="single"/>
                      <w:lang w:val="en-US" w:eastAsia="zh-CN"/>
                    </w:rPr>
                    <w:t>***</w:t>
                  </w:r>
                </w:p>
              </w:tc>
              <w:tc>
                <w:tcPr>
                  <w:tcW w:w="599" w:type="dxa"/>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65</w:t>
                  </w:r>
                </w:p>
              </w:tc>
              <w:tc>
                <w:tcPr>
                  <w:tcW w:w="577" w:type="dxa"/>
                  <w:vAlign w:val="center"/>
                </w:tcPr>
                <w:p>
                  <w:pPr>
                    <w:keepNext w:val="0"/>
                    <w:keepLines w:val="0"/>
                    <w:pageBreakBefore w:val="0"/>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bl>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由上表可知，项目评价区域</w:t>
            </w:r>
            <w:r>
              <w:rPr>
                <w:rFonts w:hint="default" w:ascii="Times New Roman" w:hAnsi="Times New Roman" w:cs="Times New Roman"/>
                <w:color w:val="auto"/>
                <w:szCs w:val="21"/>
              </w:rPr>
              <w:t>声环境质量</w:t>
            </w:r>
            <w:r>
              <w:rPr>
                <w:rFonts w:hint="default" w:ascii="Times New Roman" w:hAnsi="Times New Roman" w:cs="Times New Roman"/>
                <w:color w:val="auto"/>
                <w:szCs w:val="21"/>
                <w:lang w:val="zh-CN"/>
              </w:rPr>
              <w:t>能满足《声环境质量标准》（GB3096-2008）中的</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lang w:val="zh-CN"/>
              </w:rPr>
              <w:t>类区标准。</w:t>
            </w:r>
          </w:p>
          <w:p>
            <w:pPr>
              <w:numPr>
                <w:ilvl w:val="0"/>
                <w:numId w:val="14"/>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zh-CN"/>
              </w:rPr>
              <w:t>生态环境</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zh-CN"/>
              </w:rPr>
              <w:t>本项目位于</w:t>
            </w:r>
            <w:r>
              <w:rPr>
                <w:rFonts w:hint="default" w:ascii="Times New Roman" w:hAnsi="Times New Roman" w:cs="Times New Roman"/>
                <w:color w:val="auto"/>
                <w:szCs w:val="21"/>
                <w:lang w:val="zh-CN" w:eastAsia="zh-CN"/>
              </w:rPr>
              <w:t>达州市宣汉县普光经济开发区柳池工业园</w:t>
            </w:r>
            <w:r>
              <w:rPr>
                <w:rFonts w:hint="eastAsia" w:cs="Times New Roman"/>
                <w:color w:val="auto"/>
                <w:szCs w:val="21"/>
                <w:lang w:val="zh-CN" w:eastAsia="zh-CN"/>
              </w:rPr>
              <w:t>四川君璜建材有限公司内</w:t>
            </w:r>
            <w:r>
              <w:rPr>
                <w:rFonts w:hint="default" w:ascii="Times New Roman" w:hAnsi="Times New Roman" w:cs="Times New Roman"/>
                <w:color w:val="auto"/>
                <w:szCs w:val="21"/>
                <w:lang w:val="zh-CN"/>
              </w:rPr>
              <w:t>，</w:t>
            </w:r>
            <w:r>
              <w:rPr>
                <w:rFonts w:hint="default" w:ascii="Times New Roman" w:hAnsi="Times New Roman" w:cs="Times New Roman"/>
                <w:color w:val="auto"/>
                <w:szCs w:val="21"/>
                <w:lang w:val="en-US" w:eastAsia="zh-CN"/>
              </w:rPr>
              <w:t>根据现场调查，</w:t>
            </w:r>
            <w:r>
              <w:rPr>
                <w:rFonts w:hint="default" w:ascii="Times New Roman" w:hAnsi="Times New Roman" w:cs="Times New Roman"/>
                <w:color w:val="auto"/>
                <w:szCs w:val="21"/>
              </w:rPr>
              <w:t>项目区</w:t>
            </w:r>
            <w:r>
              <w:rPr>
                <w:rFonts w:hint="eastAsia" w:cs="Times New Roman"/>
                <w:color w:val="auto"/>
                <w:szCs w:val="21"/>
                <w:lang w:val="en-US" w:eastAsia="zh-CN"/>
              </w:rPr>
              <w:t>四周均</w:t>
            </w:r>
            <w:r>
              <w:rPr>
                <w:rFonts w:hint="default" w:ascii="Times New Roman" w:hAnsi="Times New Roman" w:cs="Times New Roman"/>
                <w:color w:val="auto"/>
                <w:szCs w:val="21"/>
                <w:lang w:val="en-US" w:eastAsia="zh-CN"/>
              </w:rPr>
              <w:t>为生产企业，</w:t>
            </w:r>
            <w:r>
              <w:rPr>
                <w:rFonts w:hint="eastAsia" w:cs="Times New Roman"/>
                <w:color w:val="auto"/>
                <w:szCs w:val="21"/>
                <w:lang w:val="en-US" w:eastAsia="zh-CN"/>
              </w:rPr>
              <w:t>区域均</w:t>
            </w:r>
            <w:r>
              <w:rPr>
                <w:rFonts w:hint="default" w:ascii="Times New Roman" w:hAnsi="Times New Roman" w:cs="Times New Roman"/>
                <w:color w:val="auto"/>
                <w:szCs w:val="21"/>
                <w:lang w:val="en-US" w:eastAsia="zh-CN"/>
              </w:rPr>
              <w:t>为工业建</w:t>
            </w:r>
            <w:r>
              <w:rPr>
                <w:rFonts w:hint="eastAsia" w:cs="Times New Roman"/>
                <w:color w:val="auto"/>
                <w:szCs w:val="21"/>
                <w:lang w:val="en-US" w:eastAsia="zh-CN"/>
              </w:rPr>
              <w:t>成</w:t>
            </w:r>
            <w:r>
              <w:rPr>
                <w:rFonts w:hint="default" w:ascii="Times New Roman" w:hAnsi="Times New Roman" w:cs="Times New Roman"/>
                <w:color w:val="auto"/>
                <w:szCs w:val="21"/>
                <w:lang w:val="en-US" w:eastAsia="zh-CN"/>
              </w:rPr>
              <w:t>区，</w:t>
            </w:r>
            <w:r>
              <w:rPr>
                <w:rFonts w:hint="eastAsia" w:cs="Times New Roman"/>
                <w:color w:val="auto"/>
                <w:szCs w:val="21"/>
                <w:lang w:val="en-US" w:eastAsia="zh-CN"/>
              </w:rPr>
              <w:t>周围植被主要为园区绿化，项目</w:t>
            </w:r>
            <w:r>
              <w:rPr>
                <w:rFonts w:hint="default" w:ascii="Times New Roman" w:hAnsi="Times New Roman" w:cs="Times New Roman"/>
                <w:color w:val="auto"/>
                <w:szCs w:val="21"/>
                <w:lang w:val="en-US" w:eastAsia="zh-CN"/>
              </w:rPr>
              <w:t>对周围的生态影响较小。根据现场调查，项目区域内不涉及自然保护区、森林公园及风景名胜区、生活饮用水水源保护区及其他</w:t>
            </w:r>
            <w:r>
              <w:rPr>
                <w:rFonts w:hint="default" w:ascii="Times New Roman" w:hAnsi="Times New Roman" w:cs="Times New Roman"/>
                <w:color w:val="auto"/>
                <w:szCs w:val="21"/>
                <w:lang w:val="en-US" w:eastAsia="zh-CN"/>
              </w:rPr>
              <w:pict>
                <v:shape id="AutoShape 30" o:spid="_x0000_s2109" o:spt="136" type="#_x0000_t136" style="position:absolute;left:0pt;margin-left:926.45pt;margin-top:1029.4pt;height:6pt;width:20.7pt;rotation:327680f;z-index:251662336;mso-width-relative:page;mso-height-relative:page;" fillcolor="#FFFF00" filled="t" stroked="t" coordsize="21600,21600" adj="10800">
                  <v:path/>
                  <v:fill on="t" color2="#FFFFFF" focussize="0,0"/>
                  <v:stroke color="#FFFF00"/>
                  <v:imagedata o:title=""/>
                  <o:lock v:ext="edit" aspectratio="f"/>
                  <v:textpath on="t" fitshape="t" fitpath="t" trim="t" xscale="f" string="230m" style="font-family:宋体;font-size:8pt;v-text-align:center;"/>
                </v:shape>
              </w:pict>
            </w:r>
            <w:r>
              <w:rPr>
                <w:rFonts w:hint="default" w:ascii="Times New Roman" w:hAnsi="Times New Roman" w:cs="Times New Roman"/>
                <w:color w:val="auto"/>
                <w:szCs w:val="21"/>
                <w:lang w:val="en-US" w:eastAsia="zh-CN"/>
              </w:rPr>
              <w:t>需要特别保护区域，区域内无国家保护的重点野生动植物，无名木古树及珍稀动植物等，无特殊文物保护单位。</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en-US" w:eastAsia="zh-CN"/>
              </w:rPr>
              <w:t>总体来看，项目区域生态环境质量一般</w:t>
            </w:r>
            <w:r>
              <w:rPr>
                <w:rFonts w:hint="default" w:ascii="Times New Roman" w:hAnsi="Times New Roman" w:cs="Times New Roman"/>
                <w:color w:val="auto"/>
                <w:szCs w:val="21"/>
                <w:lang w:val="zh-CN"/>
              </w:rPr>
              <w:t>。</w:t>
            </w:r>
          </w:p>
          <w:p>
            <w:pPr>
              <w:numPr>
                <w:ilvl w:val="0"/>
                <w:numId w:val="14"/>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zh-CN"/>
              </w:rPr>
              <w:t>地下水</w:t>
            </w:r>
          </w:p>
          <w:p>
            <w:pPr>
              <w:autoSpaceDE w:val="0"/>
              <w:autoSpaceDN w:val="0"/>
              <w:spacing w:line="400" w:lineRule="exact"/>
              <w:ind w:firstLine="420" w:firstLineChars="200"/>
              <w:rPr>
                <w:rFonts w:hint="default" w:ascii="Times New Roman" w:hAnsi="Times New Roman" w:cs="Times New Roman"/>
                <w:color w:val="auto"/>
                <w:szCs w:val="21"/>
                <w:lang w:val="zh-CN"/>
              </w:rPr>
            </w:pPr>
            <w:r>
              <w:rPr>
                <w:rFonts w:hint="default" w:ascii="Times New Roman" w:hAnsi="Times New Roman" w:cs="Times New Roman"/>
                <w:color w:val="auto"/>
                <w:szCs w:val="21"/>
                <w:lang w:val="en-US" w:eastAsia="zh-CN"/>
              </w:rPr>
              <w:t>对于项目区域地下水现状，</w:t>
            </w:r>
            <w:r>
              <w:rPr>
                <w:rFonts w:hint="default" w:ascii="Times New Roman" w:hAnsi="Times New Roman" w:cs="Times New Roman"/>
                <w:color w:val="auto"/>
                <w:szCs w:val="21"/>
              </w:rPr>
              <w:t>本次</w:t>
            </w:r>
            <w:r>
              <w:rPr>
                <w:rFonts w:hint="default" w:ascii="Times New Roman" w:hAnsi="Times New Roman" w:cs="Times New Roman"/>
                <w:color w:val="auto"/>
                <w:szCs w:val="21"/>
                <w:lang w:val="en-US" w:eastAsia="zh-CN"/>
              </w:rPr>
              <w:t>评价引用四川</w:t>
            </w:r>
            <w:r>
              <w:rPr>
                <w:rFonts w:hint="eastAsia" w:cs="Times New Roman"/>
                <w:color w:val="auto"/>
                <w:szCs w:val="21"/>
                <w:lang w:val="en-US" w:eastAsia="zh-CN"/>
              </w:rPr>
              <w:t>清蓝检测科技</w:t>
            </w:r>
            <w:r>
              <w:rPr>
                <w:rFonts w:hint="default" w:ascii="Times New Roman" w:hAnsi="Times New Roman" w:cs="Times New Roman"/>
                <w:color w:val="auto"/>
                <w:szCs w:val="21"/>
                <w:lang w:val="en-US" w:eastAsia="zh-CN"/>
              </w:rPr>
              <w:t>有限公司出具的《达州市铸鑫新材料科技有限公司再生铝综合利用项目</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一期）环境影响评价监测报告》（</w:t>
            </w:r>
            <w:r>
              <w:rPr>
                <w:rFonts w:hint="eastAsia" w:cs="Times New Roman"/>
                <w:color w:val="auto"/>
                <w:szCs w:val="21"/>
                <w:lang w:val="en-US" w:eastAsia="zh-CN"/>
              </w:rPr>
              <w:t>清蓝</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环</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检221766</w:t>
            </w:r>
            <w:r>
              <w:rPr>
                <w:rFonts w:hint="default" w:ascii="Times New Roman" w:hAnsi="Times New Roman" w:cs="Times New Roman"/>
                <w:color w:val="auto"/>
                <w:szCs w:val="21"/>
                <w:lang w:val="en-US" w:eastAsia="zh-CN"/>
              </w:rPr>
              <w:t>），评价项目所在区域地下水现状。</w:t>
            </w:r>
            <w:r>
              <w:rPr>
                <w:rFonts w:hint="eastAsia" w:cs="Times New Roman"/>
                <w:color w:val="auto"/>
                <w:szCs w:val="21"/>
                <w:lang w:val="en-US" w:eastAsia="zh-CN"/>
              </w:rPr>
              <w:t>根据调查，</w:t>
            </w:r>
            <w:r>
              <w:rPr>
                <w:rFonts w:hint="default" w:ascii="Times New Roman" w:hAnsi="Times New Roman" w:cs="Times New Roman"/>
                <w:color w:val="auto"/>
                <w:szCs w:val="21"/>
                <w:lang w:val="en-US" w:eastAsia="zh-CN"/>
              </w:rPr>
              <w:t>该项目</w:t>
            </w:r>
            <w:r>
              <w:rPr>
                <w:rFonts w:hint="eastAsia" w:cs="Times New Roman"/>
                <w:color w:val="auto"/>
                <w:szCs w:val="21"/>
                <w:lang w:val="en-US" w:eastAsia="zh-CN"/>
              </w:rPr>
              <w:t>监测时间距离本次环评时间较短，</w:t>
            </w:r>
            <w:r>
              <w:rPr>
                <w:rFonts w:hint="default" w:ascii="Times New Roman" w:hAnsi="Times New Roman" w:cs="Times New Roman"/>
                <w:color w:val="auto"/>
                <w:szCs w:val="21"/>
                <w:lang w:val="en-US" w:eastAsia="zh-CN"/>
              </w:rPr>
              <w:t>在引用的有效时限</w:t>
            </w:r>
            <w:r>
              <w:rPr>
                <w:rFonts w:hint="eastAsia" w:cs="Times New Roman"/>
                <w:color w:val="auto"/>
                <w:szCs w:val="21"/>
                <w:lang w:val="en-US" w:eastAsia="zh-CN"/>
              </w:rPr>
              <w:t>范围之内</w:t>
            </w:r>
            <w:r>
              <w:rPr>
                <w:rFonts w:hint="default" w:ascii="Times New Roman" w:hAnsi="Times New Roman" w:cs="Times New Roman"/>
                <w:color w:val="auto"/>
                <w:szCs w:val="21"/>
                <w:lang w:val="en-US" w:eastAsia="zh-CN"/>
              </w:rPr>
              <w:t>，且在这期间区域无地下水污染事故发生，因此引用该监测报告可行。</w:t>
            </w:r>
            <w:r>
              <w:rPr>
                <w:rFonts w:hint="eastAsia" w:cs="Times New Roman"/>
                <w:color w:val="auto"/>
                <w:szCs w:val="21"/>
                <w:lang w:val="en-US" w:eastAsia="zh-CN"/>
              </w:rPr>
              <w:t>本报告引用该报告中距离项目较近的点进行评价，引用的</w:t>
            </w:r>
            <w:r>
              <w:rPr>
                <w:rFonts w:hint="default" w:ascii="Times New Roman" w:hAnsi="Times New Roman" w:cs="Times New Roman"/>
                <w:color w:val="auto"/>
                <w:szCs w:val="21"/>
              </w:rPr>
              <w:t>监测</w:t>
            </w:r>
            <w:r>
              <w:rPr>
                <w:rFonts w:hint="eastAsia" w:cs="Times New Roman"/>
                <w:color w:val="auto"/>
                <w:szCs w:val="21"/>
                <w:lang w:val="en-US" w:eastAsia="zh-CN"/>
              </w:rPr>
              <w:t>数据</w:t>
            </w:r>
            <w:r>
              <w:rPr>
                <w:rFonts w:hint="default" w:ascii="Times New Roman" w:hAnsi="Times New Roman" w:cs="Times New Roman"/>
                <w:color w:val="auto"/>
                <w:szCs w:val="21"/>
              </w:rPr>
              <w:t>及评价结果</w:t>
            </w:r>
            <w:r>
              <w:rPr>
                <w:rFonts w:hint="default" w:ascii="Times New Roman" w:hAnsi="Times New Roman" w:cs="Times New Roman"/>
                <w:color w:val="auto"/>
                <w:szCs w:val="21"/>
                <w:lang w:val="zh-CN"/>
              </w:rPr>
              <w:t>详见下表。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地下水监测结果</w:t>
            </w:r>
          </w:p>
          <w:tbl>
            <w:tblPr>
              <w:tblStyle w:val="17"/>
              <w:tblW w:w="7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688"/>
              <w:gridCol w:w="676"/>
              <w:gridCol w:w="435"/>
              <w:gridCol w:w="679"/>
              <w:gridCol w:w="631"/>
              <w:gridCol w:w="449"/>
              <w:gridCol w:w="618"/>
              <w:gridCol w:w="620"/>
              <w:gridCol w:w="459"/>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936" w:type="dxa"/>
                  <w:vMerge w:val="restart"/>
                  <w:noWrap w:val="0"/>
                  <w:vAlign w:val="center"/>
                </w:tcPr>
                <w:p>
                  <w:pPr>
                    <w:spacing w:line="280" w:lineRule="exact"/>
                    <w:ind w:left="-105" w:leftChars="-50" w:right="-105" w:rightChars="-50"/>
                    <w:jc w:val="center"/>
                    <w:rPr>
                      <w:rFonts w:hint="default" w:ascii="Times New Roman" w:hAnsi="Times New Roman" w:cs="Times New Roman"/>
                      <w:color w:val="auto"/>
                      <w:sz w:val="18"/>
                      <w:szCs w:val="18"/>
                      <w:highlight w:val="none"/>
                    </w:rPr>
                  </w:pPr>
                </w:p>
              </w:tc>
              <w:tc>
                <w:tcPr>
                  <w:tcW w:w="1799" w:type="dxa"/>
                  <w:gridSpan w:val="3"/>
                  <w:noWrap w:val="0"/>
                  <w:vAlign w:val="center"/>
                </w:tcPr>
                <w:p>
                  <w:pPr>
                    <w:spacing w:line="280" w:lineRule="exact"/>
                    <w:ind w:left="-105" w:leftChars="-50" w:right="-105" w:rightChars="-50"/>
                    <w:jc w:val="center"/>
                    <w:rPr>
                      <w:rFonts w:hint="default" w:ascii="Times New Roman" w:hAnsi="Times New Roman" w:cs="Times New Roman"/>
                      <w:b/>
                      <w:bCs/>
                      <w:color w:val="auto"/>
                      <w:sz w:val="18"/>
                      <w:szCs w:val="18"/>
                      <w:highlight w:val="none"/>
                    </w:rPr>
                  </w:pPr>
                </w:p>
              </w:tc>
              <w:tc>
                <w:tcPr>
                  <w:tcW w:w="1759" w:type="dxa"/>
                  <w:gridSpan w:val="3"/>
                  <w:noWrap w:val="0"/>
                  <w:vAlign w:val="center"/>
                </w:tcPr>
                <w:p>
                  <w:pPr>
                    <w:spacing w:line="280" w:lineRule="exact"/>
                    <w:ind w:left="-105" w:leftChars="-50" w:right="-105" w:rightChars="-50"/>
                    <w:jc w:val="center"/>
                    <w:rPr>
                      <w:rFonts w:hint="default" w:ascii="Times New Roman" w:hAnsi="Times New Roman" w:cs="Times New Roman"/>
                      <w:b/>
                      <w:bCs/>
                      <w:color w:val="auto"/>
                      <w:sz w:val="18"/>
                      <w:szCs w:val="18"/>
                      <w:highlight w:val="none"/>
                    </w:rPr>
                  </w:pPr>
                </w:p>
              </w:tc>
              <w:tc>
                <w:tcPr>
                  <w:tcW w:w="1697" w:type="dxa"/>
                  <w:gridSpan w:val="3"/>
                  <w:noWrap w:val="0"/>
                  <w:vAlign w:val="center"/>
                </w:tcPr>
                <w:p>
                  <w:pPr>
                    <w:spacing w:line="280" w:lineRule="exact"/>
                    <w:ind w:left="-105" w:leftChars="-50" w:right="-105" w:rightChars="-50"/>
                    <w:jc w:val="center"/>
                    <w:rPr>
                      <w:rFonts w:hint="default" w:ascii="Times New Roman" w:hAnsi="Times New Roman" w:cs="Times New Roman"/>
                      <w:b/>
                      <w:bCs/>
                      <w:color w:val="auto"/>
                      <w:sz w:val="18"/>
                      <w:szCs w:val="18"/>
                      <w:highlight w:val="none"/>
                    </w:rPr>
                  </w:pPr>
                </w:p>
              </w:tc>
              <w:tc>
                <w:tcPr>
                  <w:tcW w:w="766" w:type="dxa"/>
                  <w:vMerge w:val="restart"/>
                  <w:noWrap w:val="0"/>
                  <w:vAlign w:val="center"/>
                </w:tcPr>
                <w:p>
                  <w:pPr>
                    <w:spacing w:line="280" w:lineRule="exact"/>
                    <w:ind w:left="-199" w:leftChars="-95" w:right="-122" w:rightChars="-58"/>
                    <w:jc w:val="center"/>
                    <w:rPr>
                      <w:rFonts w:hint="default" w:ascii="Times New Roman" w:hAnsi="Times New Roman" w:cs="Times New Roman"/>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936" w:type="dxa"/>
                  <w:vMerge w:val="continue"/>
                  <w:noWrap w:val="0"/>
                  <w:vAlign w:val="center"/>
                </w:tcPr>
                <w:p>
                  <w:pPr>
                    <w:spacing w:line="280" w:lineRule="exact"/>
                    <w:ind w:left="-105" w:leftChars="-50" w:right="-105" w:rightChars="-50"/>
                    <w:jc w:val="center"/>
                    <w:rPr>
                      <w:rFonts w:hint="default" w:ascii="Times New Roman" w:hAnsi="Times New Roman" w:cs="Times New Roman"/>
                      <w:color w:val="auto"/>
                      <w:sz w:val="18"/>
                      <w:szCs w:val="18"/>
                      <w:highlight w:val="none"/>
                    </w:rPr>
                  </w:pPr>
                </w:p>
              </w:tc>
              <w:tc>
                <w:tcPr>
                  <w:tcW w:w="688" w:type="dxa"/>
                  <w:noWrap w:val="0"/>
                  <w:vAlign w:val="center"/>
                </w:tcPr>
                <w:p>
                  <w:pPr>
                    <w:spacing w:line="280" w:lineRule="exact"/>
                    <w:ind w:left="-105" w:leftChars="-50" w:right="-105" w:rightChars="-50"/>
                    <w:jc w:val="center"/>
                    <w:rPr>
                      <w:rFonts w:hint="default" w:ascii="Times New Roman" w:hAnsi="Times New Roman" w:cs="Times New Roman"/>
                      <w:b/>
                      <w:bCs/>
                      <w:color w:val="auto"/>
                      <w:sz w:val="18"/>
                      <w:szCs w:val="18"/>
                      <w:highlight w:val="none"/>
                    </w:rPr>
                  </w:pPr>
                </w:p>
              </w:tc>
              <w:tc>
                <w:tcPr>
                  <w:tcW w:w="676" w:type="dxa"/>
                  <w:noWrap w:val="0"/>
                  <w:vAlign w:val="center"/>
                </w:tcPr>
                <w:p>
                  <w:pPr>
                    <w:spacing w:line="280" w:lineRule="exact"/>
                    <w:ind w:left="-105" w:leftChars="-50" w:right="-105" w:rightChars="-50"/>
                    <w:jc w:val="center"/>
                    <w:rPr>
                      <w:rFonts w:hint="default" w:ascii="Times New Roman" w:hAnsi="Times New Roman" w:cs="Times New Roman"/>
                      <w:b/>
                      <w:bCs/>
                      <w:color w:val="auto"/>
                      <w:sz w:val="18"/>
                      <w:szCs w:val="18"/>
                      <w:highlight w:val="none"/>
                    </w:rPr>
                  </w:pPr>
                </w:p>
              </w:tc>
              <w:tc>
                <w:tcPr>
                  <w:tcW w:w="435" w:type="dxa"/>
                  <w:noWrap w:val="0"/>
                  <w:vAlign w:val="center"/>
                </w:tcPr>
                <w:p>
                  <w:pPr>
                    <w:spacing w:line="280" w:lineRule="exact"/>
                    <w:ind w:left="-105" w:leftChars="-50" w:right="-105" w:rightChars="-50"/>
                    <w:jc w:val="center"/>
                    <w:rPr>
                      <w:rFonts w:hint="default" w:ascii="Times New Roman" w:hAnsi="Times New Roman" w:cs="Times New Roman"/>
                      <w:b/>
                      <w:bCs/>
                      <w:color w:val="auto"/>
                      <w:sz w:val="18"/>
                      <w:szCs w:val="18"/>
                      <w:highlight w:val="none"/>
                    </w:rPr>
                  </w:pPr>
                </w:p>
              </w:tc>
              <w:tc>
                <w:tcPr>
                  <w:tcW w:w="679" w:type="dxa"/>
                  <w:noWrap w:val="0"/>
                  <w:vAlign w:val="center"/>
                </w:tcPr>
                <w:p>
                  <w:pPr>
                    <w:spacing w:line="280" w:lineRule="exact"/>
                    <w:ind w:left="-105" w:leftChars="-50" w:right="-105" w:rightChars="-50"/>
                    <w:jc w:val="center"/>
                    <w:rPr>
                      <w:rFonts w:hint="default" w:ascii="Times New Roman" w:hAnsi="Times New Roman" w:cs="Times New Roman"/>
                      <w:b/>
                      <w:bCs/>
                      <w:color w:val="auto"/>
                      <w:sz w:val="18"/>
                      <w:szCs w:val="18"/>
                      <w:highlight w:val="none"/>
                    </w:rPr>
                  </w:pPr>
                </w:p>
              </w:tc>
              <w:tc>
                <w:tcPr>
                  <w:tcW w:w="631" w:type="dxa"/>
                  <w:noWrap w:val="0"/>
                  <w:vAlign w:val="center"/>
                </w:tcPr>
                <w:p>
                  <w:pPr>
                    <w:spacing w:line="280" w:lineRule="exact"/>
                    <w:ind w:left="-105" w:leftChars="-50" w:right="-105" w:rightChars="-50"/>
                    <w:jc w:val="center"/>
                    <w:rPr>
                      <w:rFonts w:hint="default" w:ascii="Times New Roman" w:hAnsi="Times New Roman" w:cs="Times New Roman"/>
                      <w:b/>
                      <w:bCs/>
                      <w:color w:val="auto"/>
                      <w:sz w:val="18"/>
                      <w:szCs w:val="18"/>
                      <w:highlight w:val="none"/>
                    </w:rPr>
                  </w:pPr>
                </w:p>
              </w:tc>
              <w:tc>
                <w:tcPr>
                  <w:tcW w:w="449" w:type="dxa"/>
                  <w:noWrap w:val="0"/>
                  <w:vAlign w:val="center"/>
                </w:tcPr>
                <w:p>
                  <w:pPr>
                    <w:spacing w:line="280" w:lineRule="exact"/>
                    <w:ind w:left="-105" w:leftChars="-50" w:right="-105" w:rightChars="-50"/>
                    <w:jc w:val="center"/>
                    <w:rPr>
                      <w:rFonts w:hint="default" w:ascii="Times New Roman" w:hAnsi="Times New Roman" w:cs="Times New Roman"/>
                      <w:b/>
                      <w:bCs/>
                      <w:color w:val="auto"/>
                      <w:sz w:val="18"/>
                      <w:szCs w:val="18"/>
                      <w:highlight w:val="none"/>
                    </w:rPr>
                  </w:pPr>
                </w:p>
              </w:tc>
              <w:tc>
                <w:tcPr>
                  <w:tcW w:w="618" w:type="dxa"/>
                  <w:noWrap w:val="0"/>
                  <w:vAlign w:val="center"/>
                </w:tcPr>
                <w:p>
                  <w:pPr>
                    <w:spacing w:line="280" w:lineRule="exact"/>
                    <w:ind w:left="-105" w:leftChars="-50" w:right="-105" w:rightChars="-50"/>
                    <w:jc w:val="center"/>
                    <w:rPr>
                      <w:rFonts w:hint="default" w:ascii="Times New Roman" w:hAnsi="Times New Roman" w:cs="Times New Roman"/>
                      <w:b/>
                      <w:bCs/>
                      <w:color w:val="auto"/>
                      <w:sz w:val="18"/>
                      <w:szCs w:val="18"/>
                      <w:highlight w:val="none"/>
                    </w:rPr>
                  </w:pPr>
                </w:p>
              </w:tc>
              <w:tc>
                <w:tcPr>
                  <w:tcW w:w="620" w:type="dxa"/>
                  <w:noWrap w:val="0"/>
                  <w:vAlign w:val="center"/>
                </w:tcPr>
                <w:p>
                  <w:pPr>
                    <w:spacing w:line="280" w:lineRule="exact"/>
                    <w:ind w:left="-105" w:leftChars="-50" w:right="-105" w:rightChars="-50"/>
                    <w:jc w:val="center"/>
                    <w:rPr>
                      <w:rFonts w:hint="default" w:ascii="Times New Roman" w:hAnsi="Times New Roman" w:cs="Times New Roman"/>
                      <w:b/>
                      <w:bCs/>
                      <w:color w:val="auto"/>
                      <w:sz w:val="18"/>
                      <w:szCs w:val="18"/>
                      <w:highlight w:val="none"/>
                    </w:rPr>
                  </w:pPr>
                </w:p>
              </w:tc>
              <w:tc>
                <w:tcPr>
                  <w:tcW w:w="459" w:type="dxa"/>
                  <w:noWrap w:val="0"/>
                  <w:vAlign w:val="center"/>
                </w:tcPr>
                <w:p>
                  <w:pPr>
                    <w:spacing w:line="280" w:lineRule="exact"/>
                    <w:ind w:left="-105" w:leftChars="-50" w:right="-105" w:rightChars="-50"/>
                    <w:jc w:val="center"/>
                    <w:rPr>
                      <w:rFonts w:hint="default" w:ascii="Times New Roman" w:hAnsi="Times New Roman" w:cs="Times New Roman"/>
                      <w:b/>
                      <w:bCs/>
                      <w:color w:val="auto"/>
                      <w:sz w:val="18"/>
                      <w:szCs w:val="18"/>
                      <w:highlight w:val="none"/>
                    </w:rPr>
                  </w:pPr>
                </w:p>
              </w:tc>
              <w:tc>
                <w:tcPr>
                  <w:tcW w:w="766" w:type="dxa"/>
                  <w:vMerge w:val="continue"/>
                  <w:noWrap w:val="0"/>
                  <w:vAlign w:val="center"/>
                </w:tcPr>
                <w:p>
                  <w:pPr>
                    <w:spacing w:line="280" w:lineRule="exact"/>
                    <w:ind w:left="-105" w:leftChars="-50" w:right="-105" w:rightChars="-50"/>
                    <w:jc w:val="center"/>
                    <w:rPr>
                      <w:rFonts w:hint="default" w:ascii="Times New Roman" w:hAnsi="Times New Roman" w:cs="Times New Roman"/>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jc w:val="center"/>
                    <w:rPr>
                      <w:rFonts w:hint="default" w:ascii="Times New Roman" w:hAnsi="Times New Roman" w:cs="Times New Roman"/>
                      <w:bCs/>
                      <w:color w:val="auto"/>
                      <w:sz w:val="18"/>
                      <w:szCs w:val="18"/>
                      <w:highlight w:val="none"/>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35" w:type="dxa"/>
                  <w:noWrap w:val="0"/>
                  <w:vAlign w:val="center"/>
                </w:tcPr>
                <w:p>
                  <w:pPr>
                    <w:spacing w:line="280" w:lineRule="exact"/>
                    <w:ind w:left="-53" w:leftChars="-25" w:right="-53" w:rightChars="-25"/>
                    <w:jc w:val="center"/>
                    <w:rPr>
                      <w:rFonts w:hint="default" w:ascii="Times New Roman" w:hAnsi="Times New Roman" w:cs="Times New Roman"/>
                      <w:color w:val="auto"/>
                      <w:sz w:val="18"/>
                      <w:szCs w:val="18"/>
                      <w:highlight w:val="none"/>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49" w:type="dxa"/>
                  <w:noWrap w:val="0"/>
                  <w:vAlign w:val="center"/>
                </w:tcPr>
                <w:p>
                  <w:pPr>
                    <w:spacing w:line="280" w:lineRule="exact"/>
                    <w:ind w:left="-53" w:leftChars="-25" w:right="-53" w:rightChars="-25"/>
                    <w:jc w:val="center"/>
                    <w:rPr>
                      <w:rFonts w:hint="default" w:ascii="Times New Roman" w:hAnsi="Times New Roman" w:cs="Times New Roman"/>
                      <w:color w:val="auto"/>
                      <w:sz w:val="18"/>
                      <w:szCs w:val="18"/>
                      <w:highlight w:val="none"/>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59" w:type="dxa"/>
                  <w:noWrap w:val="0"/>
                  <w:vAlign w:val="center"/>
                </w:tcPr>
                <w:p>
                  <w:pPr>
                    <w:spacing w:line="280" w:lineRule="exact"/>
                    <w:ind w:left="-53" w:leftChars="-25" w:right="-53" w:rightChars="-25"/>
                    <w:jc w:val="center"/>
                    <w:rPr>
                      <w:rFonts w:hint="default" w:ascii="Times New Roman" w:hAnsi="Times New Roman" w:cs="Times New Roman"/>
                      <w:color w:val="auto"/>
                      <w:sz w:val="18"/>
                      <w:szCs w:val="18"/>
                      <w:highlight w:val="none"/>
                    </w:rPr>
                  </w:pPr>
                </w:p>
              </w:tc>
              <w:tc>
                <w:tcPr>
                  <w:tcW w:w="766" w:type="dxa"/>
                  <w:noWrap w:val="0"/>
                  <w:vAlign w:val="center"/>
                </w:tcPr>
                <w:p>
                  <w:pPr>
                    <w:spacing w:line="280" w:lineRule="exact"/>
                    <w:ind w:left="-105" w:leftChars="-50" w:right="-105" w:rightChars="-50"/>
                    <w:jc w:val="center"/>
                    <w:rPr>
                      <w:rFonts w:hint="default" w:ascii="Times New Roman" w:hAnsi="Times New Roman" w:cs="Times New Roman"/>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936" w:type="dxa"/>
                  <w:noWrap w:val="0"/>
                  <w:vAlign w:val="center"/>
                </w:tcPr>
                <w:p>
                  <w:pPr>
                    <w:spacing w:line="280" w:lineRule="exact"/>
                    <w:jc w:val="center"/>
                    <w:rPr>
                      <w:rFonts w:hint="eastAsia" w:ascii="Times New Roman" w:hAnsi="Times New Roman" w:eastAsia="宋体" w:cs="Times New Roman"/>
                      <w:bCs/>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cs="Times New Roman"/>
                      <w:bCs/>
                      <w:color w:val="auto"/>
                      <w:sz w:val="18"/>
                      <w:szCs w:val="18"/>
                      <w:highlight w:val="none"/>
                      <w:lang w:val="en-US" w:eastAsia="zh-CN"/>
                    </w:rPr>
                  </w:pPr>
                </w:p>
              </w:tc>
              <w:tc>
                <w:tcPr>
                  <w:tcW w:w="676" w:type="dxa"/>
                  <w:noWrap w:val="0"/>
                  <w:vAlign w:val="center"/>
                </w:tcPr>
                <w:p>
                  <w:pPr>
                    <w:spacing w:line="280" w:lineRule="exact"/>
                    <w:ind w:left="-53" w:leftChars="-25" w:right="-53" w:rightChars="-25"/>
                    <w:jc w:val="center"/>
                    <w:rPr>
                      <w:rFonts w:hint="default" w:ascii="Times New Roman" w:hAnsi="Times New Roman" w:cs="Times New Roman"/>
                      <w:color w:val="auto"/>
                      <w:sz w:val="18"/>
                      <w:szCs w:val="18"/>
                      <w:highlight w:val="none"/>
                      <w:lang w:val="en-US" w:eastAsia="zh-CN"/>
                    </w:rPr>
                  </w:pPr>
                </w:p>
              </w:tc>
              <w:tc>
                <w:tcPr>
                  <w:tcW w:w="435"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679" w:type="dxa"/>
                  <w:noWrap w:val="0"/>
                  <w:vAlign w:val="center"/>
                </w:tcPr>
                <w:p>
                  <w:pPr>
                    <w:spacing w:line="280" w:lineRule="exact"/>
                    <w:ind w:left="-105" w:leftChars="-50" w:right="-105" w:rightChars="-50"/>
                    <w:jc w:val="center"/>
                    <w:rPr>
                      <w:rFonts w:hint="default" w:ascii="Times New Roman" w:hAnsi="Times New Roman" w:cs="Times New Roman"/>
                      <w:bCs/>
                      <w:color w:val="auto"/>
                      <w:sz w:val="18"/>
                      <w:szCs w:val="18"/>
                      <w:highlight w:val="none"/>
                      <w:lang w:val="en-US" w:eastAsia="zh-CN"/>
                    </w:rPr>
                  </w:pPr>
                </w:p>
              </w:tc>
              <w:tc>
                <w:tcPr>
                  <w:tcW w:w="631" w:type="dxa"/>
                  <w:noWrap w:val="0"/>
                  <w:vAlign w:val="center"/>
                </w:tcPr>
                <w:p>
                  <w:pPr>
                    <w:spacing w:line="280" w:lineRule="exact"/>
                    <w:ind w:left="-53" w:leftChars="-25" w:right="-53" w:rightChars="-25"/>
                    <w:jc w:val="center"/>
                    <w:rPr>
                      <w:rFonts w:hint="default" w:ascii="Times New Roman" w:hAnsi="Times New Roman" w:cs="Times New Roman"/>
                      <w:color w:val="auto"/>
                      <w:sz w:val="18"/>
                      <w:szCs w:val="18"/>
                      <w:highlight w:val="none"/>
                      <w:lang w:val="en-US" w:eastAsia="zh-CN"/>
                    </w:rPr>
                  </w:pPr>
                </w:p>
              </w:tc>
              <w:tc>
                <w:tcPr>
                  <w:tcW w:w="449"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618" w:type="dxa"/>
                  <w:noWrap w:val="0"/>
                  <w:vAlign w:val="center"/>
                </w:tcPr>
                <w:p>
                  <w:pPr>
                    <w:spacing w:line="280" w:lineRule="exact"/>
                    <w:ind w:left="-105" w:leftChars="-50" w:right="-105" w:rightChars="-50"/>
                    <w:jc w:val="center"/>
                    <w:rPr>
                      <w:rFonts w:hint="default" w:ascii="Times New Roman" w:hAnsi="Times New Roman" w:cs="Times New Roman"/>
                      <w:bCs/>
                      <w:color w:val="auto"/>
                      <w:sz w:val="18"/>
                      <w:szCs w:val="18"/>
                      <w:highlight w:val="none"/>
                      <w:lang w:val="en-US" w:eastAsia="zh-CN"/>
                    </w:rPr>
                  </w:pPr>
                </w:p>
              </w:tc>
              <w:tc>
                <w:tcPr>
                  <w:tcW w:w="620" w:type="dxa"/>
                  <w:noWrap w:val="0"/>
                  <w:vAlign w:val="center"/>
                </w:tcPr>
                <w:p>
                  <w:pPr>
                    <w:spacing w:line="280" w:lineRule="exact"/>
                    <w:ind w:left="-53" w:leftChars="-25" w:right="-53" w:rightChars="-25"/>
                    <w:jc w:val="center"/>
                    <w:rPr>
                      <w:rFonts w:hint="default" w:ascii="Times New Roman" w:hAnsi="Times New Roman" w:cs="Times New Roman"/>
                      <w:color w:val="auto"/>
                      <w:sz w:val="18"/>
                      <w:szCs w:val="18"/>
                      <w:highlight w:val="none"/>
                      <w:lang w:val="en-US" w:eastAsia="zh-CN"/>
                    </w:rPr>
                  </w:pPr>
                </w:p>
              </w:tc>
              <w:tc>
                <w:tcPr>
                  <w:tcW w:w="459"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jc w:val="center"/>
                    <w:rPr>
                      <w:rFonts w:hint="default" w:ascii="Times New Roman" w:hAnsi="Times New Roman" w:eastAsia="宋体" w:cs="Times New Roman"/>
                      <w:bCs/>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cs="Times New Roman"/>
                      <w:bCs/>
                      <w:color w:val="auto"/>
                      <w:sz w:val="18"/>
                      <w:szCs w:val="18"/>
                      <w:highlight w:val="none"/>
                      <w:lang w:val="en-US" w:eastAsia="zh-CN"/>
                    </w:rPr>
                  </w:pPr>
                </w:p>
              </w:tc>
              <w:tc>
                <w:tcPr>
                  <w:tcW w:w="676" w:type="dxa"/>
                  <w:noWrap w:val="0"/>
                  <w:vAlign w:val="center"/>
                </w:tcPr>
                <w:p>
                  <w:pPr>
                    <w:spacing w:line="280" w:lineRule="exact"/>
                    <w:ind w:left="-53" w:leftChars="-25" w:right="-53" w:rightChars="-25"/>
                    <w:jc w:val="center"/>
                    <w:rPr>
                      <w:rFonts w:hint="default" w:ascii="Times New Roman" w:hAnsi="Times New Roman" w:cs="Times New Roman"/>
                      <w:color w:val="auto"/>
                      <w:sz w:val="18"/>
                      <w:szCs w:val="18"/>
                      <w:highlight w:val="none"/>
                      <w:lang w:val="en-US" w:eastAsia="zh-CN"/>
                    </w:rPr>
                  </w:pPr>
                </w:p>
              </w:tc>
              <w:tc>
                <w:tcPr>
                  <w:tcW w:w="435"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679" w:type="dxa"/>
                  <w:noWrap w:val="0"/>
                  <w:vAlign w:val="center"/>
                </w:tcPr>
                <w:p>
                  <w:pPr>
                    <w:spacing w:line="280" w:lineRule="exact"/>
                    <w:ind w:left="-105" w:leftChars="-50" w:right="-105" w:rightChars="-50"/>
                    <w:jc w:val="center"/>
                    <w:rPr>
                      <w:rFonts w:hint="default" w:ascii="Times New Roman" w:hAnsi="Times New Roman" w:cs="Times New Roman"/>
                      <w:bCs/>
                      <w:color w:val="auto"/>
                      <w:sz w:val="18"/>
                      <w:szCs w:val="18"/>
                      <w:highlight w:val="none"/>
                      <w:lang w:val="en-US" w:eastAsia="zh-CN"/>
                    </w:rPr>
                  </w:pPr>
                </w:p>
              </w:tc>
              <w:tc>
                <w:tcPr>
                  <w:tcW w:w="631" w:type="dxa"/>
                  <w:noWrap w:val="0"/>
                  <w:vAlign w:val="center"/>
                </w:tcPr>
                <w:p>
                  <w:pPr>
                    <w:spacing w:line="280" w:lineRule="exact"/>
                    <w:ind w:left="-53" w:leftChars="-25" w:right="-53" w:rightChars="-25"/>
                    <w:jc w:val="center"/>
                    <w:rPr>
                      <w:rFonts w:hint="default" w:ascii="Times New Roman" w:hAnsi="Times New Roman" w:cs="Times New Roman"/>
                      <w:color w:val="auto"/>
                      <w:sz w:val="18"/>
                      <w:szCs w:val="18"/>
                      <w:highlight w:val="none"/>
                      <w:lang w:val="en-US" w:eastAsia="zh-CN"/>
                    </w:rPr>
                  </w:pPr>
                </w:p>
              </w:tc>
              <w:tc>
                <w:tcPr>
                  <w:tcW w:w="449"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5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cs="Times New Roman"/>
                      <w:bCs/>
                      <w:color w:val="auto"/>
                      <w:sz w:val="18"/>
                      <w:szCs w:val="18"/>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35"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4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5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35"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4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5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35"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4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5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35"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4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5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35"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4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5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jc w:val="center"/>
                    <w:rPr>
                      <w:rFonts w:hint="default" w:ascii="Times New Roman" w:hAnsi="Times New Roman" w:eastAsia="宋体" w:cs="Times New Roman"/>
                      <w:bCs/>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435"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449"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459"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top"/>
                </w:tcPr>
                <w:p>
                  <w:pPr>
                    <w:spacing w:line="280" w:lineRule="exact"/>
                    <w:ind w:left="-53" w:leftChars="-25" w:right="-53" w:rightChars="-25"/>
                    <w:jc w:val="center"/>
                    <w:rPr>
                      <w:rFonts w:hint="default" w:ascii="Times New Roman" w:hAnsi="Times New Roman" w:eastAsia="宋体" w:cs="Times New Roman"/>
                      <w:bCs/>
                      <w:color w:val="auto"/>
                      <w:kern w:val="2"/>
                      <w:sz w:val="18"/>
                      <w:szCs w:val="18"/>
                      <w:highlight w:val="none"/>
                      <w:lang w:val="en-US" w:eastAsia="zh-CN" w:bidi="ar-SA"/>
                    </w:rPr>
                  </w:pPr>
                </w:p>
              </w:tc>
              <w:tc>
                <w:tcPr>
                  <w:tcW w:w="435" w:type="dxa"/>
                  <w:noWrap w:val="0"/>
                  <w:vAlign w:val="top"/>
                </w:tcPr>
                <w:p>
                  <w:pPr>
                    <w:spacing w:line="280" w:lineRule="exact"/>
                    <w:ind w:left="-53" w:leftChars="-25" w:right="-53" w:rightChars="-25"/>
                    <w:jc w:val="center"/>
                    <w:rPr>
                      <w:rFonts w:hint="default" w:ascii="Times New Roman" w:hAnsi="Times New Roman" w:eastAsia="宋体" w:cs="Times New Roman"/>
                      <w:bCs/>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top"/>
                </w:tcPr>
                <w:p>
                  <w:pPr>
                    <w:spacing w:line="280" w:lineRule="exact"/>
                    <w:ind w:left="-53" w:leftChars="-25" w:right="-53" w:rightChars="-25"/>
                    <w:jc w:val="center"/>
                    <w:rPr>
                      <w:rFonts w:hint="default" w:ascii="Times New Roman" w:hAnsi="Times New Roman" w:eastAsia="宋体" w:cs="Times New Roman"/>
                      <w:bCs/>
                      <w:color w:val="auto"/>
                      <w:kern w:val="2"/>
                      <w:sz w:val="18"/>
                      <w:szCs w:val="18"/>
                      <w:highlight w:val="none"/>
                      <w:lang w:val="en-US" w:eastAsia="zh-CN" w:bidi="ar-SA"/>
                    </w:rPr>
                  </w:pPr>
                </w:p>
              </w:tc>
              <w:tc>
                <w:tcPr>
                  <w:tcW w:w="449" w:type="dxa"/>
                  <w:noWrap w:val="0"/>
                  <w:vAlign w:val="top"/>
                </w:tcPr>
                <w:p>
                  <w:pPr>
                    <w:spacing w:line="280" w:lineRule="exact"/>
                    <w:ind w:left="-53" w:leftChars="-25" w:right="-53" w:rightChars="-25"/>
                    <w:jc w:val="center"/>
                    <w:rPr>
                      <w:rFonts w:hint="default" w:ascii="Times New Roman" w:hAnsi="Times New Roman" w:eastAsia="宋体" w:cs="Times New Roman"/>
                      <w:bCs/>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top"/>
                </w:tcPr>
                <w:p>
                  <w:pPr>
                    <w:spacing w:line="280" w:lineRule="exact"/>
                    <w:ind w:left="-53" w:leftChars="-25" w:right="-53" w:rightChars="-25"/>
                    <w:jc w:val="center"/>
                    <w:rPr>
                      <w:rFonts w:hint="default" w:ascii="Times New Roman" w:hAnsi="Times New Roman" w:eastAsia="宋体" w:cs="Times New Roman"/>
                      <w:bCs/>
                      <w:color w:val="auto"/>
                      <w:kern w:val="2"/>
                      <w:sz w:val="18"/>
                      <w:szCs w:val="18"/>
                      <w:highlight w:val="none"/>
                      <w:lang w:val="en-US" w:eastAsia="zh-CN" w:bidi="ar-SA"/>
                    </w:rPr>
                  </w:pPr>
                </w:p>
              </w:tc>
              <w:tc>
                <w:tcPr>
                  <w:tcW w:w="459" w:type="dxa"/>
                  <w:noWrap w:val="0"/>
                  <w:vAlign w:val="top"/>
                </w:tcPr>
                <w:p>
                  <w:pPr>
                    <w:spacing w:line="280" w:lineRule="exact"/>
                    <w:ind w:left="-53" w:leftChars="-25" w:right="-53" w:rightChars="-25"/>
                    <w:jc w:val="center"/>
                    <w:rPr>
                      <w:rFonts w:hint="default" w:ascii="Times New Roman" w:hAnsi="Times New Roman" w:eastAsia="宋体" w:cs="Times New Roman"/>
                      <w:bCs/>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jc w:val="center"/>
                    <w:rPr>
                      <w:rFonts w:hint="default" w:ascii="Times New Roman" w:hAnsi="Times New Roman" w:eastAsia="宋体" w:cs="Times New Roman"/>
                      <w:bCs/>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35"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4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5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35"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4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5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eastAsia" w:ascii="Times New Roman" w:hAnsi="Times New Roman" w:eastAsia="宋体" w:cs="Times New Roman"/>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35"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4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5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eastAsia" w:ascii="Times New Roman" w:hAnsi="Times New Roman" w:eastAsia="宋体" w:cs="Times New Roman"/>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35"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4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5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93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35"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49"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59"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766" w:type="dxa"/>
                  <w:noWrap w:val="0"/>
                  <w:vAlign w:val="center"/>
                </w:tcPr>
                <w:p>
                  <w:pPr>
                    <w:spacing w:line="280" w:lineRule="exact"/>
                    <w:ind w:left="-105" w:leftChars="-50" w:right="-105" w:rightChars="-50"/>
                    <w:jc w:val="center"/>
                    <w:rPr>
                      <w:rFonts w:hint="eastAsia" w:ascii="Times New Roman" w:hAnsi="Times New Roman" w:eastAsia="宋体" w:cs="Times New Roman"/>
                      <w:bCs/>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35"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4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5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936" w:type="dxa"/>
                  <w:noWrap w:val="0"/>
                  <w:vAlign w:val="center"/>
                </w:tcPr>
                <w:p>
                  <w:pPr>
                    <w:spacing w:line="280" w:lineRule="exact"/>
                    <w:jc w:val="center"/>
                    <w:rPr>
                      <w:rFonts w:hint="default" w:ascii="Times New Roman" w:hAnsi="Times New Roman" w:eastAsia="宋体" w:cs="Times New Roman"/>
                      <w:bCs/>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35"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49"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59"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766" w:type="dxa"/>
                  <w:noWrap w:val="0"/>
                  <w:vAlign w:val="center"/>
                </w:tcPr>
                <w:p>
                  <w:pPr>
                    <w:spacing w:line="280" w:lineRule="exact"/>
                    <w:ind w:left="-105" w:leftChars="-50" w:right="-105" w:rightChars="-50"/>
                    <w:jc w:val="center"/>
                    <w:rPr>
                      <w:rFonts w:hint="default" w:ascii="Times New Roman" w:hAnsi="Times New Roman" w:cs="Times New Roman"/>
                      <w:bCs/>
                      <w:color w:val="auto"/>
                      <w:sz w:val="18"/>
                      <w:szCs w:val="18"/>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93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35"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4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5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eastAsia" w:ascii="Times New Roman" w:hAnsi="Times New Roman" w:eastAsia="宋体" w:cs="Times New Roman"/>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35"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31" w:type="dxa"/>
                  <w:noWrap w:val="0"/>
                  <w:vAlign w:val="center"/>
                </w:tcPr>
                <w:p>
                  <w:pPr>
                    <w:spacing w:line="280" w:lineRule="exact"/>
                    <w:ind w:left="-53" w:leftChars="-25" w:right="-53" w:rightChars="-25"/>
                    <w:jc w:val="center"/>
                    <w:rPr>
                      <w:rFonts w:hint="default" w:ascii="Times New Roman" w:hAnsi="Times New Roman" w:cs="Times New Roman"/>
                      <w:color w:val="auto"/>
                      <w:sz w:val="18"/>
                      <w:szCs w:val="18"/>
                      <w:highlight w:val="none"/>
                    </w:rPr>
                  </w:pPr>
                </w:p>
              </w:tc>
              <w:tc>
                <w:tcPr>
                  <w:tcW w:w="449"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20" w:type="dxa"/>
                  <w:noWrap w:val="0"/>
                  <w:vAlign w:val="center"/>
                </w:tcPr>
                <w:p>
                  <w:pPr>
                    <w:spacing w:line="280" w:lineRule="exact"/>
                    <w:ind w:left="-53" w:leftChars="-25" w:right="-53" w:rightChars="-25"/>
                    <w:jc w:val="center"/>
                    <w:rPr>
                      <w:rFonts w:hint="default" w:ascii="Times New Roman" w:hAnsi="Times New Roman" w:cs="Times New Roman"/>
                      <w:color w:val="auto"/>
                      <w:sz w:val="18"/>
                      <w:szCs w:val="18"/>
                      <w:highlight w:val="none"/>
                    </w:rPr>
                  </w:pPr>
                </w:p>
              </w:tc>
              <w:tc>
                <w:tcPr>
                  <w:tcW w:w="459"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936" w:type="dxa"/>
                  <w:noWrap w:val="0"/>
                  <w:vAlign w:val="center"/>
                </w:tcPr>
                <w:p>
                  <w:pPr>
                    <w:spacing w:line="280" w:lineRule="exact"/>
                    <w:ind w:left="-105" w:leftChars="-50" w:right="-105" w:rightChars="-50"/>
                    <w:jc w:val="center"/>
                    <w:rPr>
                      <w:rFonts w:hint="default" w:ascii="Times New Roman" w:hAnsi="Times New Roman" w:cs="Times New Roman"/>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35"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49"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59"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766" w:type="dxa"/>
                  <w:noWrap w:val="0"/>
                  <w:vAlign w:val="center"/>
                </w:tcPr>
                <w:p>
                  <w:pPr>
                    <w:spacing w:line="280" w:lineRule="exact"/>
                    <w:ind w:left="-105" w:leftChars="-50" w:right="-105" w:rightChars="-50"/>
                    <w:jc w:val="center"/>
                    <w:rPr>
                      <w:rFonts w:hint="default" w:ascii="Times New Roman" w:hAnsi="Times New Roman" w:cs="Times New Roman"/>
                      <w:bCs/>
                      <w:color w:val="auto"/>
                      <w:sz w:val="18"/>
                      <w:szCs w:val="18"/>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jc w:val="center"/>
                    <w:rPr>
                      <w:rFonts w:hint="default" w:ascii="Times New Roman" w:hAnsi="Times New Roman" w:eastAsia="宋体" w:cs="Times New Roman"/>
                      <w:bCs/>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35"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4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5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eastAsia" w:ascii="Times New Roman" w:hAnsi="Times New Roman" w:eastAsia="宋体" w:cs="Times New Roman"/>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7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435" w:type="dxa"/>
                  <w:noWrap w:val="0"/>
                  <w:vAlign w:val="center"/>
                </w:tcPr>
                <w:p>
                  <w:pPr>
                    <w:spacing w:line="280" w:lineRule="exact"/>
                    <w:ind w:left="-105" w:leftChars="-50" w:right="-105" w:rightChars="-50"/>
                    <w:jc w:val="center"/>
                    <w:rPr>
                      <w:rFonts w:hint="eastAsia" w:ascii="Times New Roman" w:hAnsi="Times New Roman" w:eastAsia="宋体" w:cs="Times New Roman"/>
                      <w:bCs/>
                      <w:color w:val="auto"/>
                      <w:sz w:val="18"/>
                      <w:szCs w:val="18"/>
                      <w:highlight w:val="none"/>
                      <w:lang w:val="en-US" w:eastAsia="zh-CN"/>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31"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449" w:type="dxa"/>
                  <w:noWrap w:val="0"/>
                  <w:vAlign w:val="center"/>
                </w:tcPr>
                <w:p>
                  <w:pPr>
                    <w:spacing w:line="280" w:lineRule="exact"/>
                    <w:ind w:left="-105" w:leftChars="-50" w:right="-105" w:rightChars="-50"/>
                    <w:jc w:val="center"/>
                    <w:rPr>
                      <w:rFonts w:hint="eastAsia" w:ascii="Times New Roman" w:hAnsi="Times New Roman" w:eastAsia="宋体" w:cs="Times New Roman"/>
                      <w:bCs/>
                      <w:color w:val="auto"/>
                      <w:sz w:val="18"/>
                      <w:szCs w:val="18"/>
                      <w:highlight w:val="none"/>
                      <w:lang w:val="en-US" w:eastAsia="zh-CN"/>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20"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459" w:type="dxa"/>
                  <w:noWrap w:val="0"/>
                  <w:vAlign w:val="center"/>
                </w:tcPr>
                <w:p>
                  <w:pPr>
                    <w:spacing w:line="280" w:lineRule="exact"/>
                    <w:ind w:left="-105" w:leftChars="-50" w:right="-105" w:rightChars="-50"/>
                    <w:jc w:val="center"/>
                    <w:rPr>
                      <w:rFonts w:hint="eastAsia" w:ascii="Times New Roman" w:hAnsi="Times New Roman" w:eastAsia="宋体" w:cs="Times New Roman"/>
                      <w:bCs/>
                      <w:color w:val="auto"/>
                      <w:sz w:val="18"/>
                      <w:szCs w:val="18"/>
                      <w:highlight w:val="none"/>
                      <w:lang w:val="en-US" w:eastAsia="zh-CN"/>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eastAsia" w:ascii="Times New Roman" w:hAnsi="Times New Roman" w:eastAsia="宋体" w:cs="Times New Roman"/>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76" w:type="dxa"/>
                  <w:noWrap w:val="0"/>
                  <w:vAlign w:val="center"/>
                </w:tcPr>
                <w:p>
                  <w:pPr>
                    <w:spacing w:line="280" w:lineRule="exact"/>
                    <w:ind w:left="-105" w:leftChars="-50" w:right="-105" w:rightChars="-50"/>
                    <w:jc w:val="center"/>
                    <w:rPr>
                      <w:rFonts w:hint="default" w:ascii="Times New Roman" w:hAnsi="Times New Roman" w:cs="Times New Roman"/>
                      <w:bCs/>
                      <w:color w:val="auto"/>
                      <w:sz w:val="18"/>
                      <w:szCs w:val="18"/>
                      <w:highlight w:val="none"/>
                      <w:lang w:val="en-US"/>
                    </w:rPr>
                  </w:pPr>
                </w:p>
              </w:tc>
              <w:tc>
                <w:tcPr>
                  <w:tcW w:w="435" w:type="dxa"/>
                  <w:noWrap w:val="0"/>
                  <w:vAlign w:val="center"/>
                </w:tcPr>
                <w:p>
                  <w:pPr>
                    <w:spacing w:line="280" w:lineRule="exact"/>
                    <w:ind w:left="-105" w:leftChars="-50" w:right="-105" w:rightChars="-50"/>
                    <w:jc w:val="center"/>
                    <w:rPr>
                      <w:rFonts w:hint="eastAsia" w:ascii="Times New Roman" w:hAnsi="Times New Roman" w:eastAsia="宋体" w:cs="Times New Roman"/>
                      <w:bCs/>
                      <w:color w:val="auto"/>
                      <w:sz w:val="18"/>
                      <w:szCs w:val="18"/>
                      <w:highlight w:val="none"/>
                      <w:lang w:val="en-US" w:eastAsia="zh-CN"/>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4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5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35"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4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5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jc w:val="center"/>
                    <w:rPr>
                      <w:rFonts w:hint="default" w:ascii="Times New Roman" w:hAnsi="Times New Roman" w:eastAsia="宋体" w:cs="Times New Roman"/>
                      <w:bCs/>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35"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4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5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eastAsia" w:ascii="Times New Roman" w:hAnsi="Times New Roman" w:eastAsia="宋体" w:cs="Times New Roman"/>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76" w:type="dxa"/>
                  <w:noWrap w:val="0"/>
                  <w:vAlign w:val="top"/>
                </w:tcPr>
                <w:p>
                  <w:pPr>
                    <w:spacing w:line="280" w:lineRule="exact"/>
                    <w:ind w:left="-53" w:leftChars="-25" w:right="-53" w:rightChars="-25"/>
                    <w:jc w:val="center"/>
                    <w:rPr>
                      <w:rFonts w:hint="default" w:ascii="Times New Roman" w:hAnsi="Times New Roman" w:eastAsia="宋体" w:cs="Times New Roman"/>
                      <w:bCs/>
                      <w:color w:val="auto"/>
                      <w:sz w:val="18"/>
                      <w:szCs w:val="18"/>
                      <w:highlight w:val="none"/>
                      <w:lang w:val="en-US" w:eastAsia="zh-CN"/>
                    </w:rPr>
                  </w:pPr>
                </w:p>
              </w:tc>
              <w:tc>
                <w:tcPr>
                  <w:tcW w:w="435" w:type="dxa"/>
                  <w:noWrap w:val="0"/>
                  <w:vAlign w:val="top"/>
                </w:tcPr>
                <w:p>
                  <w:pPr>
                    <w:spacing w:line="280" w:lineRule="exact"/>
                    <w:ind w:left="-53" w:leftChars="-25" w:right="-53" w:rightChars="-25"/>
                    <w:jc w:val="center"/>
                    <w:rPr>
                      <w:rFonts w:hint="eastAsia" w:ascii="Times New Roman" w:hAnsi="Times New Roman" w:eastAsia="宋体" w:cs="Times New Roman"/>
                      <w:bCs/>
                      <w:color w:val="auto"/>
                      <w:sz w:val="18"/>
                      <w:szCs w:val="18"/>
                      <w:highlight w:val="none"/>
                      <w:lang w:val="en-US" w:eastAsia="zh-CN"/>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top"/>
                </w:tcPr>
                <w:p>
                  <w:pPr>
                    <w:spacing w:line="280" w:lineRule="exact"/>
                    <w:ind w:left="-53" w:leftChars="-25" w:right="-53" w:rightChars="-25"/>
                    <w:jc w:val="center"/>
                    <w:rPr>
                      <w:rFonts w:hint="default" w:ascii="Times New Roman" w:hAnsi="Times New Roman" w:eastAsia="宋体" w:cs="Times New Roman"/>
                      <w:bCs/>
                      <w:color w:val="auto"/>
                      <w:kern w:val="2"/>
                      <w:sz w:val="18"/>
                      <w:szCs w:val="18"/>
                      <w:highlight w:val="none"/>
                      <w:lang w:val="en-US" w:eastAsia="zh-CN" w:bidi="ar-SA"/>
                    </w:rPr>
                  </w:pPr>
                </w:p>
              </w:tc>
              <w:tc>
                <w:tcPr>
                  <w:tcW w:w="449" w:type="dxa"/>
                  <w:noWrap w:val="0"/>
                  <w:vAlign w:val="top"/>
                </w:tcPr>
                <w:p>
                  <w:pPr>
                    <w:spacing w:line="280" w:lineRule="exact"/>
                    <w:ind w:left="-53" w:leftChars="-25" w:right="-53" w:rightChars="-25"/>
                    <w:jc w:val="center"/>
                    <w:rPr>
                      <w:rFonts w:hint="default" w:ascii="Times New Roman" w:hAnsi="Times New Roman" w:eastAsia="宋体" w:cs="Times New Roman"/>
                      <w:bCs/>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top"/>
                </w:tcPr>
                <w:p>
                  <w:pPr>
                    <w:spacing w:line="280" w:lineRule="exact"/>
                    <w:ind w:left="-53" w:leftChars="-25" w:right="-53" w:rightChars="-25"/>
                    <w:jc w:val="center"/>
                    <w:rPr>
                      <w:rFonts w:hint="default" w:ascii="Times New Roman" w:hAnsi="Times New Roman" w:eastAsia="宋体" w:cs="Times New Roman"/>
                      <w:bCs/>
                      <w:color w:val="auto"/>
                      <w:kern w:val="2"/>
                      <w:sz w:val="18"/>
                      <w:szCs w:val="18"/>
                      <w:highlight w:val="none"/>
                      <w:lang w:val="en-US" w:eastAsia="zh-CN" w:bidi="ar-SA"/>
                    </w:rPr>
                  </w:pPr>
                </w:p>
              </w:tc>
              <w:tc>
                <w:tcPr>
                  <w:tcW w:w="459" w:type="dxa"/>
                  <w:noWrap w:val="0"/>
                  <w:vAlign w:val="top"/>
                </w:tcPr>
                <w:p>
                  <w:pPr>
                    <w:spacing w:line="280" w:lineRule="exact"/>
                    <w:ind w:left="-53" w:leftChars="-25" w:right="-53" w:rightChars="-25"/>
                    <w:jc w:val="center"/>
                    <w:rPr>
                      <w:rFonts w:hint="default" w:ascii="Times New Roman" w:hAnsi="Times New Roman" w:eastAsia="宋体" w:cs="Times New Roman"/>
                      <w:bCs/>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eastAsia" w:ascii="Times New Roman" w:hAnsi="Times New Roman" w:eastAsia="宋体" w:cs="Times New Roman"/>
                      <w:bCs/>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ascii="Times New Roman" w:hAnsi="Times New Roman" w:cs="Times New Roman"/>
                      <w:bCs/>
                      <w:color w:val="auto"/>
                      <w:sz w:val="18"/>
                      <w:szCs w:val="18"/>
                      <w:highlight w:val="none"/>
                      <w:lang w:val="en-US"/>
                    </w:rPr>
                  </w:pPr>
                </w:p>
              </w:tc>
              <w:tc>
                <w:tcPr>
                  <w:tcW w:w="676" w:type="dxa"/>
                  <w:noWrap w:val="0"/>
                  <w:vAlign w:val="center"/>
                </w:tcPr>
                <w:p>
                  <w:pPr>
                    <w:spacing w:line="280" w:lineRule="exact"/>
                    <w:ind w:left="-105" w:leftChars="-50" w:right="-105" w:rightChars="-50"/>
                    <w:jc w:val="center"/>
                    <w:rPr>
                      <w:rFonts w:hint="eastAsia" w:ascii="Times New Roman" w:hAnsi="Times New Roman" w:eastAsia="宋体" w:cs="Times New Roman"/>
                      <w:bCs/>
                      <w:color w:val="auto"/>
                      <w:sz w:val="18"/>
                      <w:szCs w:val="18"/>
                      <w:highlight w:val="none"/>
                      <w:lang w:val="en-US" w:eastAsia="zh-CN"/>
                    </w:rPr>
                  </w:pPr>
                </w:p>
              </w:tc>
              <w:tc>
                <w:tcPr>
                  <w:tcW w:w="435" w:type="dxa"/>
                  <w:noWrap w:val="0"/>
                  <w:vAlign w:val="center"/>
                </w:tcPr>
                <w:p>
                  <w:pPr>
                    <w:spacing w:line="280" w:lineRule="exact"/>
                    <w:ind w:left="-105" w:leftChars="-50" w:right="-105" w:rightChars="-50"/>
                    <w:jc w:val="center"/>
                    <w:rPr>
                      <w:rFonts w:hint="eastAsia" w:ascii="Times New Roman" w:hAnsi="Times New Roman" w:eastAsia="宋体" w:cs="Times New Roman"/>
                      <w:bCs/>
                      <w:color w:val="auto"/>
                      <w:sz w:val="18"/>
                      <w:szCs w:val="18"/>
                      <w:highlight w:val="none"/>
                      <w:lang w:val="en-US" w:eastAsia="zh-CN"/>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4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5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eastAsia" w:ascii="Times New Roman" w:hAnsi="Times New Roman" w:eastAsia="宋体" w:cs="Times New Roman"/>
                      <w:bCs/>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default" w:cs="Times New Roman"/>
                      <w:bCs/>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7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435" w:type="dxa"/>
                  <w:noWrap w:val="0"/>
                  <w:vAlign w:val="center"/>
                </w:tcPr>
                <w:p>
                  <w:pPr>
                    <w:spacing w:line="280" w:lineRule="exact"/>
                    <w:ind w:left="-105" w:leftChars="-50" w:right="-105" w:rightChars="-50"/>
                    <w:jc w:val="center"/>
                    <w:rPr>
                      <w:rFonts w:hint="eastAsia" w:ascii="Times New Roman" w:hAnsi="Times New Roman" w:eastAsia="宋体" w:cs="Times New Roman"/>
                      <w:bCs/>
                      <w:color w:val="auto"/>
                      <w:sz w:val="18"/>
                      <w:szCs w:val="18"/>
                      <w:highlight w:val="none"/>
                      <w:lang w:val="en-US" w:eastAsia="zh-CN"/>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31"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449" w:type="dxa"/>
                  <w:noWrap w:val="0"/>
                  <w:vAlign w:val="center"/>
                </w:tcPr>
                <w:p>
                  <w:pPr>
                    <w:spacing w:line="280" w:lineRule="exact"/>
                    <w:ind w:left="-105" w:leftChars="-50" w:right="-105" w:rightChars="-50"/>
                    <w:jc w:val="center"/>
                    <w:rPr>
                      <w:rFonts w:hint="eastAsia" w:ascii="Times New Roman" w:hAnsi="Times New Roman" w:eastAsia="宋体" w:cs="Times New Roman"/>
                      <w:bCs/>
                      <w:color w:val="auto"/>
                      <w:sz w:val="18"/>
                      <w:szCs w:val="18"/>
                      <w:highlight w:val="none"/>
                      <w:lang w:val="en-US" w:eastAsia="zh-CN"/>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20"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459" w:type="dxa"/>
                  <w:noWrap w:val="0"/>
                  <w:vAlign w:val="center"/>
                </w:tcPr>
                <w:p>
                  <w:pPr>
                    <w:spacing w:line="280" w:lineRule="exact"/>
                    <w:ind w:left="-105" w:leftChars="-50" w:right="-105" w:rightChars="-50"/>
                    <w:jc w:val="center"/>
                    <w:rPr>
                      <w:rFonts w:hint="eastAsia" w:ascii="Times New Roman" w:hAnsi="Times New Roman" w:eastAsia="宋体" w:cs="Times New Roman"/>
                      <w:bCs/>
                      <w:color w:val="auto"/>
                      <w:sz w:val="18"/>
                      <w:szCs w:val="18"/>
                      <w:highlight w:val="none"/>
                      <w:lang w:val="en-US" w:eastAsia="zh-CN"/>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default" w:cs="Times New Roman"/>
                      <w:bCs/>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ascii="Times New Roman" w:hAnsi="Times New Roman" w:cs="Times New Roman"/>
                      <w:bCs/>
                      <w:color w:val="auto"/>
                      <w:sz w:val="18"/>
                      <w:szCs w:val="18"/>
                      <w:highlight w:val="none"/>
                      <w:lang w:val="en-US"/>
                    </w:rPr>
                  </w:pPr>
                </w:p>
              </w:tc>
              <w:tc>
                <w:tcPr>
                  <w:tcW w:w="676" w:type="dxa"/>
                  <w:noWrap w:val="0"/>
                  <w:vAlign w:val="center"/>
                </w:tcPr>
                <w:p>
                  <w:pPr>
                    <w:spacing w:line="280" w:lineRule="exact"/>
                    <w:ind w:left="-105" w:leftChars="-50" w:right="-105" w:rightChars="-50"/>
                    <w:jc w:val="center"/>
                    <w:rPr>
                      <w:rFonts w:hint="default" w:ascii="Times New Roman" w:hAnsi="Times New Roman" w:cs="Times New Roman"/>
                      <w:bCs/>
                      <w:color w:val="auto"/>
                      <w:sz w:val="18"/>
                      <w:szCs w:val="18"/>
                      <w:highlight w:val="none"/>
                    </w:rPr>
                  </w:pPr>
                </w:p>
              </w:tc>
              <w:tc>
                <w:tcPr>
                  <w:tcW w:w="435" w:type="dxa"/>
                  <w:noWrap w:val="0"/>
                  <w:vAlign w:val="center"/>
                </w:tcPr>
                <w:p>
                  <w:pPr>
                    <w:spacing w:line="280" w:lineRule="exact"/>
                    <w:ind w:left="-105" w:leftChars="-50" w:right="-105" w:rightChars="-50"/>
                    <w:jc w:val="center"/>
                    <w:rPr>
                      <w:rFonts w:hint="eastAsia" w:ascii="Times New Roman" w:hAnsi="Times New Roman" w:eastAsia="宋体" w:cs="Times New Roman"/>
                      <w:bCs/>
                      <w:color w:val="auto"/>
                      <w:sz w:val="18"/>
                      <w:szCs w:val="18"/>
                      <w:highlight w:val="none"/>
                      <w:lang w:val="en-US" w:eastAsia="zh-CN"/>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4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5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default" w:cs="Times New Roman"/>
                      <w:bCs/>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ascii="Times New Roman" w:hAnsi="Times New Roman" w:cs="Times New Roman"/>
                      <w:bCs/>
                      <w:color w:val="auto"/>
                      <w:sz w:val="18"/>
                      <w:szCs w:val="18"/>
                      <w:highlight w:val="none"/>
                      <w:lang w:val="en-US"/>
                    </w:rPr>
                  </w:pPr>
                </w:p>
              </w:tc>
              <w:tc>
                <w:tcPr>
                  <w:tcW w:w="67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435" w:type="dxa"/>
                  <w:noWrap w:val="0"/>
                  <w:vAlign w:val="center"/>
                </w:tcPr>
                <w:p>
                  <w:pPr>
                    <w:spacing w:line="280" w:lineRule="exact"/>
                    <w:ind w:left="-105" w:leftChars="-50" w:right="-105" w:rightChars="-50"/>
                    <w:jc w:val="center"/>
                    <w:rPr>
                      <w:rFonts w:hint="default" w:ascii="Times New Roman" w:hAnsi="Times New Roman" w:cs="Times New Roman"/>
                      <w:bCs/>
                      <w:color w:val="auto"/>
                      <w:sz w:val="18"/>
                      <w:szCs w:val="18"/>
                      <w:highlight w:val="none"/>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4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45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6" w:type="dxa"/>
                  <w:noWrap w:val="0"/>
                  <w:vAlign w:val="center"/>
                </w:tcPr>
                <w:p>
                  <w:pPr>
                    <w:spacing w:line="28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35"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4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5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936" w:type="dxa"/>
                  <w:noWrap w:val="0"/>
                  <w:vAlign w:val="center"/>
                </w:tcPr>
                <w:p>
                  <w:pPr>
                    <w:spacing w:line="280" w:lineRule="exact"/>
                    <w:jc w:val="center"/>
                    <w:rPr>
                      <w:rFonts w:hint="eastAsia" w:ascii="Times New Roman" w:hAnsi="Times New Roman" w:eastAsia="宋体" w:cs="Times New Roman"/>
                      <w:bCs/>
                      <w:color w:val="auto"/>
                      <w:sz w:val="18"/>
                      <w:szCs w:val="18"/>
                      <w:highlight w:val="none"/>
                      <w:lang w:val="en-US" w:eastAsia="zh-CN"/>
                    </w:rPr>
                  </w:pPr>
                </w:p>
              </w:tc>
              <w:tc>
                <w:tcPr>
                  <w:tcW w:w="68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c>
                <w:tcPr>
                  <w:tcW w:w="676" w:type="dxa"/>
                  <w:noWrap w:val="0"/>
                  <w:vAlign w:val="center"/>
                </w:tcPr>
                <w:p>
                  <w:pPr>
                    <w:spacing w:line="280" w:lineRule="exact"/>
                    <w:ind w:left="-53" w:leftChars="-25" w:right="-53" w:rightChars="-25"/>
                    <w:jc w:val="center"/>
                    <w:rPr>
                      <w:rFonts w:hint="default" w:ascii="Times New Roman" w:hAnsi="Times New Roman" w:eastAsia="宋体" w:cs="Times New Roman"/>
                      <w:color w:val="auto"/>
                      <w:sz w:val="18"/>
                      <w:szCs w:val="18"/>
                      <w:highlight w:val="none"/>
                      <w:lang w:val="en-US" w:eastAsia="zh-CN"/>
                    </w:rPr>
                  </w:pPr>
                </w:p>
              </w:tc>
              <w:tc>
                <w:tcPr>
                  <w:tcW w:w="435" w:type="dxa"/>
                  <w:noWrap w:val="0"/>
                  <w:vAlign w:val="center"/>
                </w:tcPr>
                <w:p>
                  <w:pPr>
                    <w:spacing w:line="280" w:lineRule="exact"/>
                    <w:ind w:left="-53" w:leftChars="-25" w:right="-53" w:rightChars="-25"/>
                    <w:jc w:val="center"/>
                    <w:rPr>
                      <w:rFonts w:hint="eastAsia" w:ascii="Times New Roman" w:hAnsi="Times New Roman" w:eastAsia="宋体" w:cs="Times New Roman"/>
                      <w:color w:val="auto"/>
                      <w:sz w:val="18"/>
                      <w:szCs w:val="18"/>
                      <w:highlight w:val="none"/>
                      <w:lang w:val="en-US" w:eastAsia="zh-CN"/>
                    </w:rPr>
                  </w:pPr>
                </w:p>
              </w:tc>
              <w:tc>
                <w:tcPr>
                  <w:tcW w:w="679"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31"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4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618"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kern w:val="2"/>
                      <w:sz w:val="18"/>
                      <w:szCs w:val="18"/>
                      <w:highlight w:val="none"/>
                      <w:lang w:val="en-US" w:eastAsia="zh-CN" w:bidi="ar-SA"/>
                    </w:rPr>
                  </w:pPr>
                </w:p>
              </w:tc>
              <w:tc>
                <w:tcPr>
                  <w:tcW w:w="620"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459" w:type="dxa"/>
                  <w:noWrap w:val="0"/>
                  <w:vAlign w:val="center"/>
                </w:tcPr>
                <w:p>
                  <w:pPr>
                    <w:spacing w:line="280" w:lineRule="exact"/>
                    <w:ind w:left="-53" w:leftChars="-25" w:right="-53" w:rightChars="-25"/>
                    <w:jc w:val="center"/>
                    <w:rPr>
                      <w:rFonts w:hint="default" w:ascii="Times New Roman" w:hAnsi="Times New Roman" w:eastAsia="宋体" w:cs="Times New Roman"/>
                      <w:color w:val="auto"/>
                      <w:kern w:val="2"/>
                      <w:sz w:val="18"/>
                      <w:szCs w:val="18"/>
                      <w:highlight w:val="none"/>
                      <w:lang w:val="en-US" w:eastAsia="zh-CN" w:bidi="ar-SA"/>
                    </w:rPr>
                  </w:pPr>
                </w:p>
              </w:tc>
              <w:tc>
                <w:tcPr>
                  <w:tcW w:w="766" w:type="dxa"/>
                  <w:noWrap w:val="0"/>
                  <w:vAlign w:val="center"/>
                </w:tcPr>
                <w:p>
                  <w:pPr>
                    <w:spacing w:line="280" w:lineRule="exact"/>
                    <w:ind w:left="-105" w:leftChars="-50" w:right="-105" w:rightChars="-50"/>
                    <w:jc w:val="center"/>
                    <w:rPr>
                      <w:rFonts w:hint="default" w:ascii="Times New Roman" w:hAnsi="Times New Roman" w:eastAsia="宋体" w:cs="Times New Roman"/>
                      <w:bCs/>
                      <w:color w:val="auto"/>
                      <w:sz w:val="18"/>
                      <w:szCs w:val="18"/>
                      <w:highlight w:val="none"/>
                      <w:lang w:val="en-US" w:eastAsia="zh-CN"/>
                    </w:rPr>
                  </w:pPr>
                </w:p>
              </w:tc>
            </w:tr>
          </w:tbl>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从上表可以看出，项目区域地下水监测因子的标准指数均小于1，均满足《地下水质量标准》（GB/T 14848-2017）III类标准。</w:t>
            </w:r>
          </w:p>
          <w:p>
            <w:pPr>
              <w:numPr>
                <w:ilvl w:val="0"/>
                <w:numId w:val="14"/>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zh-CN"/>
              </w:rPr>
              <w:t>土壤环境</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对于项目区域土壤现状，本次评价引用</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达州市</w:t>
            </w:r>
            <w:r>
              <w:rPr>
                <w:rFonts w:hint="eastAsia" w:cs="Times New Roman"/>
                <w:color w:val="auto"/>
                <w:szCs w:val="21"/>
                <w:lang w:val="en-US" w:eastAsia="zh-CN"/>
              </w:rPr>
              <w:t>2022年度土壤污染</w:t>
            </w:r>
            <w:r>
              <w:rPr>
                <w:rFonts w:hint="default" w:ascii="Times New Roman" w:hAnsi="Times New Roman" w:cs="Times New Roman"/>
                <w:color w:val="auto"/>
                <w:szCs w:val="21"/>
                <w:lang w:val="en-US" w:eastAsia="zh-CN"/>
              </w:rPr>
              <w:t>重点监督单位</w:t>
            </w:r>
            <w:r>
              <w:rPr>
                <w:rFonts w:hint="eastAsia" w:cs="Times New Roman"/>
                <w:color w:val="auto"/>
                <w:szCs w:val="21"/>
                <w:lang w:val="en-US" w:eastAsia="zh-CN"/>
              </w:rPr>
              <w:t>、工业园区、污水集中处理设施和固体废物处置设施周边</w:t>
            </w:r>
            <w:r>
              <w:rPr>
                <w:rFonts w:hint="default" w:ascii="Times New Roman" w:hAnsi="Times New Roman" w:cs="Times New Roman"/>
                <w:color w:val="auto"/>
                <w:szCs w:val="21"/>
                <w:lang w:val="en-US" w:eastAsia="zh-CN"/>
              </w:rPr>
              <w:t>土壤环境</w:t>
            </w:r>
            <w:r>
              <w:rPr>
                <w:rFonts w:hint="eastAsia" w:cs="Times New Roman"/>
                <w:color w:val="auto"/>
                <w:szCs w:val="21"/>
                <w:lang w:val="en-US" w:eastAsia="zh-CN"/>
              </w:rPr>
              <w:t>监督性监测报告》</w:t>
            </w:r>
            <w:r>
              <w:rPr>
                <w:rFonts w:hint="default" w:ascii="Times New Roman" w:hAnsi="Times New Roman" w:cs="Times New Roman"/>
                <w:color w:val="auto"/>
                <w:szCs w:val="21"/>
                <w:lang w:val="en-US" w:eastAsia="zh-CN"/>
              </w:rPr>
              <w:t>，评价项目所在区域土壤现状。</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en-US" w:eastAsia="zh-CN"/>
              </w:rPr>
              <w:t>根据</w:t>
            </w:r>
            <w:r>
              <w:rPr>
                <w:rFonts w:hint="eastAsia" w:cs="Times New Roman"/>
                <w:color w:val="auto"/>
                <w:szCs w:val="21"/>
                <w:lang w:val="en-US" w:eastAsia="zh-CN"/>
              </w:rPr>
              <w:t>该监督性监测报告</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能够反映本项目区域土壤背景值</w:t>
            </w:r>
            <w:r>
              <w:rPr>
                <w:rFonts w:hint="eastAsia" w:cs="Times New Roman"/>
                <w:color w:val="auto"/>
                <w:szCs w:val="21"/>
                <w:lang w:eastAsia="zh-CN"/>
              </w:rPr>
              <w:t>；</w:t>
            </w:r>
            <w:r>
              <w:rPr>
                <w:rFonts w:hint="eastAsia" w:cs="Times New Roman"/>
                <w:color w:val="auto"/>
                <w:szCs w:val="21"/>
                <w:lang w:val="en-US" w:eastAsia="zh-CN"/>
              </w:rPr>
              <w:t>且</w:t>
            </w:r>
            <w:r>
              <w:rPr>
                <w:rFonts w:hint="default" w:ascii="Times New Roman" w:hAnsi="Times New Roman" w:cs="Times New Roman"/>
                <w:color w:val="auto"/>
                <w:szCs w:val="21"/>
                <w:lang w:val="en-US" w:eastAsia="zh-CN"/>
              </w:rPr>
              <w:t>监测时间为20</w:t>
            </w:r>
            <w:r>
              <w:rPr>
                <w:rFonts w:hint="eastAsia" w:cs="Times New Roman"/>
                <w:color w:val="auto"/>
                <w:szCs w:val="21"/>
                <w:lang w:val="en-US" w:eastAsia="zh-CN"/>
              </w:rPr>
              <w:t>22</w:t>
            </w:r>
            <w:r>
              <w:rPr>
                <w:rFonts w:hint="default" w:ascii="Times New Roman" w:hAnsi="Times New Roman" w:cs="Times New Roman"/>
                <w:color w:val="auto"/>
                <w:szCs w:val="21"/>
                <w:lang w:val="en-US" w:eastAsia="zh-CN"/>
              </w:rPr>
              <w:t>年，时间间隔较短，在引用的有效时限内，且在这期间区域无同类污染物对区域土壤环境造成污染影响，因此引用该监测报告可行。</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评价方法：将监测结果与评价标准进行对照，得出评价结果见下表。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土壤环境现状评价结果表  单位：mg/kg</w:t>
            </w:r>
          </w:p>
          <w:tbl>
            <w:tblPr>
              <w:tblStyle w:val="17"/>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168"/>
              <w:gridCol w:w="1110"/>
              <w:gridCol w:w="1123"/>
              <w:gridCol w:w="1129"/>
              <w:gridCol w:w="953"/>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55" w:type="dxa"/>
                  <w:vMerge w:val="restart"/>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auto"/>
                      <w:kern w:val="0"/>
                      <w:sz w:val="18"/>
                      <w:szCs w:val="18"/>
                    </w:rPr>
                  </w:pPr>
                </w:p>
              </w:tc>
              <w:tc>
                <w:tcPr>
                  <w:tcW w:w="3401" w:type="dxa"/>
                  <w:gridSpan w:val="3"/>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auto"/>
                      <w:kern w:val="0"/>
                      <w:sz w:val="18"/>
                      <w:szCs w:val="18"/>
                    </w:rPr>
                  </w:pPr>
                </w:p>
              </w:tc>
              <w:tc>
                <w:tcPr>
                  <w:tcW w:w="2082" w:type="dxa"/>
                  <w:gridSpan w:val="2"/>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auto"/>
                      <w:kern w:val="0"/>
                      <w:sz w:val="18"/>
                      <w:szCs w:val="18"/>
                    </w:rPr>
                  </w:pPr>
                </w:p>
              </w:tc>
              <w:tc>
                <w:tcPr>
                  <w:tcW w:w="1360" w:type="dxa"/>
                  <w:vMerge w:val="restart"/>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55" w:type="dxa"/>
                  <w:vMerge w:val="continue"/>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auto"/>
                      <w:kern w:val="0"/>
                      <w:sz w:val="18"/>
                      <w:szCs w:val="18"/>
                    </w:rPr>
                  </w:pPr>
                </w:p>
              </w:tc>
              <w:tc>
                <w:tcPr>
                  <w:tcW w:w="1168"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b/>
                      <w:bCs/>
                      <w:color w:val="auto"/>
                      <w:kern w:val="0"/>
                      <w:sz w:val="18"/>
                      <w:szCs w:val="18"/>
                      <w:lang w:val="en-US" w:eastAsia="zh-CN"/>
                    </w:rPr>
                  </w:pPr>
                </w:p>
              </w:tc>
              <w:tc>
                <w:tcPr>
                  <w:tcW w:w="1110"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auto"/>
                      <w:kern w:val="0"/>
                      <w:sz w:val="18"/>
                      <w:szCs w:val="18"/>
                      <w:lang w:val="en-US" w:eastAsia="zh-CN"/>
                    </w:rPr>
                  </w:pPr>
                </w:p>
              </w:tc>
              <w:tc>
                <w:tcPr>
                  <w:tcW w:w="1123"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b/>
                      <w:bCs/>
                      <w:color w:val="auto"/>
                      <w:kern w:val="0"/>
                      <w:sz w:val="18"/>
                      <w:szCs w:val="18"/>
                      <w:lang w:val="en-US" w:eastAsia="zh-CN"/>
                    </w:rPr>
                  </w:pPr>
                </w:p>
              </w:tc>
              <w:tc>
                <w:tcPr>
                  <w:tcW w:w="1129"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auto"/>
                      <w:kern w:val="0"/>
                      <w:sz w:val="18"/>
                      <w:szCs w:val="18"/>
                    </w:rPr>
                  </w:pPr>
                </w:p>
              </w:tc>
              <w:tc>
                <w:tcPr>
                  <w:tcW w:w="953"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auto"/>
                      <w:kern w:val="0"/>
                      <w:sz w:val="18"/>
                      <w:szCs w:val="18"/>
                    </w:rPr>
                  </w:pPr>
                </w:p>
              </w:tc>
              <w:tc>
                <w:tcPr>
                  <w:tcW w:w="1360" w:type="dxa"/>
                  <w:vMerge w:val="continue"/>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55"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eastAsia" w:ascii="Times New Roman" w:hAnsi="Times New Roman" w:eastAsia="宋体" w:cs="Times New Roman"/>
                      <w:b w:val="0"/>
                      <w:bCs w:val="0"/>
                      <w:color w:val="auto"/>
                      <w:kern w:val="0"/>
                      <w:sz w:val="18"/>
                      <w:szCs w:val="18"/>
                      <w:lang w:val="en-US" w:eastAsia="zh-CN"/>
                    </w:rPr>
                  </w:pPr>
                </w:p>
              </w:tc>
              <w:tc>
                <w:tcPr>
                  <w:tcW w:w="1168"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b/>
                      <w:bCs/>
                      <w:color w:val="auto"/>
                      <w:kern w:val="0"/>
                      <w:sz w:val="18"/>
                      <w:szCs w:val="18"/>
                      <w:lang w:val="en-US" w:eastAsia="zh-CN"/>
                    </w:rPr>
                  </w:pPr>
                </w:p>
              </w:tc>
              <w:tc>
                <w:tcPr>
                  <w:tcW w:w="1110"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auto"/>
                      <w:kern w:val="0"/>
                      <w:sz w:val="18"/>
                      <w:szCs w:val="18"/>
                      <w:lang w:val="en-US" w:eastAsia="zh-CN"/>
                    </w:rPr>
                  </w:pPr>
                </w:p>
              </w:tc>
              <w:tc>
                <w:tcPr>
                  <w:tcW w:w="1123"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auto"/>
                      <w:kern w:val="0"/>
                      <w:sz w:val="18"/>
                      <w:szCs w:val="18"/>
                      <w:lang w:val="en-US" w:eastAsia="zh-CN"/>
                    </w:rPr>
                  </w:pPr>
                </w:p>
              </w:tc>
              <w:tc>
                <w:tcPr>
                  <w:tcW w:w="1129"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eastAsia" w:ascii="Times New Roman" w:hAnsi="Times New Roman" w:eastAsia="宋体" w:cs="Times New Roman"/>
                      <w:b/>
                      <w:bCs/>
                      <w:color w:val="auto"/>
                      <w:kern w:val="0"/>
                      <w:sz w:val="18"/>
                      <w:szCs w:val="18"/>
                      <w:lang w:val="en-US" w:eastAsia="zh-CN"/>
                    </w:rPr>
                  </w:pPr>
                </w:p>
              </w:tc>
              <w:tc>
                <w:tcPr>
                  <w:tcW w:w="953"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eastAsia" w:ascii="Times New Roman" w:hAnsi="Times New Roman" w:eastAsia="宋体" w:cs="Times New Roman"/>
                      <w:b/>
                      <w:bCs/>
                      <w:color w:val="auto"/>
                      <w:kern w:val="0"/>
                      <w:sz w:val="18"/>
                      <w:szCs w:val="18"/>
                      <w:lang w:val="en-US" w:eastAsia="zh-CN"/>
                    </w:rPr>
                  </w:pPr>
                </w:p>
              </w:tc>
              <w:tc>
                <w:tcPr>
                  <w:tcW w:w="1360"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eastAsia" w:ascii="Times New Roman" w:hAnsi="Times New Roman" w:eastAsia="宋体" w:cs="Times New Roman"/>
                      <w:b/>
                      <w:bCs/>
                      <w:color w:val="auto"/>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55"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b w:val="0"/>
                      <w:bCs w:val="0"/>
                      <w:color w:val="auto"/>
                      <w:kern w:val="0"/>
                      <w:sz w:val="18"/>
                      <w:szCs w:val="18"/>
                      <w:lang w:val="en-US" w:eastAsia="zh-CN"/>
                    </w:rPr>
                  </w:pPr>
                </w:p>
              </w:tc>
              <w:tc>
                <w:tcPr>
                  <w:tcW w:w="1168"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b w:val="0"/>
                      <w:bCs w:val="0"/>
                      <w:color w:val="auto"/>
                      <w:kern w:val="0"/>
                      <w:sz w:val="18"/>
                      <w:szCs w:val="18"/>
                      <w:lang w:val="en-US" w:eastAsia="zh-CN"/>
                    </w:rPr>
                  </w:pPr>
                </w:p>
              </w:tc>
              <w:tc>
                <w:tcPr>
                  <w:tcW w:w="1110"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val="0"/>
                      <w:bCs w:val="0"/>
                      <w:color w:val="auto"/>
                      <w:kern w:val="0"/>
                      <w:sz w:val="18"/>
                      <w:szCs w:val="18"/>
                      <w:lang w:val="en-US" w:eastAsia="zh-CN"/>
                    </w:rPr>
                  </w:pPr>
                </w:p>
              </w:tc>
              <w:tc>
                <w:tcPr>
                  <w:tcW w:w="1123"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val="0"/>
                      <w:bCs w:val="0"/>
                      <w:color w:val="auto"/>
                      <w:kern w:val="0"/>
                      <w:sz w:val="18"/>
                      <w:szCs w:val="18"/>
                      <w:lang w:val="en-US" w:eastAsia="zh-CN"/>
                    </w:rPr>
                  </w:pPr>
                </w:p>
              </w:tc>
              <w:tc>
                <w:tcPr>
                  <w:tcW w:w="1129"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eastAsia" w:ascii="Times New Roman" w:hAnsi="Times New Roman" w:eastAsia="宋体" w:cs="Times New Roman"/>
                      <w:b w:val="0"/>
                      <w:bCs w:val="0"/>
                      <w:color w:val="auto"/>
                      <w:kern w:val="0"/>
                      <w:sz w:val="18"/>
                      <w:szCs w:val="18"/>
                      <w:lang w:val="en-US" w:eastAsia="zh-CN"/>
                    </w:rPr>
                  </w:pPr>
                </w:p>
              </w:tc>
              <w:tc>
                <w:tcPr>
                  <w:tcW w:w="953"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eastAsia" w:ascii="Times New Roman" w:hAnsi="Times New Roman" w:eastAsia="宋体" w:cs="Times New Roman"/>
                      <w:b w:val="0"/>
                      <w:bCs w:val="0"/>
                      <w:color w:val="auto"/>
                      <w:kern w:val="0"/>
                      <w:sz w:val="18"/>
                      <w:szCs w:val="18"/>
                      <w:lang w:val="en-US" w:eastAsia="zh-CN"/>
                    </w:rPr>
                  </w:pPr>
                </w:p>
              </w:tc>
              <w:tc>
                <w:tcPr>
                  <w:tcW w:w="1360"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eastAsia" w:ascii="Times New Roman" w:hAnsi="Times New Roman" w:eastAsia="宋体" w:cs="Times New Roman"/>
                      <w:b w:val="0"/>
                      <w:bCs w:val="0"/>
                      <w:color w:val="auto"/>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kern w:val="0"/>
                      <w:sz w:val="18"/>
                      <w:szCs w:val="18"/>
                      <w:lang w:bidi="ar"/>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lang w:val="en-US" w:eastAsia="zh-CN"/>
                    </w:rPr>
                  </w:pPr>
                </w:p>
              </w:tc>
              <w:tc>
                <w:tcPr>
                  <w:tcW w:w="112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kern w:val="0"/>
                      <w:sz w:val="18"/>
                      <w:szCs w:val="18"/>
                      <w:lang w:bidi="ar"/>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lang w:val="en-US" w:eastAsia="zh-CN"/>
                    </w:rPr>
                  </w:pPr>
                </w:p>
              </w:tc>
              <w:tc>
                <w:tcPr>
                  <w:tcW w:w="112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95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55" w:type="dxa"/>
                  <w:noWrap w:val="0"/>
                  <w:vAlign w:val="center"/>
                </w:tcPr>
                <w:p>
                  <w:pPr>
                    <w:adjustRightInd w:val="0"/>
                    <w:snapToGrid w:val="0"/>
                    <w:spacing w:line="280" w:lineRule="exact"/>
                    <w:jc w:val="center"/>
                    <w:rPr>
                      <w:rFonts w:hint="default" w:ascii="Times New Roman" w:hAnsi="Times New Roman" w:cs="Times New Roman"/>
                      <w:color w:val="auto"/>
                      <w:kern w:val="0"/>
                      <w:sz w:val="18"/>
                      <w:szCs w:val="18"/>
                      <w:lang w:bidi="ar"/>
                    </w:rPr>
                  </w:pPr>
                </w:p>
              </w:tc>
              <w:tc>
                <w:tcPr>
                  <w:tcW w:w="116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11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lang w:val="en-US" w:eastAsia="zh-CN"/>
                    </w:rPr>
                  </w:pPr>
                </w:p>
              </w:tc>
              <w:tc>
                <w:tcPr>
                  <w:tcW w:w="112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129"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95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36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55" w:type="dxa"/>
                  <w:noWrap w:val="0"/>
                  <w:vAlign w:val="center"/>
                </w:tcPr>
                <w:p>
                  <w:pPr>
                    <w:adjustRightInd w:val="0"/>
                    <w:snapToGrid w:val="0"/>
                    <w:spacing w:line="280" w:lineRule="exact"/>
                    <w:jc w:val="center"/>
                    <w:rPr>
                      <w:rFonts w:hint="default" w:ascii="Times New Roman" w:hAnsi="Times New Roman" w:cs="Times New Roman"/>
                      <w:color w:val="auto"/>
                      <w:kern w:val="0"/>
                      <w:sz w:val="18"/>
                      <w:szCs w:val="18"/>
                      <w:lang w:bidi="ar"/>
                    </w:rPr>
                  </w:pPr>
                </w:p>
              </w:tc>
              <w:tc>
                <w:tcPr>
                  <w:tcW w:w="116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11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lang w:val="en-US" w:eastAsia="zh-CN"/>
                    </w:rPr>
                  </w:pPr>
                </w:p>
              </w:tc>
              <w:tc>
                <w:tcPr>
                  <w:tcW w:w="112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129"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95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36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55" w:type="dxa"/>
                  <w:noWrap w:val="0"/>
                  <w:vAlign w:val="center"/>
                </w:tcPr>
                <w:p>
                  <w:pPr>
                    <w:adjustRightInd w:val="0"/>
                    <w:snapToGrid w:val="0"/>
                    <w:spacing w:line="280" w:lineRule="exact"/>
                    <w:jc w:val="center"/>
                    <w:rPr>
                      <w:rFonts w:hint="default" w:ascii="Times New Roman" w:hAnsi="Times New Roman" w:cs="Times New Roman"/>
                      <w:color w:val="auto"/>
                      <w:kern w:val="0"/>
                      <w:sz w:val="18"/>
                      <w:szCs w:val="18"/>
                      <w:lang w:bidi="ar"/>
                    </w:rPr>
                  </w:pPr>
                </w:p>
              </w:tc>
              <w:tc>
                <w:tcPr>
                  <w:tcW w:w="116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11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lang w:val="en-US" w:eastAsia="zh-CN"/>
                    </w:rPr>
                  </w:pPr>
                </w:p>
              </w:tc>
              <w:tc>
                <w:tcPr>
                  <w:tcW w:w="112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129"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95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36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55" w:type="dxa"/>
                  <w:noWrap w:val="0"/>
                  <w:vAlign w:val="center"/>
                </w:tcPr>
                <w:p>
                  <w:pPr>
                    <w:adjustRightInd w:val="0"/>
                    <w:snapToGrid w:val="0"/>
                    <w:spacing w:line="280" w:lineRule="exact"/>
                    <w:jc w:val="center"/>
                    <w:rPr>
                      <w:rFonts w:hint="default" w:ascii="Times New Roman" w:hAnsi="Times New Roman" w:cs="Times New Roman"/>
                      <w:color w:val="auto"/>
                      <w:kern w:val="0"/>
                      <w:sz w:val="18"/>
                      <w:szCs w:val="18"/>
                      <w:lang w:bidi="ar"/>
                    </w:rPr>
                  </w:pPr>
                </w:p>
              </w:tc>
              <w:tc>
                <w:tcPr>
                  <w:tcW w:w="116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11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lang w:val="en-US" w:eastAsia="zh-CN"/>
                    </w:rPr>
                  </w:pPr>
                </w:p>
              </w:tc>
              <w:tc>
                <w:tcPr>
                  <w:tcW w:w="112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129"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95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36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55" w:type="dxa"/>
                  <w:noWrap w:val="0"/>
                  <w:vAlign w:val="center"/>
                </w:tcPr>
                <w:p>
                  <w:pPr>
                    <w:adjustRightInd w:val="0"/>
                    <w:snapToGrid w:val="0"/>
                    <w:spacing w:line="280" w:lineRule="exact"/>
                    <w:jc w:val="center"/>
                    <w:rPr>
                      <w:rFonts w:hint="default" w:ascii="Times New Roman" w:hAnsi="Times New Roman" w:cs="Times New Roman"/>
                      <w:color w:val="auto"/>
                      <w:kern w:val="0"/>
                      <w:sz w:val="18"/>
                      <w:szCs w:val="18"/>
                      <w:lang w:bidi="ar"/>
                    </w:rPr>
                  </w:pPr>
                </w:p>
              </w:tc>
              <w:tc>
                <w:tcPr>
                  <w:tcW w:w="116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11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lang w:val="en-US" w:eastAsia="zh-CN"/>
                    </w:rPr>
                  </w:pPr>
                </w:p>
              </w:tc>
              <w:tc>
                <w:tcPr>
                  <w:tcW w:w="112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129"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95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36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55" w:type="dxa"/>
                  <w:noWrap w:val="0"/>
                  <w:vAlign w:val="center"/>
                </w:tcPr>
                <w:p>
                  <w:pPr>
                    <w:adjustRightInd w:val="0"/>
                    <w:snapToGrid w:val="0"/>
                    <w:spacing w:line="280" w:lineRule="exact"/>
                    <w:jc w:val="center"/>
                    <w:rPr>
                      <w:rFonts w:hint="eastAsia" w:ascii="Times New Roman" w:hAnsi="Times New Roman" w:eastAsia="宋体" w:cs="Times New Roman"/>
                      <w:color w:val="auto"/>
                      <w:sz w:val="18"/>
                      <w:szCs w:val="18"/>
                      <w:lang w:val="en-US" w:eastAsia="zh-CN"/>
                    </w:rPr>
                  </w:pPr>
                </w:p>
              </w:tc>
              <w:tc>
                <w:tcPr>
                  <w:tcW w:w="1168" w:type="dxa"/>
                  <w:noWrap w:val="0"/>
                  <w:vAlign w:val="center"/>
                </w:tcPr>
                <w:p>
                  <w:pPr>
                    <w:widowControl/>
                    <w:spacing w:line="280" w:lineRule="exact"/>
                    <w:ind w:left="-105" w:leftChars="-50" w:right="-105" w:rightChars="-50"/>
                    <w:jc w:val="center"/>
                    <w:rPr>
                      <w:rFonts w:hint="default" w:cs="Times New Roman"/>
                      <w:color w:val="auto"/>
                      <w:kern w:val="0"/>
                      <w:sz w:val="18"/>
                      <w:szCs w:val="18"/>
                      <w:lang w:val="en-US" w:eastAsia="zh-CN"/>
                    </w:rPr>
                  </w:pPr>
                </w:p>
              </w:tc>
              <w:tc>
                <w:tcPr>
                  <w:tcW w:w="1110" w:type="dxa"/>
                  <w:noWrap w:val="0"/>
                  <w:vAlign w:val="center"/>
                </w:tcPr>
                <w:p>
                  <w:pPr>
                    <w:widowControl/>
                    <w:spacing w:line="280" w:lineRule="exact"/>
                    <w:ind w:left="-105" w:leftChars="-50" w:right="-105" w:rightChars="-50"/>
                    <w:jc w:val="center"/>
                    <w:rPr>
                      <w:rFonts w:hint="default" w:cs="Times New Roman"/>
                      <w:color w:val="auto"/>
                      <w:kern w:val="0"/>
                      <w:sz w:val="18"/>
                      <w:szCs w:val="18"/>
                      <w:lang w:val="en-US" w:eastAsia="zh-CN"/>
                    </w:rPr>
                  </w:pPr>
                </w:p>
              </w:tc>
              <w:tc>
                <w:tcPr>
                  <w:tcW w:w="1123" w:type="dxa"/>
                  <w:noWrap w:val="0"/>
                  <w:vAlign w:val="center"/>
                </w:tcPr>
                <w:p>
                  <w:pPr>
                    <w:widowControl/>
                    <w:spacing w:line="280" w:lineRule="exact"/>
                    <w:ind w:left="-105" w:leftChars="-50" w:right="-105" w:rightChars="-50"/>
                    <w:jc w:val="center"/>
                    <w:rPr>
                      <w:rFonts w:hint="default" w:cs="Times New Roman"/>
                      <w:color w:val="auto"/>
                      <w:kern w:val="0"/>
                      <w:sz w:val="18"/>
                      <w:szCs w:val="18"/>
                      <w:lang w:val="en-US" w:eastAsia="zh-CN"/>
                    </w:rPr>
                  </w:pPr>
                </w:p>
              </w:tc>
              <w:tc>
                <w:tcPr>
                  <w:tcW w:w="1129" w:type="dxa"/>
                  <w:noWrap w:val="0"/>
                  <w:vAlign w:val="center"/>
                </w:tcPr>
                <w:p>
                  <w:pPr>
                    <w:widowControl/>
                    <w:spacing w:line="280" w:lineRule="exact"/>
                    <w:ind w:left="-105" w:leftChars="-50" w:right="-105" w:rightChars="-50"/>
                    <w:jc w:val="center"/>
                    <w:rPr>
                      <w:rFonts w:hint="eastAsia" w:ascii="Times New Roman" w:hAnsi="Times New Roman" w:eastAsia="宋体" w:cs="Times New Roman"/>
                      <w:color w:val="auto"/>
                      <w:kern w:val="0"/>
                      <w:sz w:val="18"/>
                      <w:szCs w:val="18"/>
                      <w:lang w:val="en-US" w:eastAsia="zh-CN"/>
                    </w:rPr>
                  </w:pPr>
                </w:p>
              </w:tc>
              <w:tc>
                <w:tcPr>
                  <w:tcW w:w="953" w:type="dxa"/>
                  <w:noWrap w:val="0"/>
                  <w:vAlign w:val="center"/>
                </w:tcPr>
                <w:p>
                  <w:pPr>
                    <w:widowControl/>
                    <w:spacing w:line="280" w:lineRule="exact"/>
                    <w:ind w:left="-105" w:leftChars="-50" w:right="-105" w:rightChars="-50"/>
                    <w:jc w:val="center"/>
                    <w:rPr>
                      <w:rFonts w:hint="eastAsia" w:ascii="Times New Roman" w:hAnsi="Times New Roman" w:eastAsia="宋体" w:cs="Times New Roman"/>
                      <w:color w:val="auto"/>
                      <w:kern w:val="0"/>
                      <w:sz w:val="18"/>
                      <w:szCs w:val="18"/>
                      <w:lang w:val="en-US" w:eastAsia="zh-CN"/>
                    </w:rPr>
                  </w:pPr>
                </w:p>
              </w:tc>
              <w:tc>
                <w:tcPr>
                  <w:tcW w:w="136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55" w:type="dxa"/>
                  <w:noWrap w:val="0"/>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p>
              </w:tc>
              <w:tc>
                <w:tcPr>
                  <w:tcW w:w="1168" w:type="dxa"/>
                  <w:noWrap w:val="0"/>
                  <w:vAlign w:val="center"/>
                </w:tcPr>
                <w:p>
                  <w:pPr>
                    <w:widowControl/>
                    <w:spacing w:line="280" w:lineRule="exact"/>
                    <w:ind w:left="-105" w:leftChars="-50" w:right="-105" w:rightChars="-50"/>
                    <w:jc w:val="center"/>
                    <w:rPr>
                      <w:rFonts w:hint="eastAsia" w:cs="Times New Roman"/>
                      <w:color w:val="auto"/>
                      <w:kern w:val="0"/>
                      <w:sz w:val="18"/>
                      <w:szCs w:val="18"/>
                      <w:lang w:val="en-US" w:eastAsia="zh-CN"/>
                    </w:rPr>
                  </w:pPr>
                </w:p>
              </w:tc>
              <w:tc>
                <w:tcPr>
                  <w:tcW w:w="1110" w:type="dxa"/>
                  <w:noWrap w:val="0"/>
                  <w:vAlign w:val="center"/>
                </w:tcPr>
                <w:p>
                  <w:pPr>
                    <w:widowControl/>
                    <w:spacing w:line="280" w:lineRule="exact"/>
                    <w:ind w:left="-105" w:leftChars="-50" w:right="-105" w:rightChars="-50"/>
                    <w:jc w:val="center"/>
                    <w:rPr>
                      <w:rFonts w:hint="eastAsia" w:cs="Times New Roman"/>
                      <w:color w:val="auto"/>
                      <w:kern w:val="0"/>
                      <w:sz w:val="18"/>
                      <w:szCs w:val="18"/>
                      <w:lang w:val="en-US" w:eastAsia="zh-CN"/>
                    </w:rPr>
                  </w:pPr>
                </w:p>
              </w:tc>
              <w:tc>
                <w:tcPr>
                  <w:tcW w:w="1123" w:type="dxa"/>
                  <w:noWrap w:val="0"/>
                  <w:vAlign w:val="center"/>
                </w:tcPr>
                <w:p>
                  <w:pPr>
                    <w:widowControl/>
                    <w:spacing w:line="280" w:lineRule="exact"/>
                    <w:ind w:left="-105" w:leftChars="-50" w:right="-105" w:rightChars="-50"/>
                    <w:jc w:val="center"/>
                    <w:rPr>
                      <w:rFonts w:hint="eastAsia" w:cs="Times New Roman"/>
                      <w:color w:val="auto"/>
                      <w:kern w:val="0"/>
                      <w:sz w:val="18"/>
                      <w:szCs w:val="18"/>
                      <w:lang w:val="en-US" w:eastAsia="zh-CN"/>
                    </w:rPr>
                  </w:pPr>
                </w:p>
              </w:tc>
              <w:tc>
                <w:tcPr>
                  <w:tcW w:w="1129"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95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36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55" w:type="dxa"/>
                  <w:noWrap w:val="0"/>
                  <w:vAlign w:val="center"/>
                </w:tcPr>
                <w:p>
                  <w:pPr>
                    <w:adjustRightInd w:val="0"/>
                    <w:snapToGrid w:val="0"/>
                    <w:spacing w:line="280" w:lineRule="exact"/>
                    <w:jc w:val="center"/>
                    <w:rPr>
                      <w:rFonts w:hint="default" w:cs="Times New Roman"/>
                      <w:color w:val="auto"/>
                      <w:sz w:val="18"/>
                      <w:szCs w:val="18"/>
                      <w:lang w:val="en-US" w:eastAsia="zh-CN"/>
                    </w:rPr>
                  </w:pPr>
                </w:p>
              </w:tc>
              <w:tc>
                <w:tcPr>
                  <w:tcW w:w="1168" w:type="dxa"/>
                  <w:noWrap w:val="0"/>
                  <w:vAlign w:val="center"/>
                </w:tcPr>
                <w:p>
                  <w:pPr>
                    <w:widowControl/>
                    <w:spacing w:line="280" w:lineRule="exact"/>
                    <w:ind w:left="-105" w:leftChars="-50" w:right="-105" w:rightChars="-50"/>
                    <w:jc w:val="center"/>
                    <w:rPr>
                      <w:rFonts w:hint="default" w:cs="Times New Roman"/>
                      <w:color w:val="auto"/>
                      <w:kern w:val="0"/>
                      <w:sz w:val="18"/>
                      <w:szCs w:val="18"/>
                      <w:lang w:val="en-US" w:eastAsia="zh-CN"/>
                    </w:rPr>
                  </w:pPr>
                </w:p>
              </w:tc>
              <w:tc>
                <w:tcPr>
                  <w:tcW w:w="1110" w:type="dxa"/>
                  <w:noWrap w:val="0"/>
                  <w:vAlign w:val="center"/>
                </w:tcPr>
                <w:p>
                  <w:pPr>
                    <w:widowControl/>
                    <w:spacing w:line="280" w:lineRule="exact"/>
                    <w:ind w:left="-105" w:leftChars="-50" w:right="-105" w:rightChars="-50"/>
                    <w:jc w:val="center"/>
                    <w:rPr>
                      <w:rFonts w:hint="default" w:cs="Times New Roman"/>
                      <w:color w:val="auto"/>
                      <w:kern w:val="0"/>
                      <w:sz w:val="18"/>
                      <w:szCs w:val="18"/>
                      <w:lang w:val="en-US" w:eastAsia="zh-CN"/>
                    </w:rPr>
                  </w:pPr>
                </w:p>
              </w:tc>
              <w:tc>
                <w:tcPr>
                  <w:tcW w:w="1123" w:type="dxa"/>
                  <w:noWrap w:val="0"/>
                  <w:vAlign w:val="center"/>
                </w:tcPr>
                <w:p>
                  <w:pPr>
                    <w:widowControl/>
                    <w:spacing w:line="280" w:lineRule="exact"/>
                    <w:ind w:left="-105" w:leftChars="-50" w:right="-105" w:rightChars="-50"/>
                    <w:jc w:val="center"/>
                    <w:rPr>
                      <w:rFonts w:hint="default" w:cs="Times New Roman"/>
                      <w:color w:val="auto"/>
                      <w:kern w:val="0"/>
                      <w:sz w:val="18"/>
                      <w:szCs w:val="18"/>
                      <w:lang w:val="en-US" w:eastAsia="zh-CN"/>
                    </w:rPr>
                  </w:pPr>
                </w:p>
              </w:tc>
              <w:tc>
                <w:tcPr>
                  <w:tcW w:w="1129"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953"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rPr>
                  </w:pPr>
                </w:p>
              </w:tc>
              <w:tc>
                <w:tcPr>
                  <w:tcW w:w="136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55" w:type="dxa"/>
                  <w:noWrap w:val="0"/>
                  <w:vAlign w:val="center"/>
                </w:tcPr>
                <w:p>
                  <w:pPr>
                    <w:adjustRightInd w:val="0"/>
                    <w:snapToGrid w:val="0"/>
                    <w:spacing w:line="280" w:lineRule="exact"/>
                    <w:jc w:val="center"/>
                    <w:rPr>
                      <w:rFonts w:hint="default" w:cs="Times New Roman"/>
                      <w:color w:val="auto"/>
                      <w:sz w:val="18"/>
                      <w:szCs w:val="18"/>
                      <w:lang w:val="en-US" w:eastAsia="zh-CN"/>
                    </w:rPr>
                  </w:pPr>
                </w:p>
              </w:tc>
              <w:tc>
                <w:tcPr>
                  <w:tcW w:w="1168" w:type="dxa"/>
                  <w:noWrap w:val="0"/>
                  <w:vAlign w:val="center"/>
                </w:tcPr>
                <w:p>
                  <w:pPr>
                    <w:widowControl/>
                    <w:spacing w:line="280" w:lineRule="exact"/>
                    <w:ind w:left="-105" w:leftChars="-50" w:right="-105" w:rightChars="-50"/>
                    <w:jc w:val="center"/>
                    <w:rPr>
                      <w:rFonts w:hint="default" w:cs="Times New Roman"/>
                      <w:color w:val="auto"/>
                      <w:kern w:val="0"/>
                      <w:sz w:val="18"/>
                      <w:szCs w:val="18"/>
                      <w:lang w:val="en-US" w:eastAsia="zh-CN"/>
                    </w:rPr>
                  </w:pPr>
                </w:p>
              </w:tc>
              <w:tc>
                <w:tcPr>
                  <w:tcW w:w="1110" w:type="dxa"/>
                  <w:noWrap w:val="0"/>
                  <w:vAlign w:val="center"/>
                </w:tcPr>
                <w:p>
                  <w:pPr>
                    <w:widowControl/>
                    <w:spacing w:line="280" w:lineRule="exact"/>
                    <w:ind w:left="-105" w:leftChars="-50" w:right="-105" w:rightChars="-50"/>
                    <w:jc w:val="center"/>
                    <w:rPr>
                      <w:rFonts w:hint="default" w:cs="Times New Roman"/>
                      <w:color w:val="auto"/>
                      <w:kern w:val="0"/>
                      <w:sz w:val="18"/>
                      <w:szCs w:val="18"/>
                      <w:lang w:val="en-US" w:eastAsia="zh-CN"/>
                    </w:rPr>
                  </w:pPr>
                </w:p>
              </w:tc>
              <w:tc>
                <w:tcPr>
                  <w:tcW w:w="1123" w:type="dxa"/>
                  <w:noWrap w:val="0"/>
                  <w:vAlign w:val="center"/>
                </w:tcPr>
                <w:p>
                  <w:pPr>
                    <w:widowControl/>
                    <w:spacing w:line="280" w:lineRule="exact"/>
                    <w:ind w:left="-105" w:leftChars="-50" w:right="-105" w:rightChars="-50"/>
                    <w:jc w:val="center"/>
                    <w:rPr>
                      <w:rFonts w:hint="default" w:cs="Times New Roman"/>
                      <w:color w:val="auto"/>
                      <w:kern w:val="0"/>
                      <w:sz w:val="18"/>
                      <w:szCs w:val="18"/>
                      <w:lang w:val="en-US" w:eastAsia="zh-CN"/>
                    </w:rPr>
                  </w:pPr>
                </w:p>
              </w:tc>
              <w:tc>
                <w:tcPr>
                  <w:tcW w:w="1129"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95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auto"/>
                      <w:kern w:val="0"/>
                      <w:sz w:val="18"/>
                      <w:szCs w:val="18"/>
                      <w:lang w:val="en-US" w:eastAsia="zh-CN"/>
                    </w:rPr>
                  </w:pPr>
                </w:p>
              </w:tc>
              <w:tc>
                <w:tcPr>
                  <w:tcW w:w="1360" w:type="dxa"/>
                  <w:noWrap w:val="0"/>
                  <w:vAlign w:val="center"/>
                </w:tcPr>
                <w:p>
                  <w:pPr>
                    <w:widowControl/>
                    <w:spacing w:line="280" w:lineRule="exact"/>
                    <w:ind w:left="-105" w:leftChars="-50" w:right="-105" w:rightChars="-50"/>
                    <w:jc w:val="center"/>
                    <w:rPr>
                      <w:rFonts w:hint="default" w:ascii="Times New Roman" w:hAnsi="Times New Roman" w:cs="Times New Roman"/>
                      <w:color w:val="auto"/>
                      <w:kern w:val="0"/>
                      <w:sz w:val="18"/>
                      <w:szCs w:val="18"/>
                    </w:rPr>
                  </w:pPr>
                </w:p>
              </w:tc>
            </w:tr>
          </w:tbl>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由上表可知，项目区及周围土壤中各种监测指标均无超标现象</w:t>
            </w:r>
            <w:r>
              <w:rPr>
                <w:rFonts w:hint="eastAsia" w:cs="Times New Roman"/>
                <w:color w:val="auto"/>
                <w:szCs w:val="21"/>
                <w:lang w:val="zh-CN"/>
              </w:rPr>
              <w:t>，</w:t>
            </w:r>
            <w:r>
              <w:rPr>
                <w:rFonts w:hint="default" w:ascii="Times New Roman" w:hAnsi="Times New Roman" w:cs="Times New Roman"/>
                <w:color w:val="auto"/>
                <w:szCs w:val="21"/>
                <w:lang w:val="zh-CN"/>
              </w:rPr>
              <w:t>检测结果均符合《土壤环境质量</w:t>
            </w:r>
            <w:r>
              <w:rPr>
                <w:rFonts w:hint="eastAsia" w:cs="Times New Roman"/>
                <w:color w:val="auto"/>
                <w:szCs w:val="21"/>
                <w:lang w:val="en-US" w:eastAsia="zh-CN"/>
              </w:rPr>
              <w:t xml:space="preserve"> </w:t>
            </w:r>
            <w:r>
              <w:rPr>
                <w:rFonts w:hint="default" w:ascii="Times New Roman" w:hAnsi="Times New Roman" w:cs="Times New Roman"/>
                <w:color w:val="auto"/>
                <w:szCs w:val="21"/>
                <w:lang w:val="zh-CN"/>
              </w:rPr>
              <w:t>建设用地土壤污染风险管控标准（试行)》</w:t>
            </w:r>
            <w:r>
              <w:rPr>
                <w:rFonts w:hint="eastAsia" w:cs="Times New Roman"/>
                <w:color w:val="auto"/>
                <w:szCs w:val="21"/>
                <w:lang w:val="zh-CN"/>
              </w:rPr>
              <w:t>（</w:t>
            </w:r>
            <w:r>
              <w:rPr>
                <w:rFonts w:hint="default" w:ascii="Times New Roman" w:hAnsi="Times New Roman" w:cs="Times New Roman"/>
                <w:color w:val="auto"/>
                <w:szCs w:val="21"/>
                <w:lang w:val="zh-CN"/>
              </w:rPr>
              <w:t>GB 36600-2018）表1中“筛选值第二类用地”要求。</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kern w:val="0"/>
                <w:szCs w:val="21"/>
              </w:rPr>
            </w:pPr>
            <w:r>
              <w:rPr>
                <w:rFonts w:hint="default" w:ascii="Times New Roman" w:hAnsi="Times New Roman" w:cs="Times New Roman"/>
                <w:color w:val="0000FF"/>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682" w:type="dxa"/>
            <w:noWrap w:val="0"/>
            <w:vAlign w:val="center"/>
          </w:tcPr>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保护</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目标</w:t>
            </w:r>
          </w:p>
        </w:tc>
        <w:tc>
          <w:tcPr>
            <w:tcW w:w="8308" w:type="dxa"/>
            <w:noWrap w:val="0"/>
            <w:vAlign w:val="center"/>
          </w:tcPr>
          <w:p>
            <w:pPr>
              <w:numPr>
                <w:ilvl w:val="0"/>
                <w:numId w:val="16"/>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zh-CN"/>
              </w:rPr>
              <w:t>大气环境</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rPr>
              <w:t>项目</w:t>
            </w:r>
            <w:r>
              <w:rPr>
                <w:rFonts w:hint="default" w:ascii="Times New Roman" w:hAnsi="Times New Roman" w:cs="Times New Roman"/>
                <w:color w:val="auto"/>
                <w:szCs w:val="21"/>
                <w:lang w:val="en-US" w:eastAsia="zh-CN"/>
              </w:rPr>
              <w:t>位于四川达州普光经济开发区柳池工业区内，</w:t>
            </w:r>
            <w:r>
              <w:rPr>
                <w:rFonts w:hint="eastAsia" w:cs="Times New Roman"/>
                <w:color w:val="auto"/>
                <w:szCs w:val="21"/>
                <w:lang w:val="en-US" w:eastAsia="zh-CN"/>
              </w:rPr>
              <w:t>周围属于工业园区，</w:t>
            </w:r>
            <w:r>
              <w:rPr>
                <w:rFonts w:hint="default" w:ascii="Times New Roman" w:hAnsi="Times New Roman" w:cs="Times New Roman"/>
                <w:color w:val="auto"/>
                <w:szCs w:val="21"/>
                <w:lang w:val="zh-CN"/>
              </w:rPr>
              <w:t>厂界外500</w:t>
            </w:r>
            <w:r>
              <w:rPr>
                <w:rFonts w:hint="default" w:ascii="Times New Roman" w:hAnsi="Times New Roman" w:cs="Times New Roman"/>
                <w:color w:val="auto"/>
                <w:szCs w:val="21"/>
              </w:rPr>
              <w:t>m</w:t>
            </w:r>
            <w:r>
              <w:rPr>
                <w:rFonts w:hint="default" w:ascii="Times New Roman" w:hAnsi="Times New Roman" w:cs="Times New Roman"/>
                <w:color w:val="auto"/>
                <w:szCs w:val="21"/>
                <w:lang w:val="zh-CN"/>
              </w:rPr>
              <w:t>范围内</w:t>
            </w:r>
            <w:r>
              <w:rPr>
                <w:rFonts w:hint="default" w:ascii="Times New Roman" w:hAnsi="Times New Roman" w:cs="Times New Roman"/>
                <w:color w:val="auto"/>
                <w:szCs w:val="21"/>
              </w:rPr>
              <w:t>无</w:t>
            </w:r>
            <w:r>
              <w:rPr>
                <w:rFonts w:hint="default" w:ascii="Times New Roman" w:hAnsi="Times New Roman" w:cs="Times New Roman"/>
                <w:color w:val="auto"/>
                <w:szCs w:val="21"/>
                <w:lang w:val="zh-CN"/>
              </w:rPr>
              <w:t>自然保护区、风景名胜区、文化区域</w:t>
            </w:r>
            <w:r>
              <w:rPr>
                <w:rFonts w:hint="default" w:ascii="Times New Roman" w:hAnsi="Times New Roman" w:cs="Times New Roman"/>
                <w:color w:val="auto"/>
                <w:szCs w:val="21"/>
                <w:lang w:val="en-US" w:eastAsia="zh-CN"/>
              </w:rPr>
              <w:t>等</w:t>
            </w:r>
            <w:r>
              <w:rPr>
                <w:rFonts w:hint="default" w:ascii="Times New Roman" w:hAnsi="Times New Roman" w:cs="Times New Roman"/>
                <w:color w:val="auto"/>
                <w:szCs w:val="21"/>
                <w:lang w:val="zh-CN"/>
              </w:rPr>
              <w:t>保护目标</w:t>
            </w:r>
            <w:r>
              <w:rPr>
                <w:rFonts w:hint="default" w:ascii="Times New Roman" w:hAnsi="Times New Roman" w:cs="Times New Roman"/>
                <w:color w:val="auto"/>
                <w:szCs w:val="21"/>
              </w:rPr>
              <w:t>。</w:t>
            </w:r>
            <w:r>
              <w:rPr>
                <w:rFonts w:hint="eastAsia" w:cs="Times New Roman"/>
                <w:color w:val="auto"/>
                <w:szCs w:val="21"/>
                <w:lang w:val="en-US" w:eastAsia="zh-CN"/>
              </w:rPr>
              <w:t>最近的居民居住区为西南的园区安置房</w:t>
            </w:r>
            <w:r>
              <w:rPr>
                <w:rFonts w:hint="default" w:ascii="Times New Roman" w:hAnsi="Times New Roman" w:cs="Times New Roman"/>
                <w:color w:val="auto"/>
                <w:kern w:val="0"/>
                <w:szCs w:val="21"/>
                <w:highlight w:val="none"/>
              </w:rPr>
              <w:t>，与项目区的关系见下表。</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大气环境保护目标</w:t>
            </w:r>
          </w:p>
          <w:tbl>
            <w:tblPr>
              <w:tblStyle w:val="17"/>
              <w:tblW w:w="8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356"/>
              <w:gridCol w:w="1146"/>
              <w:gridCol w:w="1442"/>
              <w:gridCol w:w="844"/>
              <w:gridCol w:w="927"/>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356"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保护目标</w:t>
                  </w:r>
                </w:p>
              </w:tc>
              <w:tc>
                <w:tcPr>
                  <w:tcW w:w="1146"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规模</w:t>
                  </w:r>
                </w:p>
              </w:tc>
              <w:tc>
                <w:tcPr>
                  <w:tcW w:w="144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位置关系（m）</w:t>
                  </w:r>
                </w:p>
              </w:tc>
              <w:tc>
                <w:tcPr>
                  <w:tcW w:w="844"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高程差</w:t>
                  </w:r>
                </w:p>
              </w:tc>
              <w:tc>
                <w:tcPr>
                  <w:tcW w:w="927"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环境要素</w:t>
                  </w:r>
                </w:p>
              </w:tc>
              <w:tc>
                <w:tcPr>
                  <w:tcW w:w="186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356"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园区安置房</w:t>
                  </w:r>
                </w:p>
              </w:tc>
              <w:tc>
                <w:tcPr>
                  <w:tcW w:w="1146"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约50</w:t>
                  </w:r>
                  <w:r>
                    <w:rPr>
                      <w:rFonts w:hint="default" w:ascii="Times New Roman" w:hAnsi="Times New Roman" w:cs="Times New Roman"/>
                      <w:color w:val="auto"/>
                      <w:sz w:val="18"/>
                      <w:szCs w:val="18"/>
                      <w:lang w:val="en-US" w:eastAsia="zh-CN"/>
                    </w:rPr>
                    <w:t>0</w:t>
                  </w:r>
                  <w:r>
                    <w:rPr>
                      <w:rFonts w:hint="default" w:ascii="Times New Roman" w:hAnsi="Times New Roman" w:cs="Times New Roman"/>
                      <w:color w:val="auto"/>
                      <w:sz w:val="18"/>
                      <w:szCs w:val="18"/>
                    </w:rPr>
                    <w:t>户</w:t>
                  </w:r>
                </w:p>
              </w:tc>
              <w:tc>
                <w:tcPr>
                  <w:tcW w:w="144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西南</w:t>
                  </w:r>
                  <w:r>
                    <w:rPr>
                      <w:rFonts w:hint="default" w:ascii="Times New Roman" w:hAnsi="Times New Roman" w:cs="Times New Roman"/>
                      <w:color w:val="auto"/>
                      <w:sz w:val="18"/>
                      <w:szCs w:val="18"/>
                      <w:lang w:eastAsia="zh-CN"/>
                    </w:rPr>
                    <w:t>，</w:t>
                  </w:r>
                  <w:r>
                    <w:rPr>
                      <w:rFonts w:hint="eastAsia" w:cs="Times New Roman"/>
                      <w:color w:val="auto"/>
                      <w:sz w:val="18"/>
                      <w:szCs w:val="18"/>
                      <w:lang w:val="en-US" w:eastAsia="zh-CN"/>
                    </w:rPr>
                    <w:t>205</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430</w:t>
                  </w:r>
                </w:p>
              </w:tc>
              <w:tc>
                <w:tcPr>
                  <w:tcW w:w="844"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w:t>
                  </w:r>
                </w:p>
              </w:tc>
              <w:tc>
                <w:tcPr>
                  <w:tcW w:w="927" w:type="dxa"/>
                  <w:tcBorders>
                    <w:top w:val="nil"/>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大气环境</w:t>
                  </w:r>
                </w:p>
              </w:tc>
              <w:tc>
                <w:tcPr>
                  <w:tcW w:w="1862" w:type="dxa"/>
                  <w:tcBorders>
                    <w:top w:val="nil"/>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《环境空气质量标准》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37" w:leftChars="-25" w:right="-53" w:rightChars="-25" w:hanging="90" w:hangingChars="5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(GB3095-2012)中二级</w:t>
                  </w:r>
                </w:p>
              </w:tc>
            </w:tr>
          </w:tbl>
          <w:p>
            <w:pPr>
              <w:numPr>
                <w:ilvl w:val="0"/>
                <w:numId w:val="16"/>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zh-CN"/>
              </w:rPr>
              <w:t>声环境</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rPr>
              <w:t>项目</w:t>
            </w:r>
            <w:r>
              <w:rPr>
                <w:rFonts w:hint="default" w:ascii="Times New Roman" w:hAnsi="Times New Roman" w:cs="Times New Roman"/>
                <w:color w:val="auto"/>
                <w:szCs w:val="21"/>
                <w:lang w:val="zh-CN"/>
              </w:rPr>
              <w:t>厂界外50米范围内</w:t>
            </w:r>
            <w:r>
              <w:rPr>
                <w:rFonts w:hint="default" w:ascii="Times New Roman" w:hAnsi="Times New Roman" w:cs="Times New Roman"/>
                <w:color w:val="auto"/>
                <w:szCs w:val="21"/>
                <w:lang w:val="en-US" w:eastAsia="zh-CN"/>
              </w:rPr>
              <w:t>无住户、医院、学校等</w:t>
            </w:r>
            <w:r>
              <w:rPr>
                <w:rFonts w:hint="default" w:ascii="Times New Roman" w:hAnsi="Times New Roman" w:cs="Times New Roman"/>
                <w:color w:val="auto"/>
                <w:szCs w:val="21"/>
                <w:lang w:val="zh-CN"/>
              </w:rPr>
              <w:t>声环境保护目标。</w:t>
            </w:r>
          </w:p>
          <w:p>
            <w:pPr>
              <w:numPr>
                <w:ilvl w:val="0"/>
                <w:numId w:val="16"/>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zh-CN"/>
              </w:rPr>
              <w:t>地下水环境</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根据调查，项目</w:t>
            </w:r>
            <w:r>
              <w:rPr>
                <w:rFonts w:hint="default" w:ascii="Times New Roman" w:hAnsi="Times New Roman" w:cs="Times New Roman"/>
                <w:color w:val="auto"/>
                <w:szCs w:val="21"/>
                <w:lang w:val="zh-CN"/>
              </w:rPr>
              <w:t>厂界外500米范围内的</w:t>
            </w:r>
            <w:r>
              <w:rPr>
                <w:rFonts w:hint="default" w:ascii="Times New Roman" w:hAnsi="Times New Roman" w:cs="Times New Roman"/>
                <w:color w:val="auto"/>
                <w:szCs w:val="21"/>
              </w:rPr>
              <w:t>无</w:t>
            </w:r>
            <w:r>
              <w:rPr>
                <w:rFonts w:hint="default" w:ascii="Times New Roman" w:hAnsi="Times New Roman" w:cs="Times New Roman"/>
                <w:color w:val="auto"/>
                <w:szCs w:val="21"/>
                <w:lang w:val="zh-CN"/>
              </w:rPr>
              <w:t>地下水集中式饮用水水源和热水、矿泉水、温泉等特殊地下水资源。</w:t>
            </w:r>
          </w:p>
          <w:p>
            <w:pPr>
              <w:numPr>
                <w:ilvl w:val="0"/>
                <w:numId w:val="16"/>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zh-CN"/>
              </w:rPr>
              <w:t>地</w:t>
            </w:r>
            <w:r>
              <w:rPr>
                <w:rFonts w:hint="default" w:ascii="Times New Roman" w:hAnsi="Times New Roman" w:eastAsia="黑体" w:cs="Times New Roman"/>
                <w:color w:val="auto"/>
                <w:kern w:val="0"/>
                <w:sz w:val="22"/>
                <w:szCs w:val="22"/>
              </w:rPr>
              <w:t>表</w:t>
            </w:r>
            <w:r>
              <w:rPr>
                <w:rFonts w:hint="default" w:ascii="Times New Roman" w:hAnsi="Times New Roman" w:eastAsia="黑体" w:cs="Times New Roman"/>
                <w:color w:val="auto"/>
                <w:kern w:val="0"/>
                <w:sz w:val="22"/>
                <w:szCs w:val="22"/>
                <w:lang w:val="zh-CN"/>
              </w:rPr>
              <w:t>水环境</w:t>
            </w:r>
          </w:p>
          <w:p>
            <w:pPr>
              <w:autoSpaceDE w:val="0"/>
              <w:autoSpaceDN w:val="0"/>
              <w:adjustRightInd w:val="0"/>
              <w:snapToGrid w:val="0"/>
              <w:spacing w:line="400" w:lineRule="exact"/>
              <w:ind w:right="-31" w:rightChars="-15" w:firstLine="420" w:firstLineChars="200"/>
              <w:rPr>
                <w:rFonts w:hint="default" w:ascii="Times New Roman" w:hAnsi="Times New Roman" w:cs="Times New Roman"/>
                <w:color w:val="auto"/>
                <w:kern w:val="0"/>
                <w:sz w:val="22"/>
                <w:szCs w:val="22"/>
              </w:rPr>
            </w:pPr>
            <w:r>
              <w:rPr>
                <w:rFonts w:hint="default" w:ascii="Times New Roman" w:hAnsi="Times New Roman" w:cs="Times New Roman"/>
                <w:color w:val="auto"/>
                <w:szCs w:val="21"/>
                <w:lang w:val="en-US" w:eastAsia="zh-CN"/>
              </w:rPr>
              <w:t>项目区附近地表水体为后河、</w:t>
            </w:r>
            <w:r>
              <w:rPr>
                <w:rFonts w:hint="eastAsia" w:cs="Times New Roman"/>
                <w:color w:val="auto"/>
                <w:szCs w:val="21"/>
                <w:lang w:val="en-US" w:eastAsia="zh-CN"/>
              </w:rPr>
              <w:t>新马</w:t>
            </w:r>
            <w:r>
              <w:rPr>
                <w:rFonts w:hint="default" w:ascii="Times New Roman" w:hAnsi="Times New Roman" w:cs="Times New Roman"/>
                <w:color w:val="auto"/>
                <w:szCs w:val="21"/>
                <w:lang w:val="en-US" w:eastAsia="zh-CN"/>
              </w:rPr>
              <w:t>水库，后河位于</w:t>
            </w:r>
            <w:r>
              <w:rPr>
                <w:rFonts w:hint="eastAsia" w:cs="Times New Roman"/>
                <w:color w:val="auto"/>
                <w:szCs w:val="21"/>
                <w:lang w:val="en-US" w:eastAsia="zh-CN"/>
              </w:rPr>
              <w:t>项目区</w:t>
            </w:r>
            <w:r>
              <w:rPr>
                <w:rFonts w:hint="default" w:ascii="Times New Roman" w:hAnsi="Times New Roman" w:cs="Times New Roman"/>
                <w:color w:val="auto"/>
                <w:szCs w:val="21"/>
                <w:lang w:val="en-US" w:eastAsia="zh-CN"/>
              </w:rPr>
              <w:t>东面约7.</w:t>
            </w:r>
            <w:r>
              <w:rPr>
                <w:rFonts w:hint="eastAsia" w:cs="Times New Roman"/>
                <w:color w:val="auto"/>
                <w:szCs w:val="21"/>
                <w:lang w:val="en-US" w:eastAsia="zh-CN"/>
              </w:rPr>
              <w:t>2</w:t>
            </w:r>
            <w:r>
              <w:rPr>
                <w:rFonts w:hint="default" w:ascii="Times New Roman" w:hAnsi="Times New Roman" w:cs="Times New Roman"/>
                <w:color w:val="auto"/>
                <w:szCs w:val="21"/>
                <w:lang w:val="en-US" w:eastAsia="zh-CN"/>
              </w:rPr>
              <w:t>km、</w:t>
            </w:r>
            <w:r>
              <w:rPr>
                <w:rFonts w:hint="eastAsia" w:cs="Times New Roman"/>
                <w:color w:val="auto"/>
                <w:szCs w:val="21"/>
                <w:lang w:val="en-US" w:eastAsia="zh-CN"/>
              </w:rPr>
              <w:t>新马</w:t>
            </w:r>
            <w:r>
              <w:rPr>
                <w:rFonts w:hint="default" w:ascii="Times New Roman" w:hAnsi="Times New Roman" w:cs="Times New Roman"/>
                <w:color w:val="auto"/>
                <w:szCs w:val="21"/>
                <w:lang w:val="en-US" w:eastAsia="zh-CN"/>
              </w:rPr>
              <w:t>水库位于</w:t>
            </w:r>
            <w:r>
              <w:rPr>
                <w:rFonts w:hint="eastAsia" w:cs="Times New Roman"/>
                <w:color w:val="auto"/>
                <w:szCs w:val="21"/>
                <w:lang w:val="en-US" w:eastAsia="zh-CN"/>
              </w:rPr>
              <w:t>项目区</w:t>
            </w:r>
            <w:r>
              <w:rPr>
                <w:rFonts w:hint="default" w:ascii="Times New Roman" w:hAnsi="Times New Roman" w:cs="Times New Roman"/>
                <w:color w:val="auto"/>
                <w:szCs w:val="21"/>
                <w:lang w:val="en-US" w:eastAsia="zh-CN"/>
              </w:rPr>
              <w:t>东</w:t>
            </w:r>
            <w:r>
              <w:rPr>
                <w:rFonts w:hint="eastAsia" w:cs="Times New Roman"/>
                <w:color w:val="auto"/>
                <w:szCs w:val="21"/>
                <w:lang w:val="en-US" w:eastAsia="zh-CN"/>
              </w:rPr>
              <w:t>南</w:t>
            </w:r>
            <w:r>
              <w:rPr>
                <w:rFonts w:hint="default" w:ascii="Times New Roman" w:hAnsi="Times New Roman" w:cs="Times New Roman"/>
                <w:color w:val="auto"/>
                <w:szCs w:val="21"/>
                <w:lang w:val="en-US" w:eastAsia="zh-CN"/>
              </w:rPr>
              <w:t>面</w:t>
            </w:r>
            <w:r>
              <w:rPr>
                <w:rFonts w:hint="eastAsia" w:cs="Times New Roman"/>
                <w:color w:val="auto"/>
                <w:szCs w:val="21"/>
                <w:lang w:val="en-US" w:eastAsia="zh-CN"/>
              </w:rPr>
              <w:t>约</w:t>
            </w:r>
            <w:r>
              <w:rPr>
                <w:rFonts w:hint="default" w:ascii="Times New Roman" w:hAnsi="Times New Roman" w:cs="Times New Roman"/>
                <w:color w:val="auto"/>
                <w:szCs w:val="21"/>
                <w:lang w:val="en-US" w:eastAsia="zh-CN"/>
              </w:rPr>
              <w:t>520m，地表水主要保护后河、</w:t>
            </w:r>
            <w:r>
              <w:rPr>
                <w:rFonts w:hint="eastAsia" w:cs="Times New Roman"/>
                <w:color w:val="auto"/>
                <w:szCs w:val="21"/>
                <w:lang w:val="en-US" w:eastAsia="zh-CN"/>
              </w:rPr>
              <w:t>新马</w:t>
            </w:r>
            <w:r>
              <w:rPr>
                <w:rFonts w:hint="default" w:ascii="Times New Roman" w:hAnsi="Times New Roman" w:cs="Times New Roman"/>
                <w:color w:val="auto"/>
                <w:szCs w:val="21"/>
                <w:lang w:val="en-US" w:eastAsia="zh-CN"/>
              </w:rPr>
              <w:t>水库水质</w:t>
            </w:r>
            <w:r>
              <w:rPr>
                <w:rFonts w:hint="default" w:ascii="Times New Roman" w:hAnsi="Times New Roman" w:cs="Times New Roman"/>
                <w:color w:val="auto"/>
                <w:szCs w:val="21"/>
              </w:rPr>
              <w:t>满足《地表水质量标准》（GB 3838-2002）Ⅲ类水域水质标准。</w:t>
            </w:r>
          </w:p>
          <w:p>
            <w:pPr>
              <w:numPr>
                <w:ilvl w:val="0"/>
                <w:numId w:val="16"/>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zh-CN"/>
              </w:rPr>
              <w:t>生态环境</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kern w:val="0"/>
                <w:szCs w:val="21"/>
              </w:rPr>
            </w:pPr>
            <w:r>
              <w:rPr>
                <w:rFonts w:hint="default" w:ascii="Times New Roman" w:hAnsi="Times New Roman" w:cs="Times New Roman"/>
                <w:color w:val="auto"/>
                <w:szCs w:val="21"/>
                <w:lang w:val="zh-CN"/>
              </w:rPr>
              <w:t>根据现场调查，项目区域内不涉及自然保护区、森林公园及风景名胜区、生活饮用水水源保护区及其他需要特别保护区域，区域内无国家保护的重点野生动植物，无名木古树及珍稀动植物等，无特殊文物保护单位。</w:t>
            </w:r>
            <w:r>
              <w:rPr>
                <w:rFonts w:hint="default" w:ascii="Times New Roman" w:hAnsi="Times New Roman" w:cs="Times New Roman"/>
                <w:color w:val="auto"/>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2" w:hRule="atLeast"/>
          <w:jc w:val="center"/>
        </w:trPr>
        <w:tc>
          <w:tcPr>
            <w:tcW w:w="682" w:type="dxa"/>
            <w:noWrap w:val="0"/>
            <w:tcMar>
              <w:left w:w="28" w:type="dxa"/>
              <w:right w:w="28" w:type="dxa"/>
            </w:tcMar>
            <w:vAlign w:val="center"/>
          </w:tcPr>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污染</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物排</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放控</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制标</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准</w:t>
            </w:r>
          </w:p>
        </w:tc>
        <w:tc>
          <w:tcPr>
            <w:tcW w:w="8308" w:type="dxa"/>
            <w:noWrap w:val="0"/>
            <w:vAlign w:val="center"/>
          </w:tcPr>
          <w:p>
            <w:pPr>
              <w:numPr>
                <w:ilvl w:val="0"/>
                <w:numId w:val="17"/>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zh-CN"/>
              </w:rPr>
              <w:t>废气</w:t>
            </w:r>
          </w:p>
          <w:p>
            <w:pPr>
              <w:autoSpaceDE w:val="0"/>
              <w:autoSpaceDN w:val="0"/>
              <w:adjustRightInd w:val="0"/>
              <w:snapToGrid w:val="0"/>
              <w:spacing w:line="400" w:lineRule="exact"/>
              <w:ind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施工期扬尘执行《四川省施工场地扬尘排放标准》（DB512682-2020）。</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四川省施工场地扬尘排放限值</w:t>
            </w:r>
          </w:p>
          <w:tbl>
            <w:tblPr>
              <w:tblStyle w:val="17"/>
              <w:tblW w:w="7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3081"/>
              <w:gridCol w:w="1427"/>
              <w:gridCol w:w="1323"/>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303" w:type="dxa"/>
                  <w:noWrap w:val="0"/>
                  <w:vAlign w:val="center"/>
                </w:tcPr>
                <w:p>
                  <w:pPr>
                    <w:spacing w:line="230" w:lineRule="exact"/>
                    <w:ind w:left="-105" w:leftChars="-50" w:right="-105" w:rightChars="-5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lang w:val="en-US" w:eastAsia="zh-CN"/>
                    </w:rPr>
                    <w:t>监测项目</w:t>
                  </w:r>
                </w:p>
              </w:tc>
              <w:tc>
                <w:tcPr>
                  <w:tcW w:w="3081" w:type="dxa"/>
                  <w:noWrap w:val="0"/>
                  <w:vAlign w:val="center"/>
                </w:tcPr>
                <w:p>
                  <w:pPr>
                    <w:spacing w:line="230" w:lineRule="exact"/>
                    <w:ind w:left="-105" w:leftChars="-50" w:right="-105" w:rightChars="-5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lang w:val="en-US" w:eastAsia="zh-CN"/>
                    </w:rPr>
                    <w:t>区域</w:t>
                  </w:r>
                </w:p>
              </w:tc>
              <w:tc>
                <w:tcPr>
                  <w:tcW w:w="1427" w:type="dxa"/>
                  <w:noWrap w:val="0"/>
                  <w:vAlign w:val="center"/>
                </w:tcPr>
                <w:p>
                  <w:pPr>
                    <w:spacing w:line="230" w:lineRule="exact"/>
                    <w:ind w:left="-105" w:leftChars="-50" w:right="-105"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施工阶段</w:t>
                  </w:r>
                </w:p>
              </w:tc>
              <w:tc>
                <w:tcPr>
                  <w:tcW w:w="1323" w:type="dxa"/>
                  <w:noWrap w:val="0"/>
                  <w:vAlign w:val="center"/>
                </w:tcPr>
                <w:p>
                  <w:pPr>
                    <w:spacing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监测点排放限值</w:t>
                  </w:r>
                </w:p>
                <w:p>
                  <w:pPr>
                    <w:spacing w:line="230" w:lineRule="exact"/>
                    <w:ind w:left="-105" w:leftChars="-50" w:right="-105"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（μg/m</w:t>
                  </w:r>
                  <w:r>
                    <w:rPr>
                      <w:rFonts w:hint="default" w:ascii="Times New Roman" w:hAnsi="Times New Roman" w:cs="Times New Roman"/>
                      <w:b/>
                      <w:bCs/>
                      <w:color w:val="auto"/>
                      <w:sz w:val="18"/>
                      <w:szCs w:val="18"/>
                      <w:vertAlign w:val="superscript"/>
                      <w:lang w:val="en-US" w:eastAsia="zh-CN"/>
                    </w:rPr>
                    <w:t>3</w:t>
                  </w:r>
                  <w:r>
                    <w:rPr>
                      <w:rFonts w:hint="default" w:ascii="Times New Roman" w:hAnsi="Times New Roman" w:cs="Times New Roman"/>
                      <w:b/>
                      <w:bCs/>
                      <w:color w:val="auto"/>
                      <w:sz w:val="18"/>
                      <w:szCs w:val="18"/>
                      <w:lang w:val="en-US" w:eastAsia="zh-CN"/>
                    </w:rPr>
                    <w:t>）</w:t>
                  </w:r>
                </w:p>
              </w:tc>
              <w:tc>
                <w:tcPr>
                  <w:tcW w:w="786" w:type="dxa"/>
                  <w:noWrap w:val="0"/>
                  <w:vAlign w:val="center"/>
                </w:tcPr>
                <w:p>
                  <w:pPr>
                    <w:spacing w:line="230" w:lineRule="exact"/>
                    <w:ind w:left="-105" w:leftChars="-50" w:right="-105"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303" w:type="dxa"/>
                  <w:vMerge w:val="restart"/>
                  <w:noWrap w:val="0"/>
                  <w:vAlign w:val="center"/>
                </w:tcPr>
                <w:p>
                  <w:pPr>
                    <w:spacing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总悬浮颗粒物</w:t>
                  </w:r>
                </w:p>
                <w:p>
                  <w:pPr>
                    <w:spacing w:line="230" w:lineRule="exact"/>
                    <w:ind w:left="-105" w:leftChars="-50" w:right="-105" w:rightChar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（TSP）</w:t>
                  </w:r>
                </w:p>
              </w:tc>
              <w:tc>
                <w:tcPr>
                  <w:tcW w:w="3081" w:type="dxa"/>
                  <w:vMerge w:val="restart"/>
                  <w:noWrap w:val="0"/>
                  <w:vAlign w:val="center"/>
                </w:tcPr>
                <w:p>
                  <w:pPr>
                    <w:spacing w:line="230" w:lineRule="exact"/>
                    <w:ind w:left="-105" w:leftChars="-50" w:right="-105" w:rightChars="-50"/>
                    <w:jc w:val="both"/>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成都市、自贡市、泸州市、德阳市、绵 阳市、广元市、遂宁市、内江市、乐山市、南充市、宜宾市、广安市、</w:t>
                  </w:r>
                  <w:r>
                    <w:rPr>
                      <w:rFonts w:hint="default" w:ascii="Times New Roman" w:hAnsi="Times New Roman" w:cs="Times New Roman"/>
                      <w:b/>
                      <w:bCs/>
                      <w:color w:val="auto"/>
                      <w:sz w:val="18"/>
                      <w:szCs w:val="18"/>
                      <w:lang w:val="en-US" w:eastAsia="zh-CN"/>
                    </w:rPr>
                    <w:t>达州市</w:t>
                  </w:r>
                  <w:r>
                    <w:rPr>
                      <w:rFonts w:hint="default" w:ascii="Times New Roman" w:hAnsi="Times New Roman" w:cs="Times New Roman"/>
                      <w:color w:val="auto"/>
                      <w:sz w:val="18"/>
                      <w:szCs w:val="18"/>
                      <w:lang w:val="en-US" w:eastAsia="zh-CN"/>
                    </w:rPr>
                    <w:t>、巴中市、雅安市、眉山市、资阳市</w:t>
                  </w:r>
                </w:p>
              </w:tc>
              <w:tc>
                <w:tcPr>
                  <w:tcW w:w="1427" w:type="dxa"/>
                  <w:noWrap w:val="0"/>
                  <w:vAlign w:val="center"/>
                </w:tcPr>
                <w:p>
                  <w:pPr>
                    <w:spacing w:line="230" w:lineRule="exact"/>
                    <w:ind w:left="-105" w:leftChars="-50" w:right="-105" w:rightChars="-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拆除工程/土方开挖/土方回填阶段</w:t>
                  </w:r>
                </w:p>
              </w:tc>
              <w:tc>
                <w:tcPr>
                  <w:tcW w:w="1323" w:type="dxa"/>
                  <w:noWrap w:val="0"/>
                  <w:vAlign w:val="center"/>
                </w:tcPr>
                <w:p>
                  <w:pPr>
                    <w:spacing w:line="230" w:lineRule="exact"/>
                    <w:ind w:left="-105" w:leftChars="-50" w:right="-105" w:rightChars="-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600</w:t>
                  </w:r>
                </w:p>
              </w:tc>
              <w:tc>
                <w:tcPr>
                  <w:tcW w:w="786" w:type="dxa"/>
                  <w:vMerge w:val="restart"/>
                  <w:noWrap w:val="0"/>
                  <w:vAlign w:val="center"/>
                </w:tcPr>
                <w:p>
                  <w:pPr>
                    <w:spacing w:line="230" w:lineRule="exact"/>
                    <w:ind w:left="-105" w:leftChars="-50" w:right="-105" w:rightChars="-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自监测起持续15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03" w:type="dxa"/>
                  <w:vMerge w:val="continue"/>
                  <w:noWrap w:val="0"/>
                  <w:vAlign w:val="center"/>
                </w:tcPr>
                <w:p>
                  <w:pPr>
                    <w:spacing w:line="230" w:lineRule="exact"/>
                    <w:ind w:left="-105" w:leftChars="-50" w:right="-105" w:rightChars="-50"/>
                    <w:jc w:val="both"/>
                    <w:rPr>
                      <w:rFonts w:hint="default" w:ascii="Times New Roman" w:hAnsi="Times New Roman" w:cs="Times New Roman"/>
                      <w:color w:val="auto"/>
                      <w:sz w:val="18"/>
                      <w:szCs w:val="18"/>
                      <w:lang w:val="en-US" w:eastAsia="zh-CN"/>
                    </w:rPr>
                  </w:pPr>
                </w:p>
              </w:tc>
              <w:tc>
                <w:tcPr>
                  <w:tcW w:w="3081" w:type="dxa"/>
                  <w:vMerge w:val="continue"/>
                  <w:noWrap w:val="0"/>
                  <w:vAlign w:val="center"/>
                </w:tcPr>
                <w:p>
                  <w:pPr>
                    <w:spacing w:line="230" w:lineRule="exact"/>
                    <w:ind w:left="-105" w:leftChars="-50" w:right="-105" w:rightChars="-50"/>
                    <w:jc w:val="both"/>
                    <w:rPr>
                      <w:rFonts w:hint="default" w:ascii="Times New Roman" w:hAnsi="Times New Roman" w:cs="Times New Roman"/>
                      <w:color w:val="auto"/>
                      <w:sz w:val="18"/>
                      <w:szCs w:val="18"/>
                      <w:lang w:val="en-US" w:eastAsia="zh-CN"/>
                    </w:rPr>
                  </w:pPr>
                </w:p>
              </w:tc>
              <w:tc>
                <w:tcPr>
                  <w:tcW w:w="1427" w:type="dxa"/>
                  <w:noWrap w:val="0"/>
                  <w:vAlign w:val="center"/>
                </w:tcPr>
                <w:p>
                  <w:pPr>
                    <w:spacing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其他工程阶段</w:t>
                  </w:r>
                </w:p>
              </w:tc>
              <w:tc>
                <w:tcPr>
                  <w:tcW w:w="1323" w:type="dxa"/>
                  <w:noWrap w:val="0"/>
                  <w:vAlign w:val="center"/>
                </w:tcPr>
                <w:p>
                  <w:pPr>
                    <w:spacing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250</w:t>
                  </w:r>
                </w:p>
              </w:tc>
              <w:tc>
                <w:tcPr>
                  <w:tcW w:w="786" w:type="dxa"/>
                  <w:vMerge w:val="continue"/>
                  <w:noWrap w:val="0"/>
                  <w:vAlign w:val="center"/>
                </w:tcPr>
                <w:p>
                  <w:pPr>
                    <w:spacing w:line="230" w:lineRule="exact"/>
                    <w:ind w:left="-105" w:leftChars="-50" w:right="-105" w:rightChars="-50"/>
                    <w:jc w:val="both"/>
                    <w:rPr>
                      <w:rFonts w:hint="default" w:ascii="Times New Roman" w:hAnsi="Times New Roman" w:cs="Times New Roman"/>
                      <w:color w:val="auto"/>
                      <w:sz w:val="18"/>
                      <w:szCs w:val="18"/>
                      <w:lang w:val="en-US" w:eastAsia="zh-CN"/>
                    </w:rPr>
                  </w:pPr>
                </w:p>
              </w:tc>
            </w:tr>
          </w:tbl>
          <w:p>
            <w:pPr>
              <w:keepNext w:val="0"/>
              <w:keepLines w:val="0"/>
              <w:pageBreakBefore w:val="0"/>
              <w:widowControl w:val="0"/>
              <w:kinsoku/>
              <w:wordWrap/>
              <w:overflowPunct/>
              <w:topLinePunct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cs="Times New Roman"/>
                <w:color w:val="auto"/>
                <w:szCs w:val="21"/>
                <w:lang w:val="zh-CN"/>
              </w:rPr>
            </w:pPr>
            <w:r>
              <w:rPr>
                <w:rFonts w:hint="default" w:ascii="Times New Roman" w:hAnsi="Times New Roman" w:eastAsia="宋体" w:cs="Times New Roman"/>
                <w:color w:val="auto"/>
                <w:szCs w:val="21"/>
                <w:lang w:val="en-US" w:eastAsia="zh-CN"/>
              </w:rPr>
              <w:t>营运期</w:t>
            </w:r>
            <w:r>
              <w:rPr>
                <w:rFonts w:hint="default" w:ascii="Times New Roman" w:hAnsi="Times New Roman" w:cs="Times New Roman"/>
                <w:color w:val="auto"/>
                <w:szCs w:val="21"/>
                <w:lang w:val="zh-CN"/>
              </w:rPr>
              <w:t>大气污染物执行《挥发性有机物无组织排放控制标准》（GB 37822- 2019）</w:t>
            </w:r>
            <w:r>
              <w:rPr>
                <w:rFonts w:hint="default" w:ascii="Times New Roman" w:hAnsi="Times New Roman" w:cs="Times New Roman"/>
                <w:color w:val="auto"/>
                <w:szCs w:val="21"/>
                <w:lang w:val="en-US" w:eastAsia="zh-CN"/>
              </w:rPr>
              <w:t>附录A中的</w:t>
            </w:r>
            <w:r>
              <w:rPr>
                <w:rFonts w:hint="default" w:ascii="Times New Roman" w:hAnsi="Times New Roman" w:cs="Times New Roman"/>
                <w:color w:val="auto"/>
                <w:szCs w:val="21"/>
              </w:rPr>
              <w:t>无组织排放</w:t>
            </w:r>
            <w:r>
              <w:rPr>
                <w:rFonts w:hint="default" w:ascii="Times New Roman" w:hAnsi="Times New Roman" w:cs="Times New Roman"/>
                <w:color w:val="auto"/>
                <w:szCs w:val="21"/>
                <w:lang w:val="zh-CN"/>
              </w:rPr>
              <w:t>标准，</w:t>
            </w:r>
            <w:r>
              <w:rPr>
                <w:rFonts w:hint="default" w:ascii="Times New Roman" w:hAnsi="Times New Roman" w:cs="Times New Roman"/>
                <w:color w:val="auto"/>
                <w:szCs w:val="21"/>
                <w:lang w:val="en-US" w:eastAsia="zh-CN"/>
              </w:rPr>
              <w:t>厂房外监控点处1h平均浓度限值6mg/m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zh-CN"/>
              </w:rPr>
              <w:t>。</w:t>
            </w:r>
          </w:p>
          <w:p>
            <w:pPr>
              <w:numPr>
                <w:ilvl w:val="0"/>
                <w:numId w:val="17"/>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废水</w:t>
            </w:r>
          </w:p>
          <w:p>
            <w:pPr>
              <w:keepNext w:val="0"/>
              <w:keepLines w:val="0"/>
              <w:pageBreakBefore w:val="0"/>
              <w:widowControl w:val="0"/>
              <w:kinsoku/>
              <w:wordWrap/>
              <w:overflowPunct/>
              <w:topLinePunct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w:t>
            </w:r>
            <w:r>
              <w:rPr>
                <w:rFonts w:hint="default" w:ascii="Times New Roman" w:hAnsi="Times New Roman" w:cs="Times New Roman"/>
                <w:color w:val="auto"/>
                <w:szCs w:val="21"/>
                <w:lang w:val="en-US" w:eastAsia="zh-CN"/>
              </w:rPr>
              <w:t>无</w:t>
            </w:r>
            <w:r>
              <w:rPr>
                <w:rFonts w:hint="default" w:ascii="Times New Roman" w:hAnsi="Times New Roman" w:cs="Times New Roman"/>
                <w:color w:val="auto"/>
                <w:szCs w:val="21"/>
              </w:rPr>
              <w:t>生产废水产生；生活污水依托已有设施收集后，</w:t>
            </w:r>
            <w:r>
              <w:rPr>
                <w:rFonts w:hint="default" w:ascii="Times New Roman" w:hAnsi="Times New Roman" w:cs="Times New Roman"/>
                <w:color w:val="auto"/>
                <w:szCs w:val="21"/>
                <w:lang w:val="en-US" w:eastAsia="zh-CN"/>
              </w:rPr>
              <w:t>排入园区污水管网，最终由园区污水处理厂处理后达标排放，项目</w:t>
            </w:r>
            <w:r>
              <w:rPr>
                <w:rFonts w:hint="eastAsia" w:cs="Times New Roman"/>
                <w:color w:val="auto"/>
                <w:szCs w:val="21"/>
                <w:lang w:val="en-US" w:eastAsia="zh-CN"/>
              </w:rPr>
              <w:t>生活污水</w:t>
            </w:r>
            <w:r>
              <w:rPr>
                <w:rFonts w:hint="default" w:ascii="Times New Roman" w:hAnsi="Times New Roman" w:cs="Times New Roman"/>
                <w:color w:val="auto"/>
                <w:szCs w:val="21"/>
                <w:lang w:val="en-US" w:eastAsia="zh-CN"/>
              </w:rPr>
              <w:t>排放执行《污水综合排放标准》（GB8978-1996）中的三级排放限值</w:t>
            </w:r>
            <w:r>
              <w:rPr>
                <w:rFonts w:hint="default" w:ascii="Times New Roman" w:hAnsi="Times New Roman" w:cs="Times New Roman"/>
                <w:color w:val="auto"/>
                <w:szCs w:val="21"/>
              </w:rPr>
              <w:t>。</w:t>
            </w:r>
          </w:p>
          <w:p>
            <w:pPr>
              <w:numPr>
                <w:ilvl w:val="0"/>
                <w:numId w:val="17"/>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固体废物</w:t>
            </w:r>
          </w:p>
          <w:p>
            <w:pPr>
              <w:keepNext w:val="0"/>
              <w:keepLines w:val="0"/>
              <w:pageBreakBefore w:val="0"/>
              <w:widowControl w:val="0"/>
              <w:kinsoku/>
              <w:wordWrap/>
              <w:overflowPunct/>
              <w:topLinePunct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cs="Times New Roman"/>
                <w:color w:val="0000FF"/>
                <w:szCs w:val="21"/>
              </w:rPr>
            </w:pPr>
            <w:r>
              <w:rPr>
                <w:rFonts w:hint="default" w:ascii="Times New Roman" w:hAnsi="Times New Roman" w:cs="Times New Roman"/>
                <w:color w:val="auto"/>
                <w:szCs w:val="21"/>
              </w:rPr>
              <w:t>一般固废执行《</w:t>
            </w:r>
            <w:r>
              <w:rPr>
                <w:rFonts w:hint="default" w:ascii="Times New Roman" w:hAnsi="Times New Roman" w:cs="Times New Roman"/>
                <w:color w:val="auto"/>
                <w:szCs w:val="21"/>
                <w:lang w:val="zh-CN"/>
              </w:rPr>
              <w:fldChar w:fldCharType="begin"/>
            </w:r>
            <w:r>
              <w:rPr>
                <w:rFonts w:hint="default" w:ascii="Times New Roman" w:hAnsi="Times New Roman" w:cs="Times New Roman"/>
                <w:color w:val="auto"/>
                <w:szCs w:val="21"/>
                <w:lang w:val="zh-CN"/>
              </w:rPr>
              <w:instrText xml:space="preserve"> HYPERLINK "http://wenku.cyjzzd.com/a/1300069769" \t "https://www.so.com/_blank" </w:instrText>
            </w:r>
            <w:r>
              <w:rPr>
                <w:rFonts w:hint="default" w:ascii="Times New Roman" w:hAnsi="Times New Roman" w:cs="Times New Roman"/>
                <w:color w:val="auto"/>
                <w:szCs w:val="21"/>
                <w:lang w:val="zh-CN"/>
              </w:rPr>
              <w:fldChar w:fldCharType="separate"/>
            </w:r>
            <w:r>
              <w:rPr>
                <w:rFonts w:hint="default" w:ascii="Times New Roman" w:hAnsi="Times New Roman" w:cs="Times New Roman"/>
                <w:color w:val="auto"/>
                <w:szCs w:val="21"/>
                <w:lang w:val="zh-CN"/>
              </w:rPr>
              <w:t>一般工业固体废物贮存和填埋污染控制标准</w:t>
            </w:r>
            <w:r>
              <w:rPr>
                <w:rFonts w:hint="default" w:ascii="Times New Roman" w:hAnsi="Times New Roman" w:cs="Times New Roman"/>
                <w:color w:val="auto"/>
                <w:szCs w:val="21"/>
                <w:lang w:val="zh-CN"/>
              </w:rPr>
              <w:fldChar w:fldCharType="end"/>
            </w:r>
            <w:r>
              <w:rPr>
                <w:rFonts w:hint="default" w:ascii="Times New Roman" w:hAnsi="Times New Roman" w:cs="Times New Roman"/>
                <w:color w:val="auto"/>
                <w:szCs w:val="21"/>
              </w:rPr>
              <w:t>》（GB18599-2020）的要求；危险废物执行</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"https://www.mee.gov.cn/ywgz/fgbz/bz/bzwb/gthw/wxfwjbffbz/202302/t20230224_1017500.shtml"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《危险废物贮存污染控制标准》（GB18597-2023）</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的要求</w:t>
            </w:r>
            <w:r>
              <w:rPr>
                <w:rFonts w:hint="default" w:ascii="Times New Roman" w:hAnsi="Times New Roman" w:cs="Times New Roman"/>
                <w:color w:val="0000FF"/>
                <w:szCs w:val="21"/>
              </w:rPr>
              <w:t>。</w:t>
            </w:r>
          </w:p>
          <w:p>
            <w:pPr>
              <w:numPr>
                <w:ilvl w:val="0"/>
                <w:numId w:val="17"/>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噪声</w:t>
            </w:r>
          </w:p>
          <w:p>
            <w:pPr>
              <w:keepNext w:val="0"/>
              <w:keepLines w:val="0"/>
              <w:pageBreakBefore w:val="0"/>
              <w:widowControl w:val="0"/>
              <w:kinsoku/>
              <w:wordWrap/>
              <w:overflowPunct/>
              <w:topLinePunct w:val="0"/>
              <w:bidi w:val="0"/>
              <w:snapToGrid w:val="0"/>
              <w:spacing w:line="400" w:lineRule="exact"/>
              <w:ind w:firstLine="420" w:firstLineChars="20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施工期执行《建筑施工场界环境噪声排放标准》(GBl2523－2011)标准；</w:t>
            </w:r>
          </w:p>
          <w:p>
            <w:pPr>
              <w:keepNext w:val="0"/>
              <w:keepLines w:val="0"/>
              <w:pageBreakBefore w:val="0"/>
              <w:widowControl w:val="0"/>
              <w:kinsoku/>
              <w:wordWrap/>
              <w:overflowPunct/>
              <w:topLinePunct w:val="0"/>
              <w:bidi w:val="0"/>
              <w:snapToGrid w:val="0"/>
              <w:spacing w:line="40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昼间≤70dB(A)       夜间≤55dB(A)</w:t>
            </w:r>
          </w:p>
          <w:p>
            <w:pPr>
              <w:keepNext w:val="0"/>
              <w:keepLines w:val="0"/>
              <w:pageBreakBefore w:val="0"/>
              <w:widowControl w:val="0"/>
              <w:numPr>
                <w:ilvl w:val="0"/>
                <w:numId w:val="0"/>
              </w:numPr>
              <w:kinsoku/>
              <w:wordWrap/>
              <w:overflowPunct/>
              <w:topLinePunct w:val="0"/>
              <w:bidi w:val="0"/>
              <w:snapToGrid w:val="0"/>
              <w:spacing w:line="400" w:lineRule="exact"/>
              <w:ind w:firstLine="420" w:firstLineChars="20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营运期执行《工业企业厂界环境噪声排放标准》(GB12348－2008)中</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类区标准。</w:t>
            </w:r>
          </w:p>
          <w:p>
            <w:pPr>
              <w:keepNext w:val="0"/>
              <w:keepLines w:val="0"/>
              <w:pageBreakBefore w:val="0"/>
              <w:widowControl w:val="0"/>
              <w:kinsoku/>
              <w:wordWrap/>
              <w:overflowPunct/>
              <w:topLinePunct w:val="0"/>
              <w:bidi w:val="0"/>
              <w:snapToGrid w:val="0"/>
              <w:spacing w:line="40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昼间≤</w:t>
            </w:r>
            <w:r>
              <w:rPr>
                <w:rFonts w:hint="default" w:ascii="Times New Roman" w:hAnsi="Times New Roman" w:cs="Times New Roman"/>
                <w:color w:val="auto"/>
                <w:szCs w:val="21"/>
                <w:lang w:val="en-US" w:eastAsia="zh-CN"/>
              </w:rPr>
              <w:t>65</w:t>
            </w:r>
            <w:r>
              <w:rPr>
                <w:rFonts w:hint="default" w:ascii="Times New Roman" w:hAnsi="Times New Roman" w:cs="Times New Roman"/>
                <w:color w:val="auto"/>
                <w:szCs w:val="21"/>
              </w:rPr>
              <w:t>dB(A)       夜间≤5</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dB(A)</w:t>
            </w:r>
          </w:p>
          <w:p>
            <w:pPr>
              <w:adjustRightInd w:val="0"/>
              <w:snapToGrid w:val="0"/>
              <w:spacing w:line="400" w:lineRule="exact"/>
              <w:ind w:right="-53" w:rightChars="-25"/>
              <w:jc w:val="both"/>
              <w:rPr>
                <w:rFonts w:hint="default" w:ascii="Times New Roman" w:hAnsi="Times New Roman" w:cs="Times New Roman"/>
                <w:color w:val="0000FF"/>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2" w:hRule="atLeast"/>
          <w:jc w:val="center"/>
        </w:trPr>
        <w:tc>
          <w:tcPr>
            <w:tcW w:w="682" w:type="dxa"/>
            <w:noWrap w:val="0"/>
            <w:vAlign w:val="center"/>
          </w:tcPr>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总量</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控制</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指标</w:t>
            </w: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default" w:ascii="Times New Roman" w:hAnsi="Times New Roman" w:cs="Times New Roman"/>
                <w:b/>
                <w:bCs/>
                <w:color w:val="auto"/>
                <w:kern w:val="0"/>
                <w:szCs w:val="21"/>
              </w:rPr>
            </w:pPr>
          </w:p>
          <w:p>
            <w:pPr>
              <w:adjustRightInd w:val="0"/>
              <w:snapToGrid w:val="0"/>
              <w:jc w:val="center"/>
              <w:rPr>
                <w:rFonts w:hint="eastAsia" w:ascii="Times New Roman" w:hAnsi="Times New Roman" w:eastAsia="宋体" w:cs="Times New Roman"/>
                <w:b/>
                <w:bCs/>
                <w:color w:val="auto"/>
                <w:kern w:val="0"/>
                <w:szCs w:val="21"/>
                <w:lang w:val="en-US" w:eastAsia="zh-CN"/>
              </w:rPr>
            </w:pPr>
            <w:r>
              <w:rPr>
                <w:rFonts w:hint="eastAsia" w:cs="Times New Roman"/>
                <w:b/>
                <w:bCs/>
                <w:color w:val="auto"/>
                <w:kern w:val="0"/>
                <w:szCs w:val="21"/>
                <w:lang w:val="en-US" w:eastAsia="zh-CN"/>
              </w:rPr>
              <w:t xml:space="preserve"> </w:t>
            </w:r>
          </w:p>
        </w:tc>
        <w:tc>
          <w:tcPr>
            <w:tcW w:w="8308" w:type="dxa"/>
            <w:noWrap w:val="0"/>
            <w:vAlign w:val="center"/>
          </w:tcPr>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本项目不产生生产废水；生活污水依托已有设施收集后，</w:t>
            </w:r>
            <w:r>
              <w:rPr>
                <w:rFonts w:hint="default" w:ascii="Times New Roman" w:hAnsi="Times New Roman" w:cs="Times New Roman"/>
                <w:color w:val="auto"/>
                <w:szCs w:val="21"/>
                <w:lang w:val="zh-CN" w:eastAsia="zh-CN"/>
              </w:rPr>
              <w:t>排入园区污水管网，最终由园区污水处理厂处理后达标排放</w:t>
            </w:r>
            <w:r>
              <w:rPr>
                <w:rFonts w:hint="default" w:ascii="Times New Roman" w:hAnsi="Times New Roman" w:cs="Times New Roman"/>
                <w:color w:val="auto"/>
                <w:szCs w:val="21"/>
                <w:lang w:val="zh-CN"/>
              </w:rPr>
              <w:t>。</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储存、转移过程产生的</w:t>
            </w:r>
            <w:r>
              <w:rPr>
                <w:rFonts w:hint="default" w:ascii="Times New Roman" w:hAnsi="Times New Roman" w:cs="Times New Roman"/>
                <w:color w:val="auto"/>
                <w:sz w:val="18"/>
                <w:szCs w:val="18"/>
              </w:rPr>
              <w:t>VOCs</w:t>
            </w:r>
            <w:r>
              <w:rPr>
                <w:rFonts w:hint="default" w:ascii="Times New Roman" w:hAnsi="Times New Roman" w:cs="Times New Roman"/>
                <w:color w:val="auto"/>
                <w:sz w:val="21"/>
                <w:szCs w:val="21"/>
              </w:rPr>
              <w:t>（非甲烷总烃）</w:t>
            </w:r>
            <w:r>
              <w:rPr>
                <w:rFonts w:hint="default" w:ascii="Times New Roman" w:hAnsi="Times New Roman" w:cs="Times New Roman"/>
                <w:color w:val="auto"/>
                <w:szCs w:val="21"/>
              </w:rPr>
              <w:t>排放量为</w:t>
            </w:r>
            <w:r>
              <w:rPr>
                <w:rFonts w:hint="default" w:ascii="Times New Roman" w:hAnsi="Times New Roman" w:cs="Times New Roman"/>
                <w:color w:val="auto"/>
                <w:szCs w:val="21"/>
                <w:highlight w:val="none"/>
              </w:rPr>
              <w:t>0.2t/a</w:t>
            </w:r>
            <w:r>
              <w:rPr>
                <w:rFonts w:hint="eastAsia" w:cs="Times New Roman"/>
                <w:color w:val="auto"/>
                <w:szCs w:val="21"/>
                <w:highlight w:val="none"/>
                <w:lang w:eastAsia="zh-CN"/>
              </w:rPr>
              <w:t>，</w:t>
            </w:r>
            <w:r>
              <w:rPr>
                <w:rFonts w:hint="eastAsia" w:cs="Times New Roman"/>
                <w:color w:val="auto"/>
                <w:szCs w:val="21"/>
                <w:highlight w:val="none"/>
                <w:lang w:val="en-US" w:eastAsia="zh-CN"/>
              </w:rPr>
              <w:t>总量指标由当地生态环境主管部门核定后下达</w:t>
            </w:r>
            <w:r>
              <w:rPr>
                <w:rFonts w:hint="default" w:ascii="Times New Roman" w:hAnsi="Times New Roman" w:cs="Times New Roman"/>
                <w:color w:val="auto"/>
                <w:szCs w:val="21"/>
                <w:lang w:val="zh-CN"/>
              </w:rPr>
              <w:t>。</w:t>
            </w: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p>
          <w:p>
            <w:pPr>
              <w:adjustRightInd w:val="0"/>
              <w:snapToGrid w:val="0"/>
              <w:spacing w:line="400" w:lineRule="exact"/>
              <w:ind w:left="-53" w:leftChars="-25" w:right="-53" w:rightChars="-25" w:firstLine="420" w:firstLineChars="200"/>
              <w:jc w:val="both"/>
              <w:rPr>
                <w:rFonts w:hint="eastAsia" w:cs="Times New Roman"/>
                <w:color w:val="auto"/>
                <w:szCs w:val="21"/>
                <w:lang w:val="en-US" w:eastAsia="zh-CN"/>
              </w:rPr>
            </w:pPr>
          </w:p>
          <w:p>
            <w:pPr>
              <w:adjustRightInd w:val="0"/>
              <w:snapToGrid w:val="0"/>
              <w:spacing w:line="400" w:lineRule="exact"/>
              <w:ind w:left="-53" w:leftChars="-25" w:right="-53" w:rightChars="-25" w:firstLine="420" w:firstLineChars="200"/>
              <w:jc w:val="both"/>
              <w:rPr>
                <w:rFonts w:hint="eastAsia" w:cs="Times New Roman"/>
                <w:color w:val="auto"/>
                <w:szCs w:val="21"/>
                <w:lang w:val="en-US" w:eastAsia="zh-CN"/>
              </w:rPr>
            </w:pPr>
          </w:p>
          <w:p>
            <w:pPr>
              <w:adjustRightInd w:val="0"/>
              <w:snapToGrid w:val="0"/>
              <w:spacing w:line="400" w:lineRule="exact"/>
              <w:ind w:left="-53" w:leftChars="-25" w:right="-53" w:rightChars="-25" w:firstLine="420" w:firstLineChars="200"/>
              <w:jc w:val="both"/>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 xml:space="preserve"> </w:t>
            </w:r>
          </w:p>
        </w:tc>
      </w:tr>
    </w:tbl>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eastAsia="黑体" w:cs="Times New Roman"/>
          <w:snapToGrid w:val="0"/>
          <w:color w:val="0000FF"/>
          <w:kern w:val="0"/>
          <w:sz w:val="36"/>
          <w:szCs w:val="36"/>
        </w:rPr>
        <w:br w:type="page"/>
      </w:r>
      <w:r>
        <w:rPr>
          <w:rFonts w:hint="default" w:ascii="Times New Roman" w:hAnsi="Times New Roman" w:eastAsia="黑体" w:cs="Times New Roman"/>
          <w:snapToGrid w:val="0"/>
          <w:color w:val="auto"/>
          <w:kern w:val="0"/>
          <w:sz w:val="30"/>
          <w:szCs w:val="30"/>
        </w:rPr>
        <w:t>四、主要环境影响和保护措施</w:t>
      </w:r>
    </w:p>
    <w:tbl>
      <w:tblPr>
        <w:tblStyle w:val="1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3"/>
        <w:gridCol w:w="82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623" w:type="dxa"/>
            <w:noWrap w:val="0"/>
            <w:tcMar>
              <w:left w:w="28" w:type="dxa"/>
              <w:right w:w="28" w:type="dxa"/>
            </w:tcMar>
            <w:vAlign w:val="center"/>
          </w:tcPr>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施工</w:t>
            </w: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境保</w:t>
            </w: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护措</w:t>
            </w: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施</w:t>
            </w: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施工</w:t>
            </w: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境保</w:t>
            </w: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护措</w:t>
            </w: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施</w:t>
            </w: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施工</w:t>
            </w: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境保</w:t>
            </w: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护措</w:t>
            </w:r>
          </w:p>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施</w:t>
            </w:r>
          </w:p>
        </w:tc>
        <w:tc>
          <w:tcPr>
            <w:tcW w:w="8285" w:type="dxa"/>
            <w:noWrap w:val="0"/>
            <w:vAlign w:val="center"/>
          </w:tcPr>
          <w:p>
            <w:pPr>
              <w:numPr>
                <w:ilvl w:val="0"/>
                <w:numId w:val="18"/>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大气环境</w:t>
            </w:r>
            <w:r>
              <w:rPr>
                <w:rFonts w:hint="default" w:ascii="Times New Roman" w:hAnsi="Times New Roman" w:eastAsia="黑体" w:cs="Times New Roman"/>
                <w:color w:val="auto"/>
                <w:kern w:val="0"/>
                <w:sz w:val="22"/>
                <w:szCs w:val="22"/>
                <w:lang w:val="en-US" w:eastAsia="zh-CN"/>
              </w:rPr>
              <w:t>保护措施</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施工期废气主要为扬尘和</w:t>
            </w:r>
            <w:r>
              <w:rPr>
                <w:rFonts w:hint="default" w:ascii="Times New Roman" w:hAnsi="Times New Roman" w:cs="Times New Roman"/>
                <w:color w:val="auto"/>
                <w:kern w:val="0"/>
                <w:szCs w:val="21"/>
                <w:lang w:val="en-US" w:eastAsia="zh-CN"/>
              </w:rPr>
              <w:t>装修</w:t>
            </w:r>
            <w:r>
              <w:rPr>
                <w:rFonts w:hint="default" w:ascii="Times New Roman" w:hAnsi="Times New Roman" w:cs="Times New Roman"/>
                <w:color w:val="auto"/>
                <w:kern w:val="0"/>
                <w:szCs w:val="21"/>
              </w:rPr>
              <w:t>废气。建设单位应采取如下控制措施：</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①</w:t>
            </w:r>
            <w:r>
              <w:rPr>
                <w:rFonts w:hint="eastAsia" w:cs="Times New Roman"/>
                <w:color w:val="auto"/>
                <w:szCs w:val="21"/>
                <w:lang w:val="en-US" w:eastAsia="zh-CN"/>
              </w:rPr>
              <w:t>施工过程</w:t>
            </w:r>
            <w:r>
              <w:rPr>
                <w:rFonts w:hint="default" w:ascii="Times New Roman" w:hAnsi="Times New Roman" w:cs="Times New Roman"/>
                <w:color w:val="auto"/>
                <w:szCs w:val="21"/>
                <w:lang w:val="en-US" w:eastAsia="zh-CN"/>
              </w:rPr>
              <w:t>产生的废弃建渣及时外运，减少在场内堆放，确需堆放的，在堆放期间</w:t>
            </w:r>
            <w:r>
              <w:rPr>
                <w:rFonts w:hint="default" w:ascii="Times New Roman" w:hAnsi="Times New Roman" w:cs="Times New Roman"/>
                <w:color w:val="auto"/>
                <w:szCs w:val="21"/>
              </w:rPr>
              <w:t>采取</w:t>
            </w:r>
            <w:r>
              <w:rPr>
                <w:rFonts w:hint="default" w:ascii="Times New Roman" w:hAnsi="Times New Roman" w:cs="Times New Roman"/>
                <w:color w:val="auto"/>
                <w:szCs w:val="21"/>
                <w:lang w:val="en-US" w:eastAsia="zh-CN"/>
              </w:rPr>
              <w:t>覆盖、</w:t>
            </w:r>
            <w:r>
              <w:rPr>
                <w:rFonts w:hint="default" w:ascii="Times New Roman" w:hAnsi="Times New Roman" w:cs="Times New Roman"/>
                <w:color w:val="auto"/>
                <w:szCs w:val="21"/>
              </w:rPr>
              <w:t>洒水抑尘</w:t>
            </w:r>
            <w:r>
              <w:rPr>
                <w:rFonts w:hint="default" w:ascii="Times New Roman" w:hAnsi="Times New Roman" w:cs="Times New Roman"/>
                <w:color w:val="auto"/>
                <w:szCs w:val="21"/>
                <w:lang w:val="en-US" w:eastAsia="zh-CN"/>
              </w:rPr>
              <w:t>等措施</w:t>
            </w:r>
            <w:r>
              <w:rPr>
                <w:rFonts w:hint="default" w:ascii="Times New Roman" w:hAnsi="Times New Roman" w:cs="Times New Roman"/>
                <w:color w:val="auto"/>
                <w:szCs w:val="21"/>
              </w:rPr>
              <w:t>，产生的扬尘对环境影响很小。</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②运输车辆通过采取密闭运输、对道路尘土及时清扫，保持道路清洁等措施，可有效减少运输扬尘产生。少量尾气将随大气扩散，基本上不会影响该区域大气环境质量。</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③对</w:t>
            </w:r>
            <w:r>
              <w:rPr>
                <w:rFonts w:hint="default" w:ascii="Times New Roman" w:hAnsi="Times New Roman" w:cs="Times New Roman"/>
                <w:color w:val="auto"/>
                <w:szCs w:val="21"/>
                <w:lang w:val="en-US" w:eastAsia="zh-CN"/>
              </w:rPr>
              <w:t>储油罐区</w:t>
            </w:r>
            <w:r>
              <w:rPr>
                <w:rFonts w:hint="default" w:ascii="Times New Roman" w:hAnsi="Times New Roman" w:cs="Times New Roman"/>
                <w:color w:val="auto"/>
                <w:szCs w:val="21"/>
              </w:rPr>
              <w:t>、装卸</w:t>
            </w:r>
            <w:r>
              <w:rPr>
                <w:rFonts w:hint="default" w:ascii="Times New Roman" w:hAnsi="Times New Roman" w:cs="Times New Roman"/>
                <w:color w:val="auto"/>
                <w:szCs w:val="21"/>
                <w:lang w:val="en-US" w:eastAsia="zh-CN"/>
              </w:rPr>
              <w:t>区</w:t>
            </w:r>
            <w:r>
              <w:rPr>
                <w:rFonts w:hint="default" w:ascii="Times New Roman" w:hAnsi="Times New Roman" w:cs="Times New Roman"/>
                <w:color w:val="auto"/>
                <w:szCs w:val="21"/>
                <w:lang w:eastAsia="zh-CN"/>
              </w:rPr>
              <w:t>的</w:t>
            </w:r>
            <w:r>
              <w:rPr>
                <w:rFonts w:hint="default" w:ascii="Times New Roman" w:hAnsi="Times New Roman" w:cs="Times New Roman"/>
                <w:color w:val="auto"/>
                <w:szCs w:val="21"/>
              </w:rPr>
              <w:t>地面防渗选用环保型材料，</w:t>
            </w:r>
            <w:r>
              <w:rPr>
                <w:rFonts w:hint="default" w:ascii="Times New Roman" w:hAnsi="Times New Roman" w:cs="Times New Roman"/>
                <w:color w:val="auto"/>
                <w:szCs w:val="21"/>
                <w:lang w:val="en-US" w:eastAsia="zh-CN"/>
              </w:rPr>
              <w:t>尽量选</w:t>
            </w:r>
            <w:r>
              <w:rPr>
                <w:rFonts w:hint="default" w:ascii="Times New Roman" w:hAnsi="Times New Roman" w:cs="Times New Roman"/>
                <w:color w:val="auto"/>
                <w:szCs w:val="21"/>
              </w:rPr>
              <w:t>用水性</w:t>
            </w:r>
            <w:r>
              <w:rPr>
                <w:rFonts w:hint="default" w:ascii="Times New Roman" w:hAnsi="Times New Roman" w:cs="Times New Roman"/>
                <w:color w:val="auto"/>
                <w:szCs w:val="21"/>
                <w:lang w:val="en-US" w:eastAsia="zh-CN"/>
              </w:rPr>
              <w:t>防渗材料</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减少装修</w:t>
            </w:r>
            <w:r>
              <w:rPr>
                <w:rFonts w:hint="default" w:ascii="Times New Roman" w:hAnsi="Times New Roman" w:cs="Times New Roman"/>
                <w:color w:val="auto"/>
                <w:szCs w:val="21"/>
              </w:rPr>
              <w:t>过程中挥发性有机气体</w:t>
            </w:r>
            <w:r>
              <w:rPr>
                <w:rFonts w:hint="default" w:ascii="Times New Roman" w:hAnsi="Times New Roman" w:cs="Times New Roman"/>
                <w:color w:val="auto"/>
                <w:szCs w:val="21"/>
                <w:lang w:eastAsia="zh-CN"/>
              </w:rPr>
              <w:t>的</w:t>
            </w:r>
            <w:r>
              <w:rPr>
                <w:rFonts w:hint="default" w:ascii="Times New Roman" w:hAnsi="Times New Roman" w:cs="Times New Roman"/>
                <w:color w:val="auto"/>
                <w:szCs w:val="21"/>
              </w:rPr>
              <w:t>产生量，对周边大气环境质量影响不大。项目施工场所通风条件较好，产生的少量异味气体对环境、工人影响很小。</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在施工期间采取</w:t>
            </w:r>
            <w:r>
              <w:rPr>
                <w:rFonts w:hint="default" w:ascii="Times New Roman" w:hAnsi="Times New Roman" w:cs="Times New Roman"/>
                <w:color w:val="auto"/>
                <w:kern w:val="0"/>
                <w:szCs w:val="21"/>
                <w:lang w:val="en-US" w:eastAsia="zh-CN"/>
              </w:rPr>
              <w:t>上述</w:t>
            </w:r>
            <w:r>
              <w:rPr>
                <w:rFonts w:hint="default" w:ascii="Times New Roman" w:hAnsi="Times New Roman" w:cs="Times New Roman"/>
                <w:color w:val="auto"/>
                <w:kern w:val="0"/>
                <w:szCs w:val="21"/>
              </w:rPr>
              <w:t>措施后，施工扬尘及施工机械废气等对区域环境空气质量不会产生明显的污染性影响。</w:t>
            </w:r>
          </w:p>
          <w:p>
            <w:pPr>
              <w:numPr>
                <w:ilvl w:val="0"/>
                <w:numId w:val="18"/>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lang w:val="en-US" w:eastAsia="zh-CN"/>
              </w:rPr>
              <w:t>废水控制</w:t>
            </w:r>
            <w:r>
              <w:rPr>
                <w:rFonts w:hint="default" w:ascii="Times New Roman" w:hAnsi="Times New Roman" w:eastAsia="黑体" w:cs="Times New Roman"/>
                <w:color w:val="auto"/>
                <w:kern w:val="0"/>
                <w:sz w:val="22"/>
                <w:szCs w:val="22"/>
              </w:rPr>
              <w:t>措施</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施工期废水为工人洗手废水和工具清洗废水，废水的主要污染物为SS，另有少量油污，基本没有有机污染物。这类废水</w:t>
            </w:r>
            <w:r>
              <w:rPr>
                <w:rFonts w:hint="default" w:ascii="Times New Roman" w:hAnsi="Times New Roman" w:cs="Times New Roman"/>
                <w:color w:val="auto"/>
                <w:szCs w:val="21"/>
                <w:lang w:val="en-US" w:eastAsia="zh-CN"/>
              </w:rPr>
              <w:t>可通过厂区内已有的沉淀池</w:t>
            </w:r>
            <w:r>
              <w:rPr>
                <w:rFonts w:hint="default" w:ascii="Times New Roman" w:hAnsi="Times New Roman" w:cs="Times New Roman"/>
                <w:color w:val="auto"/>
                <w:szCs w:val="21"/>
              </w:rPr>
              <w:t>收集</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沉淀</w:t>
            </w:r>
            <w:r>
              <w:rPr>
                <w:rFonts w:hint="default" w:ascii="Times New Roman" w:hAnsi="Times New Roman" w:cs="Times New Roman"/>
                <w:color w:val="auto"/>
                <w:szCs w:val="21"/>
              </w:rPr>
              <w:t>后</w:t>
            </w:r>
            <w:r>
              <w:rPr>
                <w:rFonts w:hint="default" w:ascii="Times New Roman" w:hAnsi="Times New Roman" w:cs="Times New Roman"/>
                <w:color w:val="auto"/>
                <w:szCs w:val="21"/>
                <w:lang w:val="en-US" w:eastAsia="zh-CN"/>
              </w:rPr>
              <w:t>作为厂区内的防尘洒水</w:t>
            </w:r>
            <w:r>
              <w:rPr>
                <w:rFonts w:hint="default" w:ascii="Times New Roman" w:hAnsi="Times New Roman" w:cs="Times New Roman"/>
                <w:color w:val="auto"/>
                <w:szCs w:val="21"/>
              </w:rPr>
              <w:t>，不外排。</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施工期</w:t>
            </w:r>
            <w:r>
              <w:rPr>
                <w:rFonts w:hint="default" w:ascii="Times New Roman" w:hAnsi="Times New Roman" w:cs="Times New Roman"/>
                <w:color w:val="auto"/>
                <w:szCs w:val="21"/>
                <w:lang w:val="en-US" w:eastAsia="zh-CN"/>
              </w:rPr>
              <w:t>工人的少量</w:t>
            </w:r>
            <w:r>
              <w:rPr>
                <w:rFonts w:hint="default" w:ascii="Times New Roman" w:hAnsi="Times New Roman" w:cs="Times New Roman"/>
                <w:color w:val="auto"/>
                <w:szCs w:val="21"/>
              </w:rPr>
              <w:t>生活污水</w:t>
            </w:r>
            <w:r>
              <w:rPr>
                <w:rFonts w:hint="default" w:ascii="Times New Roman" w:hAnsi="Times New Roman" w:cs="Times New Roman"/>
                <w:color w:val="auto"/>
                <w:szCs w:val="21"/>
                <w:lang w:val="en-US" w:eastAsia="zh-CN"/>
              </w:rPr>
              <w:t>依托厂区内已有</w:t>
            </w:r>
            <w:r>
              <w:rPr>
                <w:rFonts w:hint="default" w:ascii="Times New Roman" w:hAnsi="Times New Roman" w:cs="Times New Roman"/>
                <w:color w:val="auto"/>
                <w:szCs w:val="21"/>
              </w:rPr>
              <w:t>的</w:t>
            </w:r>
            <w:r>
              <w:rPr>
                <w:rFonts w:hint="default" w:ascii="Times New Roman" w:hAnsi="Times New Roman" w:cs="Times New Roman"/>
                <w:color w:val="auto"/>
                <w:szCs w:val="21"/>
                <w:lang w:val="en-US" w:eastAsia="zh-CN"/>
              </w:rPr>
              <w:t>化粪池</w:t>
            </w:r>
            <w:r>
              <w:rPr>
                <w:rFonts w:hint="default" w:ascii="Times New Roman" w:hAnsi="Times New Roman" w:cs="Times New Roman"/>
                <w:color w:val="auto"/>
                <w:szCs w:val="21"/>
              </w:rPr>
              <w:t>收集后，</w:t>
            </w:r>
            <w:r>
              <w:rPr>
                <w:rFonts w:hint="default" w:ascii="Times New Roman" w:hAnsi="Times New Roman" w:cs="Times New Roman"/>
                <w:color w:val="auto"/>
                <w:szCs w:val="21"/>
                <w:lang w:val="en-US" w:eastAsia="zh-CN"/>
              </w:rPr>
              <w:t>排至园区管网</w:t>
            </w:r>
            <w:r>
              <w:rPr>
                <w:rFonts w:hint="default" w:ascii="Times New Roman" w:hAnsi="Times New Roman" w:cs="Times New Roman"/>
                <w:color w:val="auto"/>
                <w:szCs w:val="21"/>
              </w:rPr>
              <w:t>。</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通过采取以上措施后，可避免施工废水对周围环境造成污染性影响。</w:t>
            </w:r>
            <w:r>
              <w:rPr>
                <w:rFonts w:hint="default" w:ascii="Times New Roman" w:hAnsi="Times New Roman" w:cs="Times New Roman"/>
                <w:color w:val="auto"/>
                <w:szCs w:val="21"/>
              </w:rPr>
              <w:t xml:space="preserve">   </w:t>
            </w:r>
          </w:p>
          <w:p>
            <w:pPr>
              <w:numPr>
                <w:ilvl w:val="0"/>
                <w:numId w:val="18"/>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噪声防治措施</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 w:val="24"/>
                <w:szCs w:val="21"/>
              </w:rPr>
            </w:pPr>
            <w:r>
              <w:rPr>
                <w:rFonts w:hint="default" w:ascii="Times New Roman" w:hAnsi="Times New Roman" w:cs="Times New Roman"/>
                <w:color w:val="auto"/>
                <w:kern w:val="0"/>
                <w:szCs w:val="21"/>
              </w:rPr>
              <w:t>施工期噪声主要来源于施工设备和运输车辆，主要的高噪声设备为运输车辆等，这些噪声源的强度在</w:t>
            </w:r>
            <w:r>
              <w:rPr>
                <w:rFonts w:hint="default" w:ascii="Times New Roman" w:hAnsi="Times New Roman" w:cs="Times New Roman"/>
                <w:color w:val="auto"/>
                <w:kern w:val="0"/>
                <w:szCs w:val="21"/>
                <w:lang w:val="en-US" w:eastAsia="zh-CN"/>
              </w:rPr>
              <w:t>7</w:t>
            </w:r>
            <w:r>
              <w:rPr>
                <w:rFonts w:hint="default" w:ascii="Times New Roman" w:hAnsi="Times New Roman" w:cs="Times New Roman"/>
                <w:color w:val="auto"/>
                <w:kern w:val="0"/>
                <w:szCs w:val="21"/>
              </w:rPr>
              <w:t>0～</w:t>
            </w:r>
            <w:r>
              <w:rPr>
                <w:rFonts w:hint="eastAsia" w:cs="Times New Roman"/>
                <w:color w:val="auto"/>
                <w:kern w:val="0"/>
                <w:szCs w:val="21"/>
                <w:lang w:val="en-US" w:eastAsia="zh-CN"/>
              </w:rPr>
              <w:t>8</w:t>
            </w:r>
            <w:r>
              <w:rPr>
                <w:rFonts w:hint="default" w:ascii="Times New Roman" w:hAnsi="Times New Roman" w:cs="Times New Roman"/>
                <w:color w:val="auto"/>
                <w:kern w:val="0"/>
                <w:szCs w:val="21"/>
              </w:rPr>
              <w:t>0dB</w:t>
            </w:r>
            <w:r>
              <w:rPr>
                <w:rFonts w:hint="eastAsia" w:cs="Times New Roman"/>
                <w:color w:val="auto"/>
                <w:kern w:val="0"/>
                <w:szCs w:val="21"/>
                <w:lang w:eastAsia="zh-CN"/>
              </w:rPr>
              <w:t>（</w:t>
            </w:r>
            <w:r>
              <w:rPr>
                <w:rFonts w:hint="default" w:ascii="Times New Roman" w:hAnsi="Times New Roman" w:cs="Times New Roman"/>
                <w:color w:val="auto"/>
                <w:kern w:val="0"/>
                <w:szCs w:val="21"/>
              </w:rPr>
              <w:t>A）。施工噪声预测结果见下表。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en-US" w:eastAsia="zh-CN"/>
              </w:rPr>
              <w:t>项目</w:t>
            </w:r>
            <w:r>
              <w:rPr>
                <w:rFonts w:hint="eastAsia" w:ascii="Times New Roman" w:hAnsi="Times New Roman" w:eastAsia="黑体" w:cs="Times New Roman"/>
                <w:color w:val="auto"/>
                <w:kern w:val="0"/>
                <w:sz w:val="20"/>
                <w:szCs w:val="20"/>
                <w:lang w:val="en-US" w:eastAsia="zh-CN"/>
              </w:rPr>
              <w:t>施工期</w:t>
            </w:r>
            <w:r>
              <w:rPr>
                <w:rFonts w:hint="default" w:ascii="Times New Roman" w:hAnsi="Times New Roman" w:eastAsia="黑体" w:cs="Times New Roman"/>
                <w:color w:val="auto"/>
                <w:kern w:val="0"/>
                <w:sz w:val="20"/>
                <w:szCs w:val="20"/>
                <w:lang w:val="en-US" w:eastAsia="zh-CN"/>
              </w:rPr>
              <w:t>厂界</w:t>
            </w:r>
            <w:r>
              <w:rPr>
                <w:rFonts w:hint="eastAsia" w:ascii="Times New Roman" w:hAnsi="Times New Roman" w:eastAsia="黑体" w:cs="Times New Roman"/>
                <w:color w:val="auto"/>
                <w:kern w:val="0"/>
                <w:sz w:val="20"/>
                <w:szCs w:val="20"/>
                <w:lang w:val="en-US" w:eastAsia="zh-CN"/>
              </w:rPr>
              <w:t>噪声</w:t>
            </w:r>
            <w:r>
              <w:rPr>
                <w:rFonts w:hint="default" w:ascii="Times New Roman" w:hAnsi="Times New Roman" w:eastAsia="黑体" w:cs="Times New Roman"/>
                <w:color w:val="auto"/>
                <w:kern w:val="0"/>
                <w:sz w:val="20"/>
                <w:szCs w:val="20"/>
                <w:lang w:val="en-US" w:eastAsia="zh-CN"/>
              </w:rPr>
              <w:t>预测结果</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02"/>
              <w:gridCol w:w="2144"/>
              <w:gridCol w:w="1128"/>
              <w:gridCol w:w="1099"/>
              <w:gridCol w:w="1116"/>
              <w:gridCol w:w="1143"/>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1"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序号</w:t>
                  </w:r>
                </w:p>
              </w:tc>
              <w:tc>
                <w:tcPr>
                  <w:tcW w:w="214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声环境保护目标名称</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噪声背景值/dB(A)</w:t>
                  </w:r>
                </w:p>
              </w:tc>
              <w:tc>
                <w:tcPr>
                  <w:tcW w:w="1099"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噪声现状值/dB(A)</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噪声标准/dB(A)</w:t>
                  </w:r>
                </w:p>
              </w:tc>
              <w:tc>
                <w:tcPr>
                  <w:tcW w:w="1143"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噪声贡献值/dB(A)</w:t>
                  </w:r>
                </w:p>
              </w:tc>
              <w:tc>
                <w:tcPr>
                  <w:tcW w:w="78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w:t>
                  </w:r>
                </w:p>
              </w:tc>
              <w:tc>
                <w:tcPr>
                  <w:tcW w:w="2144"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东界</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135</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lang w:val="en-US" w:eastAsia="zh-CN"/>
                    </w:rPr>
                    <w:t>）</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1099"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53.2</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70</w:t>
                  </w:r>
                </w:p>
              </w:tc>
              <w:tc>
                <w:tcPr>
                  <w:tcW w:w="1143" w:type="dxa"/>
                  <w:shd w:val="clear" w:color="auto" w:fill="FFFFFF"/>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43.7</w:t>
                  </w:r>
                </w:p>
              </w:tc>
              <w:tc>
                <w:tcPr>
                  <w:tcW w:w="78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w:t>
                  </w:r>
                </w:p>
              </w:tc>
              <w:tc>
                <w:tcPr>
                  <w:tcW w:w="2144"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南界</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84</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13</w:t>
                  </w:r>
                  <w:r>
                    <w:rPr>
                      <w:rFonts w:hint="eastAsia" w:ascii="Times New Roman" w:hAnsi="Times New Roman"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lang w:val="en-US" w:eastAsia="zh-CN"/>
                    </w:rPr>
                    <w:t>）</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1099"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54.8</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70</w:t>
                  </w:r>
                </w:p>
              </w:tc>
              <w:tc>
                <w:tcPr>
                  <w:tcW w:w="1143" w:type="dxa"/>
                  <w:shd w:val="clear" w:color="auto" w:fill="FFFFFF"/>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35.9</w:t>
                  </w:r>
                </w:p>
              </w:tc>
              <w:tc>
                <w:tcPr>
                  <w:tcW w:w="78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3</w:t>
                  </w:r>
                </w:p>
              </w:tc>
              <w:tc>
                <w:tcPr>
                  <w:tcW w:w="2144"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西</w:t>
                  </w:r>
                  <w:r>
                    <w:rPr>
                      <w:rFonts w:hint="default" w:ascii="Times New Roman" w:hAnsi="Times New Roman" w:cs="Times New Roman"/>
                      <w:color w:val="auto"/>
                      <w:sz w:val="18"/>
                      <w:szCs w:val="18"/>
                      <w:highlight w:val="none"/>
                      <w:lang w:val="en-US" w:eastAsia="zh-CN"/>
                    </w:rPr>
                    <w:t>界</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70</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14</w:t>
                  </w:r>
                  <w:r>
                    <w:rPr>
                      <w:rFonts w:hint="eastAsia" w:ascii="Times New Roman" w:hAnsi="Times New Roman" w:eastAsia="宋体"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lang w:val="en-US" w:eastAsia="zh-CN"/>
                    </w:rPr>
                    <w:t>）</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1099"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56.3</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70</w:t>
                  </w:r>
                </w:p>
              </w:tc>
              <w:tc>
                <w:tcPr>
                  <w:tcW w:w="1143" w:type="dxa"/>
                  <w:shd w:val="clear" w:color="auto" w:fill="FFFFFF"/>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60.0</w:t>
                  </w:r>
                </w:p>
              </w:tc>
              <w:tc>
                <w:tcPr>
                  <w:tcW w:w="78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4</w:t>
                  </w:r>
                </w:p>
              </w:tc>
              <w:tc>
                <w:tcPr>
                  <w:tcW w:w="2144"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北界</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80</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137</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lang w:val="en-US" w:eastAsia="zh-CN"/>
                    </w:rPr>
                    <w:t>）</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1099"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56.4</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70</w:t>
                  </w:r>
                </w:p>
              </w:tc>
              <w:tc>
                <w:tcPr>
                  <w:tcW w:w="1143" w:type="dxa"/>
                  <w:shd w:val="clear" w:color="auto" w:fill="FFFFFF"/>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46.4</w:t>
                  </w:r>
                </w:p>
              </w:tc>
              <w:tc>
                <w:tcPr>
                  <w:tcW w:w="78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1" w:hRule="atLeast"/>
                <w:jc w:val="center"/>
              </w:trPr>
              <w:tc>
                <w:tcPr>
                  <w:tcW w:w="8016" w:type="dxa"/>
                  <w:gridSpan w:val="7"/>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说明：表中坐标以</w:t>
                  </w:r>
                  <w:r>
                    <w:rPr>
                      <w:rFonts w:hint="eastAsia" w:ascii="Times New Roman" w:hAnsi="Times New Roman" w:cs="Times New Roman"/>
                      <w:color w:val="auto"/>
                      <w:sz w:val="18"/>
                      <w:szCs w:val="18"/>
                      <w:highlight w:val="none"/>
                      <w:lang w:val="en-US" w:eastAsia="zh-CN"/>
                    </w:rPr>
                    <w:t>君璜公司进出</w:t>
                  </w:r>
                  <w:r>
                    <w:rPr>
                      <w:rFonts w:hint="eastAsia" w:ascii="Times New Roman" w:hAnsi="Times New Roman" w:eastAsia="宋体" w:cs="Times New Roman"/>
                      <w:color w:val="auto"/>
                      <w:sz w:val="18"/>
                      <w:szCs w:val="18"/>
                      <w:highlight w:val="none"/>
                      <w:lang w:val="en-US" w:eastAsia="zh-CN"/>
                    </w:rPr>
                    <w:t>大门</w:t>
                  </w:r>
                  <w:r>
                    <w:rPr>
                      <w:rFonts w:hint="default" w:ascii="Times New Roman" w:hAnsi="Times New Roman" w:eastAsia="宋体" w:cs="Times New Roman"/>
                      <w:color w:val="auto"/>
                      <w:sz w:val="18"/>
                      <w:szCs w:val="18"/>
                      <w:highlight w:val="none"/>
                      <w:lang w:val="en-US" w:eastAsia="zh-CN"/>
                    </w:rPr>
                    <w:t>为中心坐标原点，正东向为X轴正方向，正北向为Y轴正方向</w:t>
                  </w:r>
                  <w:r>
                    <w:rPr>
                      <w:rFonts w:hint="eastAsia" w:ascii="Times New Roman" w:hAnsi="Times New Roman" w:eastAsia="宋体" w:cs="Times New Roman"/>
                      <w:color w:val="auto"/>
                      <w:sz w:val="18"/>
                      <w:szCs w:val="18"/>
                      <w:highlight w:val="none"/>
                      <w:lang w:val="en-US" w:eastAsia="zh-CN"/>
                    </w:rPr>
                    <w:t>。</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由上表预测结果可知，本项目</w:t>
            </w:r>
            <w:r>
              <w:rPr>
                <w:rFonts w:hint="default" w:ascii="Times New Roman" w:hAnsi="Times New Roman" w:eastAsia="宋体" w:cs="Times New Roman"/>
                <w:color w:val="auto"/>
                <w:kern w:val="0"/>
                <w:szCs w:val="21"/>
                <w:highlight w:val="none"/>
                <w:lang w:val="en-US" w:eastAsia="zh-CN"/>
              </w:rPr>
              <w:t>施工期</w:t>
            </w:r>
            <w:r>
              <w:rPr>
                <w:rFonts w:hint="eastAsia" w:cs="Times New Roman"/>
                <w:color w:val="auto"/>
                <w:kern w:val="0"/>
                <w:szCs w:val="21"/>
                <w:highlight w:val="none"/>
                <w:lang w:val="en-US" w:eastAsia="zh-CN"/>
              </w:rPr>
              <w:t>主要是</w:t>
            </w:r>
            <w:r>
              <w:rPr>
                <w:rFonts w:hint="default" w:ascii="Times New Roman" w:hAnsi="Times New Roman" w:eastAsia="宋体" w:cs="Times New Roman"/>
                <w:color w:val="auto"/>
                <w:kern w:val="0"/>
                <w:szCs w:val="21"/>
                <w:highlight w:val="none"/>
                <w:lang w:val="en-US" w:eastAsia="zh-CN"/>
              </w:rPr>
              <w:t>场地平整、</w:t>
            </w:r>
            <w:r>
              <w:rPr>
                <w:rFonts w:hint="eastAsia" w:cs="Times New Roman"/>
                <w:color w:val="auto"/>
                <w:kern w:val="0"/>
                <w:szCs w:val="21"/>
                <w:highlight w:val="none"/>
                <w:lang w:val="en-US" w:eastAsia="zh-CN"/>
              </w:rPr>
              <w:t>厂房搭建、设备安装，噪声较小，能够做到厂界达标排放。</w:t>
            </w:r>
            <w:r>
              <w:rPr>
                <w:rFonts w:hint="eastAsia" w:eastAsia="宋体" w:cs="Times New Roman"/>
                <w:color w:val="auto"/>
                <w:kern w:val="0"/>
                <w:szCs w:val="21"/>
                <w:highlight w:val="none"/>
                <w:lang w:val="en-US" w:eastAsia="zh-CN"/>
              </w:rPr>
              <w:t>项目区周围50m范围无住户等环境敏感目标，不会造成扰民影响</w:t>
            </w:r>
            <w:r>
              <w:rPr>
                <w:rFonts w:hint="eastAsia" w:ascii="Times New Roman" w:hAnsi="Times New Roman" w:eastAsia="宋体" w:cs="Times New Roman"/>
                <w:color w:val="auto"/>
                <w:kern w:val="0"/>
                <w:szCs w:val="21"/>
                <w:highlight w:val="none"/>
                <w:lang w:val="en-US" w:eastAsia="zh-CN"/>
              </w:rPr>
              <w:t>，因此不需对敏感点进行预测</w:t>
            </w:r>
            <w:r>
              <w:rPr>
                <w:rFonts w:hint="default" w:ascii="Times New Roman" w:hAnsi="Times New Roman" w:eastAsia="宋体" w:cs="Times New Roman"/>
                <w:color w:val="auto"/>
                <w:kern w:val="0"/>
                <w:szCs w:val="21"/>
                <w:highlight w:val="none"/>
                <w:lang w:val="en-US"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为减轻对周围环境的影响，</w:t>
            </w:r>
            <w:r>
              <w:rPr>
                <w:rFonts w:hint="default" w:ascii="Times New Roman" w:hAnsi="Times New Roman" w:cs="Times New Roman"/>
                <w:color w:val="auto"/>
                <w:kern w:val="0"/>
                <w:szCs w:val="21"/>
                <w:highlight w:val="none"/>
              </w:rPr>
              <w:t>建议建设单位在施工过程中需采取以下控制措施：</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①在满足工艺要求的前提下，首先选用先进的、噪声较低的环保型设备，严格按操作规程使用各类机械</w:t>
            </w:r>
            <w:r>
              <w:rPr>
                <w:rFonts w:hint="default" w:ascii="Times New Roman" w:hAnsi="Times New Roman" w:cs="Times New Roman"/>
                <w:color w:val="auto"/>
                <w:szCs w:val="21"/>
              </w:rPr>
              <w:t>，并及时维修保养</w:t>
            </w:r>
            <w:r>
              <w:rPr>
                <w:rFonts w:hint="default" w:ascii="Times New Roman" w:hAnsi="Times New Roman" w:cs="Times New Roman"/>
                <w:color w:val="auto"/>
                <w:kern w:val="0"/>
                <w:szCs w:val="21"/>
              </w:rPr>
              <w:t>，使机器设备处于良好的运行状态。</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②加强施工管理和施工组织，合理安排施工时间，尽量缩短施工期；尽可能避免大量高噪声设备同时施工。合理布局施工场地，噪声较大的设备尽量布置在地块中部，降低对周围环境的影响。</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③坚持文明施工，对施工器具应该轻拿轻放，严禁抛掷，降低人为噪声。</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④运输车辆进入施工现场应减速行驶、并禁止鸣笛。</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通过严格的施工管理和落实以上控制措施后，项目施工场界噪声能够满足《建筑施工场界环境噪声排放限值》（GB12523-2011）的相关要求。评价认为，项目施工活动不会对区域声环境质量造成污染性影响。</w:t>
            </w:r>
          </w:p>
          <w:p>
            <w:pPr>
              <w:numPr>
                <w:ilvl w:val="0"/>
                <w:numId w:val="18"/>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zh-CN"/>
              </w:rPr>
              <w:t>固体废物</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施工期产生的固体废物主要有建筑垃圾和废弃金属</w:t>
            </w:r>
            <w:r>
              <w:rPr>
                <w:rFonts w:hint="eastAsia" w:cs="Times New Roman"/>
                <w:color w:val="auto"/>
                <w:szCs w:val="21"/>
                <w:lang w:val="en-US" w:eastAsia="zh-CN"/>
              </w:rPr>
              <w:t>等</w:t>
            </w:r>
            <w:r>
              <w:rPr>
                <w:rFonts w:hint="default" w:ascii="Times New Roman" w:hAnsi="Times New Roman" w:cs="Times New Roman"/>
                <w:color w:val="auto"/>
                <w:szCs w:val="21"/>
                <w:lang w:val="zh-CN"/>
              </w:rPr>
              <w:t>。</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rPr>
              <w:t>①</w:t>
            </w:r>
            <w:r>
              <w:rPr>
                <w:rFonts w:hint="default" w:ascii="Times New Roman" w:hAnsi="Times New Roman" w:cs="Times New Roman"/>
                <w:color w:val="auto"/>
                <w:szCs w:val="21"/>
                <w:lang w:val="zh-CN"/>
              </w:rPr>
              <w:t>建筑垃圾主要包括废</w:t>
            </w:r>
            <w:r>
              <w:rPr>
                <w:rFonts w:hint="eastAsia" w:cs="Times New Roman"/>
                <w:color w:val="auto"/>
                <w:szCs w:val="21"/>
                <w:lang w:val="en-US" w:eastAsia="zh-CN"/>
              </w:rPr>
              <w:t>建筑材料、</w:t>
            </w:r>
            <w:r>
              <w:rPr>
                <w:rFonts w:hint="default" w:ascii="Times New Roman" w:hAnsi="Times New Roman" w:cs="Times New Roman"/>
                <w:color w:val="auto"/>
                <w:szCs w:val="21"/>
                <w:lang w:val="zh-CN"/>
              </w:rPr>
              <w:t>废金属等，分别收集堆放于指定地点。</w:t>
            </w:r>
            <w:r>
              <w:rPr>
                <w:rFonts w:hint="default" w:ascii="Times New Roman" w:hAnsi="Times New Roman" w:cs="Times New Roman"/>
                <w:color w:val="auto"/>
                <w:szCs w:val="21"/>
                <w:lang w:val="zh-CN" w:eastAsia="zh-CN"/>
              </w:rPr>
              <w:t>对厂房</w:t>
            </w:r>
            <w:r>
              <w:rPr>
                <w:rFonts w:hint="eastAsia" w:cs="Times New Roman"/>
                <w:color w:val="auto"/>
                <w:szCs w:val="21"/>
                <w:lang w:val="en-US" w:eastAsia="zh-CN"/>
              </w:rPr>
              <w:t>建设</w:t>
            </w:r>
            <w:r>
              <w:rPr>
                <w:rFonts w:hint="default" w:ascii="Times New Roman" w:hAnsi="Times New Roman" w:cs="Times New Roman"/>
                <w:color w:val="auto"/>
                <w:szCs w:val="21"/>
                <w:lang w:val="zh-CN" w:eastAsia="zh-CN"/>
              </w:rPr>
              <w:t>等</w:t>
            </w:r>
            <w:r>
              <w:rPr>
                <w:rFonts w:hint="default" w:ascii="Times New Roman" w:hAnsi="Times New Roman" w:cs="Times New Roman"/>
                <w:color w:val="auto"/>
                <w:szCs w:val="21"/>
                <w:lang w:val="zh-CN"/>
              </w:rPr>
              <w:t>产生的可以回收利用的（如废</w:t>
            </w:r>
            <w:r>
              <w:rPr>
                <w:rFonts w:hint="eastAsia" w:cs="Times New Roman"/>
                <w:color w:val="auto"/>
                <w:szCs w:val="21"/>
                <w:lang w:val="en-US" w:eastAsia="zh-CN"/>
              </w:rPr>
              <w:t>金属</w:t>
            </w:r>
            <w:r>
              <w:rPr>
                <w:rFonts w:hint="default" w:ascii="Times New Roman" w:hAnsi="Times New Roman" w:cs="Times New Roman"/>
                <w:color w:val="auto"/>
                <w:szCs w:val="21"/>
                <w:lang w:val="zh-CN"/>
              </w:rPr>
              <w:t>、包装材料等）部分建筑垃圾应尽量集中收集，送到废品回收站回收利用。</w:t>
            </w:r>
            <w:r>
              <w:rPr>
                <w:rFonts w:hint="eastAsia" w:cs="Times New Roman"/>
                <w:color w:val="auto"/>
                <w:szCs w:val="21"/>
                <w:lang w:val="en-US" w:eastAsia="zh-CN"/>
              </w:rPr>
              <w:t>场地平整产生的</w:t>
            </w:r>
            <w:r>
              <w:rPr>
                <w:rFonts w:hint="default" w:ascii="Times New Roman" w:hAnsi="Times New Roman" w:cs="Times New Roman"/>
                <w:color w:val="auto"/>
                <w:szCs w:val="21"/>
                <w:lang w:val="zh-CN"/>
              </w:rPr>
              <w:t>少量</w:t>
            </w:r>
            <w:r>
              <w:rPr>
                <w:rFonts w:hint="default" w:ascii="Times New Roman" w:hAnsi="Times New Roman" w:cs="Times New Roman"/>
                <w:color w:val="auto"/>
                <w:szCs w:val="21"/>
                <w:lang w:val="zh-CN" w:eastAsia="zh-CN"/>
              </w:rPr>
              <w:t>不能回收利用</w:t>
            </w:r>
            <w:r>
              <w:rPr>
                <w:rFonts w:hint="default" w:ascii="Times New Roman" w:hAnsi="Times New Roman" w:cs="Times New Roman"/>
                <w:color w:val="auto"/>
                <w:szCs w:val="21"/>
                <w:lang w:val="zh-CN"/>
              </w:rPr>
              <w:t>的建筑垃圾，</w:t>
            </w:r>
            <w:r>
              <w:rPr>
                <w:rFonts w:hint="default" w:ascii="Times New Roman" w:hAnsi="Times New Roman" w:cs="Times New Roman"/>
                <w:color w:val="auto"/>
                <w:szCs w:val="21"/>
              </w:rPr>
              <w:t>及时</w:t>
            </w:r>
            <w:r>
              <w:rPr>
                <w:rFonts w:hint="default" w:ascii="Times New Roman" w:hAnsi="Times New Roman" w:cs="Times New Roman"/>
                <w:color w:val="auto"/>
                <w:szCs w:val="21"/>
                <w:lang w:val="zh-CN"/>
              </w:rPr>
              <w:t>清运至当地建设管理部门指定的建筑垃圾堆埋场处理。</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rPr>
              <w:t>②</w:t>
            </w:r>
            <w:r>
              <w:rPr>
                <w:rFonts w:hint="default" w:ascii="Times New Roman" w:hAnsi="Times New Roman" w:cs="Times New Roman"/>
                <w:color w:val="auto"/>
                <w:szCs w:val="21"/>
                <w:lang w:val="zh-CN"/>
              </w:rPr>
              <w:t>严禁将建筑垃圾随意丢弃至附近</w:t>
            </w:r>
            <w:r>
              <w:rPr>
                <w:rFonts w:hint="eastAsia" w:cs="Times New Roman"/>
                <w:color w:val="auto"/>
                <w:szCs w:val="21"/>
                <w:lang w:val="en-US" w:eastAsia="zh-CN"/>
              </w:rPr>
              <w:t>绿地、生活垃圾收集池等</w:t>
            </w:r>
            <w:r>
              <w:rPr>
                <w:rFonts w:hint="default" w:ascii="Times New Roman" w:hAnsi="Times New Roman" w:cs="Times New Roman"/>
                <w:color w:val="auto"/>
                <w:szCs w:val="21"/>
                <w:lang w:val="zh-CN"/>
              </w:rPr>
              <w:t>。</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rPr>
              <w:t>③</w:t>
            </w:r>
            <w:r>
              <w:rPr>
                <w:rFonts w:hint="default" w:ascii="Times New Roman" w:hAnsi="Times New Roman" w:cs="Times New Roman"/>
                <w:color w:val="auto"/>
                <w:szCs w:val="21"/>
                <w:lang w:val="zh-CN"/>
              </w:rPr>
              <w:t>生活垃圾</w:t>
            </w:r>
            <w:r>
              <w:rPr>
                <w:rFonts w:hint="default" w:ascii="Times New Roman" w:hAnsi="Times New Roman" w:cs="Times New Roman"/>
                <w:color w:val="auto"/>
                <w:szCs w:val="21"/>
              </w:rPr>
              <w:t>在办生活区设垃圾桶收集，定期清运至场镇垃圾收集点，由环卫部门负责收集处理，</w:t>
            </w:r>
            <w:r>
              <w:rPr>
                <w:rFonts w:hint="default" w:ascii="Times New Roman" w:hAnsi="Times New Roman" w:cs="Times New Roman"/>
                <w:color w:val="auto"/>
                <w:szCs w:val="21"/>
                <w:lang w:val="zh-CN"/>
              </w:rPr>
              <w:t>严禁乱堆乱扔。</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0" w:leftChars="0" w:right="0" w:rightChars="0" w:firstLine="420" w:firstLineChars="2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采取上述措施后，项目施工期的固体废物不会对环境产生不利影响</w:t>
            </w:r>
            <w:r>
              <w:rPr>
                <w:rFonts w:hint="default" w:ascii="Times New Roman" w:hAnsi="Times New Roman" w:cs="Times New Roman"/>
                <w:color w:val="auto"/>
                <w:kern w:val="0"/>
                <w:szCs w:val="21"/>
                <w:lang w:eastAsia="zh-CN"/>
              </w:rPr>
              <w:t>。</w:t>
            </w:r>
          </w:p>
          <w:p>
            <w:pPr>
              <w:numPr>
                <w:ilvl w:val="0"/>
                <w:numId w:val="18"/>
              </w:numPr>
              <w:autoSpaceDE w:val="0"/>
              <w:autoSpaceDN w:val="0"/>
              <w:adjustRightInd w:val="0"/>
              <w:snapToGrid w:val="0"/>
              <w:spacing w:line="400" w:lineRule="exact"/>
              <w:ind w:right="-31" w:rightChars="-15"/>
              <w:rPr>
                <w:rFonts w:hint="default" w:ascii="Times New Roman" w:hAnsi="Times New Roman" w:eastAsia="黑体" w:cs="Times New Roman"/>
                <w:bCs/>
                <w:color w:val="auto"/>
                <w:sz w:val="22"/>
                <w:szCs w:val="22"/>
              </w:rPr>
            </w:pPr>
            <w:r>
              <w:rPr>
                <w:rFonts w:hint="default" w:ascii="Times New Roman" w:hAnsi="Times New Roman" w:eastAsia="黑体" w:cs="Times New Roman"/>
                <w:color w:val="auto"/>
                <w:kern w:val="0"/>
                <w:szCs w:val="21"/>
                <w:lang w:val="zh-CN"/>
              </w:rPr>
              <w:t>生态环境保护措施</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eastAsia" w:cs="Times New Roman"/>
                <w:color w:val="auto"/>
                <w:kern w:val="0"/>
                <w:szCs w:val="21"/>
                <w:lang w:val="en-US" w:eastAsia="zh-CN"/>
              </w:rPr>
              <w:t>在君璜公司内</w:t>
            </w:r>
            <w:r>
              <w:rPr>
                <w:rFonts w:hint="default" w:ascii="Times New Roman" w:hAnsi="Times New Roman" w:cs="Times New Roman"/>
                <w:color w:val="auto"/>
                <w:kern w:val="0"/>
                <w:szCs w:val="21"/>
                <w:lang w:val="en-US" w:eastAsia="zh-CN"/>
              </w:rPr>
              <w:t>建设，不新增占地，土地性质为工业用地</w:t>
            </w:r>
            <w:r>
              <w:rPr>
                <w:rFonts w:hint="default" w:ascii="Times New Roman" w:hAnsi="Times New Roman" w:cs="Times New Roman"/>
                <w:color w:val="auto"/>
                <w:kern w:val="0"/>
                <w:szCs w:val="21"/>
              </w:rPr>
              <w:t>，不会对周围植被造成破坏。</w:t>
            </w:r>
            <w:r>
              <w:rPr>
                <w:rFonts w:hint="default" w:ascii="Times New Roman" w:hAnsi="Times New Roman" w:cs="Times New Roman"/>
                <w:color w:val="auto"/>
                <w:kern w:val="0"/>
                <w:szCs w:val="21"/>
                <w:lang w:val="en-US" w:eastAsia="zh-CN"/>
              </w:rPr>
              <w:t>建设单位</w:t>
            </w:r>
            <w:r>
              <w:rPr>
                <w:rFonts w:hint="default" w:ascii="Times New Roman" w:hAnsi="Times New Roman" w:cs="Times New Roman"/>
                <w:color w:val="auto"/>
                <w:kern w:val="0"/>
                <w:szCs w:val="21"/>
              </w:rPr>
              <w:t>应合理安排施工期，施工结束后，及时对场地进行硬化，防止雨水冲刷增加水土流失量。</w:t>
            </w:r>
          </w:p>
          <w:p>
            <w:pPr>
              <w:numPr>
                <w:ilvl w:val="0"/>
                <w:numId w:val="18"/>
              </w:numPr>
              <w:autoSpaceDE w:val="0"/>
              <w:autoSpaceDN w:val="0"/>
              <w:adjustRightInd w:val="0"/>
              <w:snapToGrid w:val="0"/>
              <w:spacing w:line="400" w:lineRule="exact"/>
              <w:ind w:right="-31" w:rightChars="-15"/>
              <w:rPr>
                <w:rFonts w:hint="default" w:ascii="Times New Roman" w:hAnsi="Times New Roman" w:eastAsia="黑体" w:cs="Times New Roman"/>
                <w:bCs/>
                <w:color w:val="auto"/>
                <w:sz w:val="22"/>
                <w:szCs w:val="22"/>
                <w:highlight w:val="none"/>
                <w:lang w:val="en-US" w:eastAsia="zh-CN"/>
              </w:rPr>
            </w:pPr>
            <w:r>
              <w:rPr>
                <w:rFonts w:hint="default" w:ascii="Times New Roman" w:hAnsi="Times New Roman" w:eastAsia="黑体" w:cs="Times New Roman"/>
                <w:bCs/>
                <w:color w:val="auto"/>
                <w:sz w:val="22"/>
                <w:szCs w:val="22"/>
                <w:highlight w:val="none"/>
                <w:lang w:val="en-US" w:eastAsia="zh-CN"/>
              </w:rPr>
              <w:t>其他</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①</w:t>
            </w:r>
            <w:r>
              <w:rPr>
                <w:rFonts w:hint="default" w:ascii="Times New Roman" w:hAnsi="Times New Roman" w:cs="Times New Roman"/>
                <w:color w:val="auto"/>
                <w:kern w:val="0"/>
                <w:szCs w:val="21"/>
                <w:highlight w:val="none"/>
                <w:lang w:val="en-US" w:eastAsia="zh-CN"/>
              </w:rPr>
              <w:t>对储存车间建设成一个封闭的储存车间，地面按功能区要求进行相应的防渗处理。</w:t>
            </w:r>
          </w:p>
          <w:p>
            <w:pPr>
              <w:adjustRightInd w:val="0"/>
              <w:snapToGrid w:val="0"/>
              <w:spacing w:line="400" w:lineRule="exact"/>
              <w:ind w:left="-53" w:leftChars="-25" w:right="-53" w:rightChars="-25" w:firstLine="420" w:firstLineChars="200"/>
              <w:jc w:val="left"/>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②</w:t>
            </w:r>
            <w:r>
              <w:rPr>
                <w:rFonts w:hint="default" w:ascii="Times New Roman" w:hAnsi="Times New Roman" w:eastAsia="宋体" w:cs="Times New Roman"/>
                <w:color w:val="auto"/>
                <w:kern w:val="0"/>
                <w:szCs w:val="21"/>
                <w:highlight w:val="none"/>
                <w:lang w:val="en-US" w:eastAsia="zh-CN"/>
              </w:rPr>
              <w:t>加强施工管理，严把质量关，选用优质的建筑材料；施工过程做好各环节的防渗衔接，尤其是接头处应</w:t>
            </w:r>
            <w:r>
              <w:rPr>
                <w:rFonts w:hint="default" w:ascii="Times New Roman" w:hAnsi="Times New Roman" w:cs="Times New Roman"/>
                <w:color w:val="auto"/>
                <w:kern w:val="0"/>
                <w:szCs w:val="21"/>
                <w:highlight w:val="none"/>
                <w:lang w:val="en-US" w:eastAsia="zh-CN"/>
              </w:rPr>
              <w:t>增大</w:t>
            </w:r>
            <w:r>
              <w:rPr>
                <w:rFonts w:hint="default" w:ascii="Times New Roman" w:hAnsi="Times New Roman" w:eastAsia="宋体" w:cs="Times New Roman"/>
                <w:color w:val="auto"/>
                <w:kern w:val="0"/>
                <w:szCs w:val="21"/>
                <w:highlight w:val="none"/>
                <w:lang w:val="en-US" w:eastAsia="zh-CN"/>
              </w:rPr>
              <w:t>结合口的</w:t>
            </w:r>
            <w:r>
              <w:rPr>
                <w:rFonts w:hint="default" w:ascii="Times New Roman" w:hAnsi="Times New Roman" w:cs="Times New Roman"/>
                <w:color w:val="auto"/>
                <w:kern w:val="0"/>
                <w:szCs w:val="21"/>
                <w:highlight w:val="none"/>
                <w:lang w:val="en-US" w:eastAsia="zh-CN"/>
              </w:rPr>
              <w:t>重合</w:t>
            </w:r>
            <w:r>
              <w:rPr>
                <w:rFonts w:hint="default" w:ascii="Times New Roman" w:hAnsi="Times New Roman" w:eastAsia="宋体" w:cs="Times New Roman"/>
                <w:color w:val="auto"/>
                <w:kern w:val="0"/>
                <w:szCs w:val="21"/>
                <w:highlight w:val="none"/>
                <w:lang w:val="en-US" w:eastAsia="zh-CN"/>
              </w:rPr>
              <w:t>密封</w:t>
            </w:r>
            <w:r>
              <w:rPr>
                <w:rFonts w:hint="default" w:ascii="Times New Roman" w:hAnsi="Times New Roman" w:cs="Times New Roman"/>
                <w:color w:val="auto"/>
                <w:kern w:val="0"/>
                <w:szCs w:val="21"/>
                <w:highlight w:val="none"/>
                <w:lang w:val="en-US" w:eastAsia="zh-CN"/>
              </w:rPr>
              <w:t>，使地面墙面形成一个整体的防渗层</w:t>
            </w:r>
            <w:r>
              <w:rPr>
                <w:rFonts w:hint="default" w:ascii="Times New Roman" w:hAnsi="Times New Roman" w:eastAsia="宋体" w:cs="Times New Roman"/>
                <w:color w:val="auto"/>
                <w:kern w:val="0"/>
                <w:szCs w:val="21"/>
                <w:highlight w:val="none"/>
                <w:lang w:val="en-US" w:eastAsia="zh-CN"/>
              </w:rPr>
              <w:t>。</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③地面采用“</w:t>
            </w:r>
            <w:r>
              <w:rPr>
                <w:rFonts w:hint="eastAsia" w:cs="Times New Roman"/>
                <w:color w:val="auto"/>
                <w:kern w:val="0"/>
                <w:szCs w:val="21"/>
                <w:highlight w:val="none"/>
                <w:lang w:val="en-US" w:eastAsia="zh-CN"/>
              </w:rPr>
              <w:t>20cm混凝土硬化+5mm防渗砂浆+2mm高密度聚乙烯地坪漆</w:t>
            </w:r>
            <w:r>
              <w:rPr>
                <w:rFonts w:hint="default" w:ascii="Times New Roman" w:hAnsi="Times New Roman" w:cs="Times New Roman"/>
                <w:color w:val="auto"/>
                <w:kern w:val="0"/>
                <w:szCs w:val="21"/>
                <w:highlight w:val="none"/>
                <w:lang w:val="en-US" w:eastAsia="zh-CN"/>
              </w:rPr>
              <w:t>”多层防渗，由下至上依次施工，每层防渗层均选择合格、环保的材料。</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④严把施工质量，对重点防渗区的防渗层施工</w:t>
            </w:r>
            <w:r>
              <w:rPr>
                <w:rFonts w:hint="eastAsia" w:cs="Times New Roman"/>
                <w:color w:val="auto"/>
                <w:kern w:val="0"/>
                <w:szCs w:val="21"/>
                <w:highlight w:val="none"/>
                <w:lang w:val="en-US" w:eastAsia="zh-CN"/>
              </w:rPr>
              <w:t>，</w:t>
            </w:r>
            <w:r>
              <w:rPr>
                <w:rFonts w:hint="default" w:ascii="Times New Roman" w:hAnsi="Times New Roman" w:cs="Times New Roman"/>
                <w:color w:val="auto"/>
                <w:kern w:val="0"/>
                <w:szCs w:val="21"/>
                <w:highlight w:val="none"/>
                <w:lang w:val="en-US" w:eastAsia="zh-CN"/>
              </w:rPr>
              <w:t>做到完工一层验收一层，确保每层都连接成一个整体</w:t>
            </w:r>
            <w:r>
              <w:rPr>
                <w:rFonts w:hint="eastAsia" w:cs="Times New Roman"/>
                <w:color w:val="auto"/>
                <w:kern w:val="0"/>
                <w:szCs w:val="21"/>
                <w:highlight w:val="none"/>
                <w:lang w:val="en-US" w:eastAsia="zh-CN"/>
              </w:rPr>
              <w:t>，</w:t>
            </w:r>
            <w:r>
              <w:rPr>
                <w:rFonts w:hint="default" w:ascii="Times New Roman" w:hAnsi="Times New Roman" w:cs="Times New Roman"/>
                <w:color w:val="auto"/>
                <w:kern w:val="0"/>
                <w:szCs w:val="21"/>
                <w:highlight w:val="none"/>
                <w:lang w:val="en-US" w:eastAsia="zh-CN"/>
              </w:rPr>
              <w:t>且各层均无裂缝，以保证每一层的防渗效果。另外，对地面、裙角、围堰、事故池等均按此标准防渗。</w:t>
            </w:r>
          </w:p>
          <w:p>
            <w:pPr>
              <w:adjustRightInd w:val="0"/>
              <w:snapToGrid w:val="0"/>
              <w:spacing w:line="400" w:lineRule="exact"/>
              <w:ind w:left="-53" w:leftChars="-25" w:right="-53" w:rightChars="-25" w:firstLine="420" w:firstLineChars="200"/>
              <w:jc w:val="left"/>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⑤</w:t>
            </w:r>
            <w:r>
              <w:rPr>
                <w:rFonts w:hint="default" w:ascii="Times New Roman" w:hAnsi="Times New Roman" w:cs="Times New Roman"/>
                <w:color w:val="auto"/>
                <w:kern w:val="0"/>
                <w:szCs w:val="21"/>
                <w:highlight w:val="none"/>
                <w:lang w:val="en-US" w:eastAsia="zh-CN"/>
              </w:rPr>
              <w:t>施工期间，对</w:t>
            </w:r>
            <w:r>
              <w:rPr>
                <w:rFonts w:hint="default" w:ascii="Times New Roman" w:hAnsi="Times New Roman" w:eastAsia="宋体" w:cs="Times New Roman"/>
                <w:color w:val="auto"/>
                <w:kern w:val="0"/>
                <w:szCs w:val="21"/>
                <w:highlight w:val="none"/>
                <w:lang w:val="en-US" w:eastAsia="zh-CN"/>
              </w:rPr>
              <w:t>每个环节均留取影像资料，以备检查，尤其是防渗施工阶段的</w:t>
            </w:r>
            <w:r>
              <w:rPr>
                <w:rFonts w:hint="default" w:ascii="Times New Roman" w:hAnsi="Times New Roman" w:cs="Times New Roman"/>
                <w:color w:val="auto"/>
                <w:kern w:val="0"/>
                <w:szCs w:val="21"/>
                <w:highlight w:val="none"/>
                <w:lang w:val="en-US" w:eastAsia="zh-CN"/>
              </w:rPr>
              <w:t>施工，每层防渗层施工时均留下施工的影像资料。</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采取以上措施后，项目施工期对环境影响很小，其环境影响可以接受。</w:t>
            </w:r>
          </w:p>
          <w:p>
            <w:pPr>
              <w:adjustRightInd w:val="0"/>
              <w:snapToGrid w:val="0"/>
              <w:spacing w:line="400" w:lineRule="exact"/>
              <w:ind w:left="-53" w:leftChars="-25" w:right="-53" w:rightChars="-25" w:firstLine="420" w:firstLineChars="200"/>
              <w:jc w:val="left"/>
              <w:rPr>
                <w:rFonts w:hint="default" w:ascii="Times New Roman" w:hAnsi="Times New Roman" w:eastAsia="宋体" w:cs="Times New Roman"/>
                <w:color w:val="0000FF"/>
                <w:szCs w:val="21"/>
                <w:lang w:val="en-US" w:eastAsia="zh-CN"/>
              </w:rPr>
            </w:pPr>
            <w:r>
              <w:rPr>
                <w:rFonts w:hint="default" w:ascii="Times New Roman" w:hAnsi="Times New Roman" w:cs="Times New Roman"/>
                <w:color w:val="0000FF"/>
                <w:szCs w:val="21"/>
                <w:highlight w:val="none"/>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623" w:type="dxa"/>
            <w:noWrap w:val="0"/>
            <w:tcMar>
              <w:left w:w="28" w:type="dxa"/>
              <w:right w:w="28" w:type="dxa"/>
            </w:tcMar>
            <w:vAlign w:val="center"/>
          </w:tcPr>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tc>
        <w:tc>
          <w:tcPr>
            <w:tcW w:w="8285" w:type="dxa"/>
            <w:noWrap w:val="0"/>
            <w:vAlign w:val="center"/>
          </w:tcPr>
          <w:p>
            <w:pPr>
              <w:numPr>
                <w:ilvl w:val="0"/>
                <w:numId w:val="19"/>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废气</w:t>
            </w:r>
          </w:p>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（1）废气产生情况</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正常贮存时由于储存罐大小呼吸会产生一定废气（呼吸废气），油料装卸时，使用油泵泵送过程也会产生一定的废气（装卸废气），均为挥发的</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，属于VOCs（以非甲烷总烃计）。另外，运输车辆会产生少量的燃油废气等。</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①呼吸废气</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项目储油罐采用密封固定顶罐，储存过程中损失主要为“大呼吸”及“小呼吸”。</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大呼吸</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装卸废气</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：当储油罐进、出油时，由于输转油料致使储油罐排除油蒸气和吸入空气所导致的损失叫“大呼吸”损失</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即为装卸废气</w:t>
            </w:r>
            <w:r>
              <w:rPr>
                <w:rFonts w:hint="default" w:ascii="Times New Roman" w:hAnsi="Times New Roman" w:cs="Times New Roman"/>
                <w:color w:val="auto"/>
                <w:szCs w:val="21"/>
              </w:rPr>
              <w:t>。项目配置</w:t>
            </w:r>
            <w:r>
              <w:rPr>
                <w:rFonts w:hint="eastAsia" w:cs="Times New Roman"/>
                <w:color w:val="auto"/>
                <w:szCs w:val="21"/>
                <w:lang w:val="en-US" w:eastAsia="zh-CN"/>
              </w:rPr>
              <w:t>1</w:t>
            </w:r>
            <w:r>
              <w:rPr>
                <w:rFonts w:hint="default" w:ascii="Times New Roman" w:hAnsi="Times New Roman" w:cs="Times New Roman"/>
                <w:color w:val="auto"/>
                <w:szCs w:val="21"/>
              </w:rPr>
              <w:t>辆专用运输车收集</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，在装卸车的过程中均是通过密封的管道输送，出油口产生的非甲烷总烃量极少。</w:t>
            </w:r>
            <w:r>
              <w:rPr>
                <w:rFonts w:hint="eastAsia" w:cs="Times New Roman"/>
                <w:color w:val="auto"/>
                <w:szCs w:val="21"/>
                <w:lang w:val="en-US" w:eastAsia="zh-CN"/>
              </w:rPr>
              <w:t>参照</w:t>
            </w:r>
            <w:r>
              <w:rPr>
                <w:rFonts w:hint="default" w:ascii="Times New Roman" w:hAnsi="Times New Roman" w:cs="Times New Roman"/>
                <w:color w:val="auto"/>
                <w:szCs w:val="21"/>
              </w:rPr>
              <w:t>《散装液态石油产品损耗标准》（GB11085-89）</w:t>
            </w:r>
            <w:r>
              <w:rPr>
                <w:rFonts w:hint="eastAsia" w:cs="Times New Roman"/>
                <w:color w:val="auto"/>
                <w:szCs w:val="21"/>
                <w:lang w:eastAsia="zh-CN"/>
              </w:rPr>
              <w:t>，</w:t>
            </w:r>
            <w:r>
              <w:rPr>
                <w:rFonts w:hint="default" w:ascii="Times New Roman" w:hAnsi="Times New Roman" w:cs="Times New Roman"/>
                <w:color w:val="auto"/>
                <w:szCs w:val="21"/>
              </w:rPr>
              <w:t>在装卸油时，油料损耗（储油罐大呼吸排出油蒸气）系数为0.01%。按照年收集</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2</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00吨计算，得出项目油气产生量为0.2t/a，为无组织排放。</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小呼吸：静止状态下，由于储罐内温度、压力变化，引起油面蒸汽逸出罐外，造成的损耗称为“小呼吸”损失。</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根据《散装液态石油产品损耗标准》（GB11085-89），卧式储油罐的储存损耗率（小呼吸）可忽略不计。大呼吸为装卸时产生，纳入装卸废气计算。</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②汽车尾气</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eastAsia" w:cs="Times New Roman"/>
                <w:color w:val="auto"/>
                <w:szCs w:val="21"/>
                <w:lang w:eastAsia="zh-CN"/>
              </w:rPr>
              <w:t>涉及</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的厂内运输，因此场区会有部分危废运输车辆进出，会产生少量汽车尾气。由于周边条件较为开阔且运输量不大，汽车尾气对环境影响很小。</w:t>
            </w:r>
          </w:p>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（2）废气排放情况</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①呼吸废气</w:t>
            </w:r>
          </w:p>
          <w:p>
            <w:pPr>
              <w:adjustRightInd w:val="0"/>
              <w:snapToGrid w:val="0"/>
              <w:spacing w:line="400" w:lineRule="exact"/>
              <w:ind w:left="-53" w:leftChars="-25" w:right="-53" w:rightChars="-25"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项目储存罐装卸</w:t>
            </w:r>
            <w:r>
              <w:rPr>
                <w:rFonts w:hint="default" w:ascii="Times New Roman" w:hAnsi="Times New Roman" w:cs="Times New Roman"/>
                <w:color w:val="auto"/>
                <w:szCs w:val="21"/>
                <w:lang w:val="en-US" w:eastAsia="zh-CN"/>
              </w:rPr>
              <w:t>过程中</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大</w:t>
            </w:r>
            <w:r>
              <w:rPr>
                <w:rFonts w:hint="default" w:ascii="Times New Roman" w:hAnsi="Times New Roman" w:cs="Times New Roman"/>
                <w:color w:val="auto"/>
                <w:szCs w:val="21"/>
              </w:rPr>
              <w:t>呼吸”废气VOC</w:t>
            </w:r>
            <w:r>
              <w:rPr>
                <w:rFonts w:hint="default" w:ascii="Times New Roman" w:hAnsi="Times New Roman" w:cs="Times New Roman"/>
                <w:color w:val="auto"/>
                <w:szCs w:val="21"/>
                <w:vertAlign w:val="subscript"/>
              </w:rPr>
              <w:t>S</w:t>
            </w:r>
            <w:r>
              <w:rPr>
                <w:rFonts w:hint="default" w:ascii="Times New Roman" w:hAnsi="Times New Roman" w:cs="Times New Roman"/>
                <w:color w:val="auto"/>
                <w:szCs w:val="21"/>
              </w:rPr>
              <w:t>（以非甲烷总烃计）总量为0.2t/a，产生速率为0.02</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kg/h。项目VOC</w:t>
            </w:r>
            <w:r>
              <w:rPr>
                <w:rFonts w:hint="default" w:ascii="Times New Roman" w:hAnsi="Times New Roman" w:cs="Times New Roman"/>
                <w:color w:val="auto"/>
                <w:szCs w:val="21"/>
                <w:vertAlign w:val="subscript"/>
              </w:rPr>
              <w:t>S</w:t>
            </w:r>
            <w:r>
              <w:rPr>
                <w:rFonts w:hint="default" w:ascii="Times New Roman" w:hAnsi="Times New Roman" w:cs="Times New Roman"/>
                <w:color w:val="auto"/>
                <w:szCs w:val="21"/>
              </w:rPr>
              <w:t>产生量及速率很小，通过</w:t>
            </w:r>
            <w:r>
              <w:rPr>
                <w:rFonts w:hint="default" w:ascii="Times New Roman" w:hAnsi="Times New Roman" w:cs="Times New Roman"/>
                <w:color w:val="auto"/>
                <w:szCs w:val="21"/>
                <w:lang w:val="en-US" w:eastAsia="zh-CN"/>
              </w:rPr>
              <w:t>车间封闭，</w:t>
            </w:r>
            <w:r>
              <w:rPr>
                <w:rFonts w:hint="default" w:ascii="Times New Roman" w:hAnsi="Times New Roman" w:cs="Times New Roman"/>
                <w:color w:val="auto"/>
                <w:szCs w:val="21"/>
              </w:rPr>
              <w:t>加强通风，规范操作，废气无组织排放厂界浓度可低于4.0mg/m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，满足《挥发性有机物无组织排放控制标准》（GB 37822- 2019）</w:t>
            </w:r>
            <w:r>
              <w:rPr>
                <w:rFonts w:hint="default" w:ascii="Times New Roman" w:hAnsi="Times New Roman" w:cs="Times New Roman"/>
                <w:color w:val="auto"/>
                <w:szCs w:val="21"/>
                <w:lang w:val="en-US" w:eastAsia="zh-CN"/>
              </w:rPr>
              <w:t>附录A</w:t>
            </w:r>
            <w:r>
              <w:rPr>
                <w:rFonts w:hint="default" w:ascii="Times New Roman" w:hAnsi="Times New Roman" w:cs="Times New Roman"/>
                <w:color w:val="auto"/>
                <w:szCs w:val="21"/>
              </w:rPr>
              <w:t>中非甲烷总烃无组织排放浓度要求（</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autoSpaceDN/>
              <w:bidi w:val="0"/>
              <w:adjustRightInd w:val="0"/>
              <w:snapToGrid w:val="0"/>
              <w:spacing w:line="400" w:lineRule="exact"/>
              <w:ind w:left="-53" w:leftChars="-25" w:right="-53" w:rightChars="-25" w:firstLine="420" w:firstLineChars="200"/>
              <w:textAlignment w:val="auto"/>
              <w:rPr>
                <w:rFonts w:hint="eastAsia" w:cs="Times New Roman"/>
                <w:color w:val="auto"/>
                <w:szCs w:val="21"/>
                <w:lang w:val="en-US" w:eastAsia="zh-CN"/>
              </w:rPr>
            </w:pPr>
            <w:r>
              <w:rPr>
                <w:rFonts w:hint="default" w:ascii="Times New Roman" w:hAnsi="Times New Roman" w:cs="Times New Roman"/>
                <w:color w:val="auto"/>
                <w:szCs w:val="21"/>
              </w:rPr>
              <w:t>项目储存罐</w:t>
            </w:r>
            <w:r>
              <w:rPr>
                <w:rFonts w:hint="default" w:ascii="Times New Roman" w:hAnsi="Times New Roman" w:cs="Times New Roman"/>
                <w:color w:val="auto"/>
                <w:szCs w:val="21"/>
                <w:lang w:val="en-US" w:eastAsia="zh-CN"/>
              </w:rPr>
              <w:t>储存过程中</w:t>
            </w:r>
            <w:r>
              <w:rPr>
                <w:rFonts w:hint="default" w:ascii="Times New Roman" w:hAnsi="Times New Roman" w:cs="Times New Roman"/>
                <w:color w:val="auto"/>
                <w:szCs w:val="21"/>
              </w:rPr>
              <w:t>“小呼吸”废气VOC</w:t>
            </w:r>
            <w:r>
              <w:rPr>
                <w:rFonts w:hint="default" w:ascii="Times New Roman" w:hAnsi="Times New Roman" w:cs="Times New Roman"/>
                <w:color w:val="auto"/>
                <w:szCs w:val="21"/>
                <w:vertAlign w:val="subscript"/>
              </w:rPr>
              <w:t>S</w:t>
            </w:r>
            <w:r>
              <w:rPr>
                <w:rFonts w:hint="default" w:ascii="Times New Roman" w:hAnsi="Times New Roman" w:cs="Times New Roman"/>
                <w:color w:val="auto"/>
                <w:szCs w:val="21"/>
              </w:rPr>
              <w:t>（以非甲烷总烃计）量极小，通过加强通风，废气无组织排放厂界浓度很低，满足《挥发性有机物无组织排放控制标准》（GB 37822- 2019）中非甲烷总烃无组织排放浓度要求（</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r>
              <w:rPr>
                <w:rFonts w:hint="eastAsia" w:cs="Times New Roman"/>
                <w:color w:val="auto"/>
                <w:szCs w:val="21"/>
                <w:lang w:val="en-US" w:eastAsia="zh-CN"/>
              </w:rPr>
              <w:t>根据公司现有工程的排污监测资料，现有工程废矿物油储存间正常运行期间，厂界、车间外的非甲非烷总烃无组织浓度均能够实现达标排放，厂界非甲非烷总烃浓度在0.54~0.65mg/m³之间，能够满足《大气污染物综合排放标准》（GB16297-1996）表2的限值要求（4.0mg/m³）；车间外非甲非烷总烃浓度在0.64~0.70mg/m³，能够满足《挥发性有机物无组织排放标准》（GB 37822-2019）附录A中特别排放限值要求（6.0mg/m³）。</w:t>
            </w:r>
          </w:p>
          <w:p>
            <w:pPr>
              <w:adjustRightInd w:val="0"/>
              <w:snapToGrid w:val="0"/>
              <w:spacing w:line="400" w:lineRule="exact"/>
              <w:ind w:left="-53" w:leftChars="-25" w:right="-53" w:rightChars="-25" w:firstLine="420" w:firstLineChars="200"/>
              <w:rPr>
                <w:rFonts w:hint="default" w:ascii="Times New Roman" w:hAnsi="Times New Roman" w:cs="Times New Roman"/>
                <w:color w:val="auto"/>
                <w:szCs w:val="21"/>
              </w:rPr>
            </w:pPr>
            <w:r>
              <w:rPr>
                <w:rFonts w:hint="eastAsia" w:cs="Times New Roman"/>
                <w:color w:val="auto"/>
                <w:szCs w:val="21"/>
                <w:lang w:val="en-US" w:eastAsia="zh-CN"/>
              </w:rPr>
              <w:tab/>
            </w:r>
            <w:r>
              <w:rPr>
                <w:rFonts w:hint="default" w:ascii="Times New Roman" w:hAnsi="Times New Roman" w:cs="Times New Roman"/>
                <w:color w:val="auto"/>
                <w:szCs w:val="21"/>
              </w:rPr>
              <w:t>②汽车尾气</w:t>
            </w:r>
          </w:p>
          <w:p>
            <w:pPr>
              <w:adjustRightInd w:val="0"/>
              <w:snapToGrid w:val="0"/>
              <w:spacing w:line="400" w:lineRule="exact"/>
              <w:ind w:left="-53" w:leftChars="-25" w:right="-53" w:rightChars="-25" w:firstLine="420" w:firstLineChars="200"/>
              <w:jc w:val="left"/>
              <w:rPr>
                <w:rFonts w:hint="default" w:ascii="Times New Roman" w:hAnsi="Times New Roman" w:cs="Times New Roman"/>
                <w:b/>
                <w:bCs/>
                <w:color w:val="auto"/>
                <w:szCs w:val="21"/>
                <w:lang w:val="en-US" w:eastAsia="zh-CN"/>
              </w:rPr>
            </w:pPr>
            <w:r>
              <w:rPr>
                <w:rFonts w:hint="default" w:ascii="Times New Roman" w:hAnsi="Times New Roman" w:cs="Times New Roman"/>
                <w:color w:val="auto"/>
                <w:szCs w:val="21"/>
              </w:rPr>
              <w:t>由于汽车进出项目区的时间短，且汽车数量很少，项目处于宽敞地带，少量尾气将随大气扩散，基本上不会影响该区域大气环境质量。</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42" w:leftChars="-20" w:right="-42" w:rightChars="-20" w:firstLine="422" w:firstLineChars="200"/>
              <w:jc w:val="both"/>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szCs w:val="21"/>
                <w:lang w:val="en-US" w:eastAsia="zh-CN"/>
              </w:rPr>
              <w:t>（3）</w:t>
            </w:r>
            <w:r>
              <w:rPr>
                <w:rFonts w:hint="default" w:ascii="Times New Roman" w:hAnsi="Times New Roman" w:cs="Times New Roman"/>
                <w:b/>
                <w:bCs/>
                <w:color w:val="auto"/>
                <w:kern w:val="0"/>
                <w:szCs w:val="21"/>
              </w:rPr>
              <w:t>废气排放情况</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废气产排污节点、污染物及污染治理设施信息表</w:t>
            </w:r>
          </w:p>
          <w:tbl>
            <w:tblPr>
              <w:tblStyle w:val="17"/>
              <w:tblW w:w="800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398"/>
              <w:gridCol w:w="1814"/>
              <w:gridCol w:w="899"/>
              <w:gridCol w:w="915"/>
              <w:gridCol w:w="945"/>
              <w:gridCol w:w="1067"/>
              <w:gridCol w:w="990"/>
              <w:gridCol w:w="97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74" w:hRule="atLeast"/>
                <w:jc w:val="center"/>
              </w:trPr>
              <w:tc>
                <w:tcPr>
                  <w:tcW w:w="398" w:type="dxa"/>
                  <w:vMerge w:val="restart"/>
                  <w:tcBorders>
                    <w:left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814" w:type="dxa"/>
                  <w:vMerge w:val="restart"/>
                  <w:tcBorders>
                    <w:left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生产线名称及编号</w:t>
                  </w:r>
                </w:p>
              </w:tc>
              <w:tc>
                <w:tcPr>
                  <w:tcW w:w="899" w:type="dxa"/>
                  <w:vMerge w:val="restart"/>
                  <w:tcBorders>
                    <w:left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主要生产单元</w:t>
                  </w:r>
                </w:p>
              </w:tc>
              <w:tc>
                <w:tcPr>
                  <w:tcW w:w="915" w:type="dxa"/>
                  <w:vMerge w:val="restart"/>
                  <w:tcBorders>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产污设施</w:t>
                  </w:r>
                </w:p>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编号</w:t>
                  </w:r>
                </w:p>
              </w:tc>
              <w:tc>
                <w:tcPr>
                  <w:tcW w:w="945" w:type="dxa"/>
                  <w:vMerge w:val="restart"/>
                  <w:tcBorders>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产污环节</w:t>
                  </w:r>
                </w:p>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067" w:type="dxa"/>
                  <w:vMerge w:val="restart"/>
                  <w:tcBorders>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污染物种类</w:t>
                  </w:r>
                </w:p>
              </w:tc>
              <w:tc>
                <w:tcPr>
                  <w:tcW w:w="990" w:type="dxa"/>
                  <w:vMerge w:val="restart"/>
                  <w:tcBorders>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排放形式</w:t>
                  </w:r>
                </w:p>
              </w:tc>
              <w:tc>
                <w:tcPr>
                  <w:tcW w:w="972" w:type="dxa"/>
                  <w:vMerge w:val="restart"/>
                  <w:tcBorders>
                    <w:lef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其它信息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74" w:hRule="atLeast"/>
                <w:jc w:val="center"/>
              </w:trPr>
              <w:tc>
                <w:tcPr>
                  <w:tcW w:w="398" w:type="dxa"/>
                  <w:vMerge w:val="continue"/>
                  <w:tcBorders>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1814" w:type="dxa"/>
                  <w:vMerge w:val="continue"/>
                  <w:tcBorders>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899" w:type="dxa"/>
                  <w:vMerge w:val="continue"/>
                  <w:tcBorders>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915" w:type="dxa"/>
                  <w:vMerge w:val="continue"/>
                  <w:tcBorders>
                    <w:top w:val="single" w:color="auto"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945" w:type="dxa"/>
                  <w:vMerge w:val="continue"/>
                  <w:tcBorders>
                    <w:top w:val="single" w:color="auto"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1067" w:type="dxa"/>
                  <w:vMerge w:val="continue"/>
                  <w:tcBorders>
                    <w:top w:val="single" w:color="auto"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990" w:type="dxa"/>
                  <w:vMerge w:val="continue"/>
                  <w:tcBorders>
                    <w:top w:val="single" w:color="auto"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972"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38" w:hRule="atLeast"/>
                <w:jc w:val="center"/>
              </w:trPr>
              <w:tc>
                <w:tcPr>
                  <w:tcW w:w="398"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81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废矿物油</w:t>
                  </w:r>
                  <w:r>
                    <w:rPr>
                      <w:rFonts w:hint="default" w:ascii="Times New Roman" w:hAnsi="Times New Roman" w:cs="Times New Roman"/>
                      <w:color w:val="auto"/>
                      <w:sz w:val="18"/>
                      <w:szCs w:val="18"/>
                    </w:rPr>
                    <w:t>储存SCX001</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储存间</w:t>
                  </w:r>
                </w:p>
              </w:tc>
              <w:tc>
                <w:tcPr>
                  <w:tcW w:w="915" w:type="dxa"/>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MF0001</w:t>
                  </w:r>
                </w:p>
              </w:tc>
              <w:tc>
                <w:tcPr>
                  <w:tcW w:w="945" w:type="dxa"/>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储存</w:t>
                  </w:r>
                </w:p>
              </w:tc>
              <w:tc>
                <w:tcPr>
                  <w:tcW w:w="1067" w:type="dxa"/>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非甲烷总烃</w:t>
                  </w:r>
                </w:p>
              </w:tc>
              <w:tc>
                <w:tcPr>
                  <w:tcW w:w="990" w:type="dxa"/>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972" w:type="dxa"/>
                  <w:tcBorders>
                    <w:top w:val="single" w:color="000000" w:sz="4" w:space="0"/>
                    <w:left w:val="single" w:color="000000" w:sz="4" w:space="0"/>
                    <w:bottom w:val="single" w:color="000000"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59" w:hRule="atLeast"/>
                <w:jc w:val="center"/>
              </w:trPr>
              <w:tc>
                <w:tcPr>
                  <w:tcW w:w="398" w:type="dxa"/>
                  <w:tcBorders>
                    <w:top w:val="single" w:color="000000" w:sz="4" w:space="0"/>
                    <w:left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2</w:t>
                  </w:r>
                </w:p>
              </w:tc>
              <w:tc>
                <w:tcPr>
                  <w:tcW w:w="1814" w:type="dxa"/>
                  <w:tcBorders>
                    <w:top w:val="single" w:color="000000" w:sz="4" w:space="0"/>
                    <w:left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废矿物油储存SCX001</w:t>
                  </w:r>
                </w:p>
              </w:tc>
              <w:tc>
                <w:tcPr>
                  <w:tcW w:w="899" w:type="dxa"/>
                  <w:tcBorders>
                    <w:top w:val="single" w:color="000000" w:sz="4" w:space="0"/>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装卸区</w:t>
                  </w:r>
                </w:p>
              </w:tc>
              <w:tc>
                <w:tcPr>
                  <w:tcW w:w="915" w:type="dxa"/>
                  <w:tcBorders>
                    <w:top w:val="single" w:color="000000" w:sz="4" w:space="0"/>
                    <w:left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MF0002</w:t>
                  </w:r>
                </w:p>
              </w:tc>
              <w:tc>
                <w:tcPr>
                  <w:tcW w:w="945" w:type="dxa"/>
                  <w:tcBorders>
                    <w:top w:val="single" w:color="000000" w:sz="4" w:space="0"/>
                    <w:left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装卸</w:t>
                  </w:r>
                </w:p>
              </w:tc>
              <w:tc>
                <w:tcPr>
                  <w:tcW w:w="1067" w:type="dxa"/>
                  <w:tcBorders>
                    <w:top w:val="single" w:color="000000" w:sz="4" w:space="0"/>
                    <w:left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非甲烷总烃</w:t>
                  </w:r>
                </w:p>
              </w:tc>
              <w:tc>
                <w:tcPr>
                  <w:tcW w:w="990" w:type="dxa"/>
                  <w:tcBorders>
                    <w:top w:val="single" w:color="000000" w:sz="4" w:space="0"/>
                    <w:left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无组织</w:t>
                  </w:r>
                </w:p>
              </w:tc>
              <w:tc>
                <w:tcPr>
                  <w:tcW w:w="972" w:type="dxa"/>
                  <w:tcBorders>
                    <w:top w:val="single" w:color="000000" w:sz="4" w:space="0"/>
                    <w:left w:val="single" w:color="000000" w:sz="4" w:space="0"/>
                  </w:tcBorders>
                  <w:noWrap w:val="0"/>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bl>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大气污染物无组织排放表</w:t>
            </w:r>
          </w:p>
          <w:tbl>
            <w:tblPr>
              <w:tblStyle w:val="17"/>
              <w:tblW w:w="8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6"/>
              <w:gridCol w:w="938"/>
              <w:gridCol w:w="488"/>
              <w:gridCol w:w="967"/>
              <w:gridCol w:w="799"/>
              <w:gridCol w:w="588"/>
              <w:gridCol w:w="2281"/>
              <w:gridCol w:w="1023"/>
              <w:gridCol w:w="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blHeader/>
                <w:jc w:val="center"/>
              </w:trPr>
              <w:tc>
                <w:tcPr>
                  <w:tcW w:w="416" w:type="dxa"/>
                  <w:vMerge w:val="restart"/>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938" w:type="dxa"/>
                  <w:vMerge w:val="restart"/>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生产设施编号/无组织排放编号</w:t>
                  </w:r>
                </w:p>
              </w:tc>
              <w:tc>
                <w:tcPr>
                  <w:tcW w:w="488" w:type="dxa"/>
                  <w:vMerge w:val="restart"/>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产污</w:t>
                  </w:r>
                </w:p>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环节</w:t>
                  </w:r>
                </w:p>
              </w:tc>
              <w:tc>
                <w:tcPr>
                  <w:tcW w:w="967" w:type="dxa"/>
                  <w:vMerge w:val="restart"/>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污染物种类</w:t>
                  </w:r>
                </w:p>
              </w:tc>
              <w:tc>
                <w:tcPr>
                  <w:tcW w:w="799" w:type="dxa"/>
                  <w:vMerge w:val="restart"/>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主要污染防治措施</w:t>
                  </w:r>
                </w:p>
              </w:tc>
              <w:tc>
                <w:tcPr>
                  <w:tcW w:w="58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排放量</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rPr>
                  </w:pPr>
                  <w:r>
                    <w:rPr>
                      <w:rFonts w:hint="default" w:ascii="Times New Roman" w:hAnsi="Times New Roman" w:cs="Times New Roman"/>
                      <w:b/>
                      <w:bCs/>
                      <w:color w:val="auto"/>
                      <w:sz w:val="18"/>
                      <w:szCs w:val="18"/>
                      <w:lang w:val="en-US" w:eastAsia="zh-CN"/>
                    </w:rPr>
                    <w:t>（t/a）</w:t>
                  </w:r>
                </w:p>
              </w:tc>
              <w:tc>
                <w:tcPr>
                  <w:tcW w:w="3304" w:type="dxa"/>
                  <w:gridSpan w:val="2"/>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国家或地方污染物排放标准</w:t>
                  </w:r>
                </w:p>
              </w:tc>
              <w:tc>
                <w:tcPr>
                  <w:tcW w:w="520" w:type="dxa"/>
                  <w:vMerge w:val="restart"/>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blHeader/>
                <w:jc w:val="center"/>
              </w:trPr>
              <w:tc>
                <w:tcPr>
                  <w:tcW w:w="416" w:type="dxa"/>
                  <w:vMerge w:val="continue"/>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938" w:type="dxa"/>
                  <w:vMerge w:val="continue"/>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488" w:type="dxa"/>
                  <w:vMerge w:val="continue"/>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967" w:type="dxa"/>
                  <w:vMerge w:val="continue"/>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799" w:type="dxa"/>
                  <w:vMerge w:val="continue"/>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588" w:type="dxa"/>
                  <w:vMerge w:val="continue"/>
                  <w:noWrap w:val="0"/>
                  <w:vAlign w:val="center"/>
                </w:tcPr>
                <w:p>
                  <w:pPr>
                    <w:adjustRightInd w:val="0"/>
                    <w:snapToGrid w:val="0"/>
                    <w:spacing w:line="280" w:lineRule="exact"/>
                    <w:jc w:val="center"/>
                    <w:rPr>
                      <w:rFonts w:hint="default" w:ascii="Times New Roman" w:hAnsi="Times New Roman" w:cs="Times New Roman"/>
                      <w:color w:val="auto"/>
                    </w:rPr>
                  </w:pPr>
                </w:p>
              </w:tc>
              <w:tc>
                <w:tcPr>
                  <w:tcW w:w="2281" w:type="dxa"/>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023" w:type="dxa"/>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浓度限值</w:t>
                  </w:r>
                </w:p>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（mg/Nm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w:t>
                  </w:r>
                </w:p>
              </w:tc>
              <w:tc>
                <w:tcPr>
                  <w:tcW w:w="520" w:type="dxa"/>
                  <w:vMerge w:val="continue"/>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jc w:val="center"/>
              </w:trPr>
              <w:tc>
                <w:tcPr>
                  <w:tcW w:w="416" w:type="dxa"/>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938" w:type="dxa"/>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MF0001</w:t>
                  </w:r>
                </w:p>
              </w:tc>
              <w:tc>
                <w:tcPr>
                  <w:tcW w:w="488" w:type="dxa"/>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储存</w:t>
                  </w:r>
                </w:p>
              </w:tc>
              <w:tc>
                <w:tcPr>
                  <w:tcW w:w="967" w:type="dxa"/>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非甲烷总烃</w:t>
                  </w:r>
                </w:p>
              </w:tc>
              <w:tc>
                <w:tcPr>
                  <w:tcW w:w="799" w:type="dxa"/>
                  <w:vMerge w:val="restart"/>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储存间通风换气</w:t>
                  </w:r>
                </w:p>
              </w:tc>
              <w:tc>
                <w:tcPr>
                  <w:tcW w:w="588" w:type="dxa"/>
                  <w:noWrap w:val="0"/>
                  <w:vAlign w:val="center"/>
                </w:tcPr>
                <w:p>
                  <w:pPr>
                    <w:keepNext w:val="0"/>
                    <w:keepLines w:val="0"/>
                    <w:pageBreakBefore w:val="0"/>
                    <w:widowControl w:val="0"/>
                    <w:kinsoku/>
                    <w:wordWrap/>
                    <w:overflowPunct/>
                    <w:topLinePunct w:val="0"/>
                    <w:autoSpaceDE w:val="0"/>
                    <w:autoSpaceDN w:val="0"/>
                    <w:bidi w:val="0"/>
                    <w:snapToGrid w:val="0"/>
                    <w:spacing w:line="26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sz w:val="18"/>
                      <w:szCs w:val="18"/>
                      <w:highlight w:val="none"/>
                      <w:lang w:val="en-US" w:eastAsia="zh-CN"/>
                    </w:rPr>
                    <w:t>极少</w:t>
                  </w:r>
                </w:p>
              </w:tc>
              <w:tc>
                <w:tcPr>
                  <w:tcW w:w="2281" w:type="dxa"/>
                  <w:vMerge w:val="restart"/>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《挥发性有机物无组织排放控制标准》（GB 37822- 2019）</w:t>
                  </w:r>
                </w:p>
              </w:tc>
              <w:tc>
                <w:tcPr>
                  <w:tcW w:w="1023" w:type="dxa"/>
                  <w:vMerge w:val="restart"/>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6</w:t>
                  </w:r>
                  <w:r>
                    <w:rPr>
                      <w:rFonts w:hint="default" w:ascii="Times New Roman" w:hAnsi="Times New Roman" w:cs="Times New Roman"/>
                      <w:color w:val="auto"/>
                      <w:sz w:val="18"/>
                      <w:szCs w:val="18"/>
                    </w:rPr>
                    <w:t>.0</w:t>
                  </w:r>
                </w:p>
              </w:tc>
              <w:tc>
                <w:tcPr>
                  <w:tcW w:w="520" w:type="dxa"/>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tblHeader/>
                <w:jc w:val="center"/>
              </w:trPr>
              <w:tc>
                <w:tcPr>
                  <w:tcW w:w="416" w:type="dxa"/>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938" w:type="dxa"/>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MF0002</w:t>
                  </w:r>
                </w:p>
              </w:tc>
              <w:tc>
                <w:tcPr>
                  <w:tcW w:w="488" w:type="dxa"/>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装卸</w:t>
                  </w:r>
                </w:p>
              </w:tc>
              <w:tc>
                <w:tcPr>
                  <w:tcW w:w="967" w:type="dxa"/>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非甲烷总烃</w:t>
                  </w:r>
                </w:p>
              </w:tc>
              <w:tc>
                <w:tcPr>
                  <w:tcW w:w="799" w:type="dxa"/>
                  <w:vMerge w:val="continue"/>
                  <w:noWrap w:val="0"/>
                  <w:vAlign w:val="center"/>
                </w:tcPr>
                <w:p>
                  <w:pPr>
                    <w:adjustRightInd w:val="0"/>
                    <w:snapToGrid w:val="0"/>
                    <w:spacing w:line="280" w:lineRule="exact"/>
                    <w:jc w:val="center"/>
                    <w:rPr>
                      <w:rFonts w:hint="default" w:ascii="Times New Roman" w:hAnsi="Times New Roman" w:cs="Times New Roman"/>
                      <w:color w:val="auto"/>
                      <w:sz w:val="18"/>
                      <w:szCs w:val="18"/>
                    </w:rPr>
                  </w:pP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kern w:val="0"/>
                      <w:sz w:val="18"/>
                      <w:szCs w:val="18"/>
                      <w:lang w:val="en-US" w:eastAsia="zh-CN"/>
                    </w:rPr>
                    <w:t>0.2</w:t>
                  </w:r>
                </w:p>
              </w:tc>
              <w:tc>
                <w:tcPr>
                  <w:tcW w:w="2281" w:type="dxa"/>
                  <w:vMerge w:val="continue"/>
                  <w:noWrap w:val="0"/>
                  <w:vAlign w:val="center"/>
                </w:tcPr>
                <w:p>
                  <w:pPr>
                    <w:adjustRightInd w:val="0"/>
                    <w:snapToGrid w:val="0"/>
                    <w:spacing w:line="280" w:lineRule="exact"/>
                    <w:jc w:val="center"/>
                    <w:rPr>
                      <w:rFonts w:hint="default" w:ascii="Times New Roman" w:hAnsi="Times New Roman" w:cs="Times New Roman"/>
                      <w:color w:val="auto"/>
                      <w:sz w:val="18"/>
                      <w:szCs w:val="18"/>
                    </w:rPr>
                  </w:pPr>
                </w:p>
              </w:tc>
              <w:tc>
                <w:tcPr>
                  <w:tcW w:w="1023" w:type="dxa"/>
                  <w:vMerge w:val="continue"/>
                  <w:noWrap w:val="0"/>
                  <w:vAlign w:val="center"/>
                </w:tcPr>
                <w:p>
                  <w:pPr>
                    <w:adjustRightInd w:val="0"/>
                    <w:snapToGrid w:val="0"/>
                    <w:spacing w:line="280" w:lineRule="exact"/>
                    <w:jc w:val="center"/>
                    <w:rPr>
                      <w:rFonts w:hint="default" w:ascii="Times New Roman" w:hAnsi="Times New Roman" w:cs="Times New Roman"/>
                      <w:color w:val="auto"/>
                      <w:sz w:val="18"/>
                      <w:szCs w:val="18"/>
                    </w:rPr>
                  </w:pPr>
                </w:p>
              </w:tc>
              <w:tc>
                <w:tcPr>
                  <w:tcW w:w="520" w:type="dxa"/>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bl>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bookmarkStart w:id="4" w:name="NOGROUP"/>
            <w:bookmarkEnd w:id="4"/>
            <w:r>
              <w:rPr>
                <w:rFonts w:hint="default" w:ascii="Times New Roman" w:hAnsi="Times New Roman" w:eastAsia="黑体" w:cs="Times New Roman"/>
                <w:color w:val="auto"/>
                <w:kern w:val="0"/>
                <w:sz w:val="20"/>
                <w:szCs w:val="20"/>
                <w:lang w:val="en-US" w:eastAsia="zh-CN"/>
              </w:rPr>
              <w:t>大气污染物年排放量核算表</w:t>
            </w:r>
          </w:p>
          <w:tbl>
            <w:tblPr>
              <w:tblStyle w:val="17"/>
              <w:tblW w:w="809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54"/>
              <w:gridCol w:w="1906"/>
              <w:gridCol w:w="1651"/>
              <w:gridCol w:w="1523"/>
              <w:gridCol w:w="17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4" w:hRule="atLeast"/>
                <w:jc w:val="center"/>
              </w:trPr>
              <w:tc>
                <w:tcPr>
                  <w:tcW w:w="1254" w:type="dxa"/>
                  <w:vMerge w:val="restart"/>
                  <w:tcBorders>
                    <w:left w:val="single" w:color="auto" w:sz="0"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序号</w:t>
                  </w:r>
                </w:p>
              </w:tc>
              <w:tc>
                <w:tcPr>
                  <w:tcW w:w="19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污染物</w:t>
                  </w:r>
                </w:p>
              </w:tc>
              <w:tc>
                <w:tcPr>
                  <w:tcW w:w="4938" w:type="dxa"/>
                  <w:gridSpan w:val="3"/>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lang w:val="en-US" w:eastAsia="zh-CN"/>
                    </w:rPr>
                    <w:t>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4" w:hRule="atLeast"/>
                <w:jc w:val="center"/>
              </w:trPr>
              <w:tc>
                <w:tcPr>
                  <w:tcW w:w="1254" w:type="dxa"/>
                  <w:vMerge w:val="continue"/>
                  <w:tcBorders>
                    <w:left w:val="single" w:color="auto" w:sz="0"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lang w:val="en-US" w:eastAsia="zh-CN"/>
                    </w:rPr>
                  </w:pPr>
                </w:p>
              </w:tc>
              <w:tc>
                <w:tcPr>
                  <w:tcW w:w="19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lang w:val="en-US" w:eastAsia="zh-CN"/>
                    </w:rPr>
                  </w:pPr>
                </w:p>
              </w:tc>
              <w:tc>
                <w:tcPr>
                  <w:tcW w:w="1651"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有组织</w:t>
                  </w:r>
                </w:p>
              </w:tc>
              <w:tc>
                <w:tcPr>
                  <w:tcW w:w="15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无组织</w:t>
                  </w:r>
                </w:p>
              </w:tc>
              <w:tc>
                <w:tcPr>
                  <w:tcW w:w="176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合计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5" w:hRule="atLeast"/>
                <w:jc w:val="center"/>
              </w:trPr>
              <w:tc>
                <w:tcPr>
                  <w:tcW w:w="1254"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906"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8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rPr>
                    <w:t>非甲烷总烃</w:t>
                  </w:r>
                </w:p>
              </w:tc>
              <w:tc>
                <w:tcPr>
                  <w:tcW w:w="1651" w:type="dxa"/>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6"/>
                      <w:kern w:val="0"/>
                      <w:sz w:val="18"/>
                      <w:szCs w:val="18"/>
                      <w:highlight w:val="none"/>
                      <w:lang w:val="en-US" w:eastAsia="zh-CN"/>
                    </w:rPr>
                    <w:t>/</w:t>
                  </w:r>
                </w:p>
              </w:tc>
              <w:tc>
                <w:tcPr>
                  <w:tcW w:w="15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0.2</w:t>
                  </w:r>
                </w:p>
              </w:tc>
              <w:tc>
                <w:tcPr>
                  <w:tcW w:w="1764" w:type="dxa"/>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pacing w:val="-6"/>
                      <w:kern w:val="0"/>
                      <w:sz w:val="18"/>
                      <w:szCs w:val="18"/>
                      <w:highlight w:val="none"/>
                      <w:lang w:val="en-US" w:eastAsia="zh-CN"/>
                    </w:rPr>
                    <w:t>0.2</w:t>
                  </w:r>
                </w:p>
              </w:tc>
            </w:tr>
          </w:tbl>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w:t>
            </w:r>
            <w:r>
              <w:rPr>
                <w:rFonts w:hint="default"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）监测要求</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 xml:space="preserve">根据《排污单位自行监测技术指南 总则》（HJ819-2017）文件，并结合本项目污染物的特点，制定营运期废气监测计划见下表。 </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营运期监测计划</w:t>
            </w:r>
          </w:p>
          <w:tbl>
            <w:tblPr>
              <w:tblStyle w:val="18"/>
              <w:tblW w:w="8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2055"/>
              <w:gridCol w:w="1444"/>
              <w:gridCol w:w="1743"/>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32" w:type="dxa"/>
                  <w:noWrap w:val="0"/>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监测项目</w:t>
                  </w:r>
                </w:p>
              </w:tc>
              <w:tc>
                <w:tcPr>
                  <w:tcW w:w="2055" w:type="dxa"/>
                  <w:noWrap w:val="0"/>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监测点位</w:t>
                  </w:r>
                </w:p>
              </w:tc>
              <w:tc>
                <w:tcPr>
                  <w:tcW w:w="1444" w:type="dxa"/>
                  <w:noWrap w:val="0"/>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监测因子</w:t>
                  </w:r>
                </w:p>
              </w:tc>
              <w:tc>
                <w:tcPr>
                  <w:tcW w:w="1743" w:type="dxa"/>
                  <w:noWrap w:val="0"/>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监测频次</w:t>
                  </w:r>
                </w:p>
              </w:tc>
              <w:tc>
                <w:tcPr>
                  <w:tcW w:w="1426" w:type="dxa"/>
                  <w:noWrap w:val="0"/>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32" w:type="dxa"/>
                  <w:noWrap w:val="0"/>
                  <w:vAlign w:val="center"/>
                </w:tcPr>
                <w:p>
                  <w:pPr>
                    <w:autoSpaceDE w:val="0"/>
                    <w:autoSpaceDN w:val="0"/>
                    <w:adjustRightInd w:val="0"/>
                    <w:spacing w:line="280" w:lineRule="exact"/>
                    <w:ind w:left="-210" w:leftChars="-100" w:right="-105" w:rightChars="-5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废气</w:t>
                  </w:r>
                </w:p>
              </w:tc>
              <w:tc>
                <w:tcPr>
                  <w:tcW w:w="2055" w:type="dxa"/>
                  <w:noWrap w:val="0"/>
                  <w:vAlign w:val="center"/>
                </w:tcPr>
                <w:p>
                  <w:pPr>
                    <w:autoSpaceDE w:val="0"/>
                    <w:autoSpaceDN w:val="0"/>
                    <w:adjustRightIn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厂界无组织废气</w:t>
                  </w:r>
                </w:p>
              </w:tc>
              <w:tc>
                <w:tcPr>
                  <w:tcW w:w="1444" w:type="dxa"/>
                  <w:noWrap w:val="0"/>
                  <w:vAlign w:val="center"/>
                </w:tcPr>
                <w:p>
                  <w:pPr>
                    <w:autoSpaceDE w:val="0"/>
                    <w:autoSpaceDN w:val="0"/>
                    <w:adjustRightInd w:val="0"/>
                    <w:spacing w:line="280" w:lineRule="exact"/>
                    <w:jc w:val="center"/>
                    <w:rPr>
                      <w:rFonts w:hint="default" w:ascii="Times New Roman" w:hAnsi="Times New Roman" w:cs="Times New Roman"/>
                      <w:bCs/>
                      <w:color w:val="auto"/>
                      <w:sz w:val="18"/>
                      <w:szCs w:val="18"/>
                      <w:lang w:val="zh-CN"/>
                    </w:rPr>
                  </w:pPr>
                  <w:r>
                    <w:rPr>
                      <w:rFonts w:hint="default" w:ascii="Times New Roman" w:hAnsi="Times New Roman" w:cs="Times New Roman"/>
                      <w:bCs/>
                      <w:color w:val="auto"/>
                      <w:sz w:val="18"/>
                      <w:szCs w:val="18"/>
                    </w:rPr>
                    <w:t>非甲烷总烃</w:t>
                  </w:r>
                </w:p>
              </w:tc>
              <w:tc>
                <w:tcPr>
                  <w:tcW w:w="1743" w:type="dxa"/>
                  <w:noWrap w:val="0"/>
                  <w:vAlign w:val="center"/>
                </w:tcPr>
                <w:p>
                  <w:pPr>
                    <w:autoSpaceDE w:val="0"/>
                    <w:autoSpaceDN w:val="0"/>
                    <w:adjustRightIn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1天</w:t>
                  </w:r>
                </w:p>
              </w:tc>
              <w:tc>
                <w:tcPr>
                  <w:tcW w:w="1426" w:type="dxa"/>
                  <w:noWrap w:val="0"/>
                  <w:vAlign w:val="center"/>
                </w:tcPr>
                <w:p>
                  <w:pPr>
                    <w:autoSpaceDE w:val="0"/>
                    <w:autoSpaceDN w:val="0"/>
                    <w:adjustRightIn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每年1次</w:t>
                  </w:r>
                </w:p>
              </w:tc>
            </w:tr>
          </w:tbl>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lang w:val="zh-CN"/>
              </w:rPr>
            </w:pPr>
            <w:r>
              <w:rPr>
                <w:rFonts w:hint="default" w:ascii="Times New Roman" w:hAnsi="Times New Roman" w:cs="Times New Roman"/>
                <w:b/>
                <w:bCs/>
                <w:color w:val="auto"/>
                <w:szCs w:val="21"/>
                <w:lang w:val="zh-CN"/>
              </w:rPr>
              <w:t>（</w:t>
            </w:r>
            <w:r>
              <w:rPr>
                <w:rFonts w:hint="default" w:ascii="Times New Roman" w:hAnsi="Times New Roman" w:cs="Times New Roman"/>
                <w:b/>
                <w:bCs/>
                <w:color w:val="auto"/>
                <w:szCs w:val="21"/>
                <w:lang w:val="en-US" w:eastAsia="zh-CN"/>
              </w:rPr>
              <w:t>5</w:t>
            </w:r>
            <w:r>
              <w:rPr>
                <w:rFonts w:hint="default" w:ascii="Times New Roman" w:hAnsi="Times New Roman" w:cs="Times New Roman"/>
                <w:b/>
                <w:bCs/>
                <w:color w:val="auto"/>
                <w:szCs w:val="21"/>
                <w:lang w:val="zh-CN"/>
              </w:rPr>
              <w:t>）非正常排放情况</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本项目不会出现废气非正常排放的情况。</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污染源非正常排放量核算表</w:t>
            </w:r>
          </w:p>
          <w:tbl>
            <w:tblPr>
              <w:tblStyle w:val="17"/>
              <w:tblW w:w="8040" w:type="dxa"/>
              <w:jc w:val="center"/>
              <w:tblLayout w:type="fixed"/>
              <w:tblCellMar>
                <w:top w:w="0" w:type="dxa"/>
                <w:left w:w="28" w:type="dxa"/>
                <w:bottom w:w="0" w:type="dxa"/>
                <w:right w:w="28" w:type="dxa"/>
              </w:tblCellMar>
            </w:tblPr>
            <w:tblGrid>
              <w:gridCol w:w="433"/>
              <w:gridCol w:w="991"/>
              <w:gridCol w:w="1020"/>
              <w:gridCol w:w="727"/>
              <w:gridCol w:w="1149"/>
              <w:gridCol w:w="1199"/>
              <w:gridCol w:w="897"/>
              <w:gridCol w:w="1015"/>
              <w:gridCol w:w="609"/>
            </w:tblGrid>
            <w:tr>
              <w:tblPrEx>
                <w:tblCellMar>
                  <w:top w:w="0" w:type="dxa"/>
                  <w:left w:w="28" w:type="dxa"/>
                  <w:bottom w:w="0" w:type="dxa"/>
                  <w:right w:w="28" w:type="dxa"/>
                </w:tblCellMar>
              </w:tblPrEx>
              <w:trPr>
                <w:trHeight w:val="639" w:hRule="atLeast"/>
                <w:jc w:val="center"/>
              </w:trPr>
              <w:tc>
                <w:tcPr>
                  <w:tcW w:w="43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991"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污染源</w:t>
                  </w:r>
                </w:p>
              </w:tc>
              <w:tc>
                <w:tcPr>
                  <w:tcW w:w="1020"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非正常排放原因</w:t>
                  </w:r>
                </w:p>
              </w:tc>
              <w:tc>
                <w:tcPr>
                  <w:tcW w:w="727"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w:t>
                  </w:r>
                </w:p>
              </w:tc>
              <w:tc>
                <w:tcPr>
                  <w:tcW w:w="1149"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非正常排放浓度/(mg/m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w:t>
                  </w:r>
                </w:p>
              </w:tc>
              <w:tc>
                <w:tcPr>
                  <w:tcW w:w="1199"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非正常排放速率/</w:t>
                  </w:r>
                  <w:r>
                    <w:rPr>
                      <w:rFonts w:hint="eastAsia" w:ascii="Times New Roman" w:hAnsi="Times New Roman" w:cs="Times New Roman"/>
                      <w:b/>
                      <w:bCs/>
                      <w:color w:val="auto"/>
                      <w:sz w:val="18"/>
                      <w:szCs w:val="18"/>
                      <w:lang w:eastAsia="zh-CN"/>
                    </w:rPr>
                    <w:t>（</w:t>
                  </w:r>
                  <w:r>
                    <w:rPr>
                      <w:rFonts w:hint="default" w:ascii="Times New Roman" w:hAnsi="Times New Roman" w:cs="Times New Roman"/>
                      <w:b/>
                      <w:bCs/>
                      <w:color w:val="auto"/>
                      <w:sz w:val="18"/>
                      <w:szCs w:val="18"/>
                    </w:rPr>
                    <w:t>kg/h）</w:t>
                  </w:r>
                </w:p>
              </w:tc>
              <w:tc>
                <w:tcPr>
                  <w:tcW w:w="897"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单次持续时间/h</w:t>
                  </w:r>
                </w:p>
              </w:tc>
              <w:tc>
                <w:tcPr>
                  <w:tcW w:w="1015"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年发生频次</w:t>
                  </w:r>
                  <w:r>
                    <w:rPr>
                      <w:rFonts w:hint="default" w:ascii="Times New Roman" w:hAnsi="Times New Roman" w:cs="Times New Roman"/>
                      <w:b/>
                      <w:bCs/>
                      <w:color w:val="auto"/>
                      <w:sz w:val="18"/>
                      <w:szCs w:val="18"/>
                    </w:rPr>
                    <w:br w:type="textWrapping"/>
                  </w:r>
                  <w:r>
                    <w:rPr>
                      <w:rFonts w:hint="default" w:ascii="Times New Roman" w:hAnsi="Times New Roman" w:cs="Times New Roman"/>
                      <w:b/>
                      <w:bCs/>
                      <w:color w:val="auto"/>
                      <w:sz w:val="18"/>
                      <w:szCs w:val="18"/>
                    </w:rPr>
                    <w:t>/次</w:t>
                  </w:r>
                </w:p>
              </w:tc>
              <w:tc>
                <w:tcPr>
                  <w:tcW w:w="609"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应对</w:t>
                  </w:r>
                  <w:r>
                    <w:rPr>
                      <w:rFonts w:hint="default" w:ascii="Times New Roman" w:hAnsi="Times New Roman" w:cs="Times New Roman"/>
                      <w:b/>
                      <w:bCs/>
                      <w:color w:val="auto"/>
                      <w:sz w:val="18"/>
                      <w:szCs w:val="18"/>
                    </w:rPr>
                    <w:br w:type="textWrapping"/>
                  </w:r>
                  <w:r>
                    <w:rPr>
                      <w:rFonts w:hint="default" w:ascii="Times New Roman" w:hAnsi="Times New Roman" w:cs="Times New Roman"/>
                      <w:b/>
                      <w:bCs/>
                      <w:color w:val="auto"/>
                      <w:sz w:val="18"/>
                      <w:szCs w:val="18"/>
                    </w:rPr>
                    <w:t>措施</w:t>
                  </w:r>
                </w:p>
              </w:tc>
            </w:tr>
            <w:tr>
              <w:tblPrEx>
                <w:tblCellMar>
                  <w:top w:w="0" w:type="dxa"/>
                  <w:left w:w="28" w:type="dxa"/>
                  <w:bottom w:w="0" w:type="dxa"/>
                  <w:right w:w="28" w:type="dxa"/>
                </w:tblCellMar>
              </w:tblPrEx>
              <w:trPr>
                <w:trHeight w:val="352" w:hRule="atLeast"/>
                <w:jc w:val="center"/>
              </w:trPr>
              <w:tc>
                <w:tcPr>
                  <w:tcW w:w="43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991"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生产车间</w:t>
                  </w:r>
                </w:p>
              </w:tc>
              <w:tc>
                <w:tcPr>
                  <w:tcW w:w="1020"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不会出现</w:t>
                  </w:r>
                </w:p>
              </w:tc>
              <w:tc>
                <w:tcPr>
                  <w:tcW w:w="727"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149"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199"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97"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015"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09" w:type="dxa"/>
                  <w:tcBorders>
                    <w:top w:val="single" w:color="auto" w:sz="4" w:space="0"/>
                    <w:left w:val="nil"/>
                    <w:bottom w:val="single" w:color="auto" w:sz="4" w:space="0"/>
                    <w:right w:val="single" w:color="auto" w:sz="4" w:space="0"/>
                  </w:tcBorders>
                  <w:shd w:val="clear" w:color="auto" w:fill="FFFFFF"/>
                  <w:noWrap w:val="0"/>
                  <w:vAlign w:val="center"/>
                </w:tcPr>
                <w:p>
                  <w:pPr>
                    <w:pStyle w:val="31"/>
                    <w:spacing w:before="0" w:before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bl>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lang w:val="zh-CN"/>
              </w:rPr>
            </w:pPr>
            <w:r>
              <w:rPr>
                <w:rFonts w:hint="default" w:ascii="Times New Roman" w:hAnsi="Times New Roman" w:cs="Times New Roman"/>
                <w:b/>
                <w:bCs/>
                <w:color w:val="auto"/>
                <w:szCs w:val="21"/>
                <w:lang w:val="zh-CN"/>
              </w:rPr>
              <w:t>（</w:t>
            </w:r>
            <w:r>
              <w:rPr>
                <w:rFonts w:hint="default" w:ascii="Times New Roman" w:hAnsi="Times New Roman" w:cs="Times New Roman"/>
                <w:b/>
                <w:bCs/>
                <w:color w:val="auto"/>
                <w:szCs w:val="21"/>
                <w:lang w:val="en-US" w:eastAsia="zh-CN"/>
              </w:rPr>
              <w:t>6</w:t>
            </w:r>
            <w:r>
              <w:rPr>
                <w:rFonts w:hint="default" w:ascii="Times New Roman" w:hAnsi="Times New Roman" w:cs="Times New Roman"/>
                <w:b/>
                <w:bCs/>
                <w:color w:val="auto"/>
                <w:szCs w:val="21"/>
                <w:lang w:val="zh-CN"/>
              </w:rPr>
              <w:t>）环境影响</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default" w:ascii="Times New Roman" w:hAnsi="Times New Roman" w:cs="Times New Roman"/>
                <w:color w:val="auto"/>
                <w:szCs w:val="21"/>
                <w:lang w:val="zh-CN"/>
              </w:rPr>
              <w:t>废气</w:t>
            </w:r>
            <w:r>
              <w:rPr>
                <w:rFonts w:hint="default" w:ascii="Times New Roman" w:hAnsi="Times New Roman" w:cs="Times New Roman"/>
                <w:color w:val="auto"/>
                <w:kern w:val="0"/>
                <w:szCs w:val="21"/>
              </w:rPr>
              <w:t>污染物主要为</w:t>
            </w:r>
            <w:r>
              <w:rPr>
                <w:rFonts w:hint="eastAsia" w:cs="Times New Roman"/>
                <w:color w:val="auto"/>
                <w:kern w:val="0"/>
                <w:szCs w:val="21"/>
                <w:lang w:val="en-US" w:eastAsia="zh-CN"/>
              </w:rPr>
              <w:t>非甲烷总烃</w:t>
            </w:r>
            <w:r>
              <w:rPr>
                <w:rFonts w:hint="default" w:ascii="Times New Roman" w:hAnsi="Times New Roman" w:cs="Times New Roman"/>
                <w:color w:val="auto"/>
                <w:kern w:val="0"/>
                <w:szCs w:val="21"/>
              </w:rPr>
              <w:t>，通过采取加强车间通风换气、规范操作流程等防治措施，能够有效降低废气污染物的排放量，对周围环境的污染影响较小，对所在区域大气环境影响程度为可以接受的影响程度。</w:t>
            </w:r>
          </w:p>
          <w:p>
            <w:pPr>
              <w:numPr>
                <w:ilvl w:val="0"/>
                <w:numId w:val="19"/>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废水</w:t>
            </w:r>
          </w:p>
          <w:p>
            <w:pPr>
              <w:autoSpaceDE w:val="0"/>
              <w:autoSpaceDN w:val="0"/>
              <w:adjustRightInd w:val="0"/>
              <w:snapToGrid w:val="0"/>
              <w:spacing w:line="400" w:lineRule="exact"/>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（1）产排污环节及产生量</w:t>
            </w:r>
          </w:p>
          <w:p>
            <w:pPr>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储存间无需冲洗。营运期废水主要为生活污水。</w:t>
            </w:r>
          </w:p>
          <w:p>
            <w:pPr>
              <w:spacing w:line="400" w:lineRule="exact"/>
              <w:ind w:firstLine="420" w:firstLineChars="200"/>
              <w:rPr>
                <w:rFonts w:hint="default" w:ascii="Times New Roman" w:hAnsi="Times New Roman" w:cs="Times New Roman"/>
                <w:color w:val="auto"/>
                <w:szCs w:val="21"/>
                <w:lang w:val="zh-CN"/>
              </w:rPr>
            </w:pPr>
            <w:r>
              <w:rPr>
                <w:rFonts w:hint="default" w:ascii="Times New Roman" w:hAnsi="Times New Roman" w:cs="Times New Roman"/>
                <w:color w:val="auto"/>
                <w:szCs w:val="21"/>
              </w:rPr>
              <w:t>项目生活污水主要为办公、生活区的废水。本项目在厂内生活的员工数为</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人，均在</w:t>
            </w:r>
            <w:r>
              <w:rPr>
                <w:rFonts w:hint="default" w:ascii="Times New Roman" w:hAnsi="Times New Roman" w:cs="Times New Roman"/>
                <w:color w:val="auto"/>
                <w:szCs w:val="21"/>
                <w:lang w:val="zh-CN"/>
              </w:rPr>
              <w:t>厂区住宿，其</w:t>
            </w:r>
            <w:r>
              <w:rPr>
                <w:rFonts w:hint="default" w:ascii="Times New Roman" w:hAnsi="Times New Roman" w:cs="Times New Roman"/>
                <w:color w:val="auto"/>
                <w:szCs w:val="21"/>
              </w:rPr>
              <w:t>用水量按120L/人·d计，则项目生活用水量为0.</w:t>
            </w:r>
            <w:r>
              <w:rPr>
                <w:rFonts w:hint="default" w:ascii="Times New Roman" w:hAnsi="Times New Roman" w:cs="Times New Roman"/>
                <w:color w:val="auto"/>
                <w:szCs w:val="21"/>
                <w:lang w:val="en-US" w:eastAsia="zh-CN"/>
              </w:rPr>
              <w:t>48</w:t>
            </w:r>
            <w:r>
              <w:rPr>
                <w:rFonts w:hint="default" w:ascii="Times New Roman" w:hAnsi="Times New Roman" w:cs="Times New Roman"/>
                <w:color w:val="auto"/>
                <w:szCs w:val="21"/>
                <w:lang w:val="zh-CN"/>
              </w:rPr>
              <w:t>m</w:t>
            </w:r>
            <w:r>
              <w:rPr>
                <w:rFonts w:hint="default" w:ascii="Times New Roman" w:hAnsi="Times New Roman" w:cs="Times New Roman"/>
                <w:color w:val="auto"/>
                <w:szCs w:val="21"/>
                <w:vertAlign w:val="superscript"/>
                <w:lang w:val="zh-CN"/>
              </w:rPr>
              <w:t>3</w:t>
            </w:r>
            <w:r>
              <w:rPr>
                <w:rFonts w:hint="default" w:ascii="Times New Roman" w:hAnsi="Times New Roman" w:cs="Times New Roman"/>
                <w:color w:val="auto"/>
                <w:szCs w:val="21"/>
                <w:lang w:val="zh-CN"/>
              </w:rPr>
              <w:t>/d（</w:t>
            </w:r>
            <w:r>
              <w:rPr>
                <w:rFonts w:hint="default" w:ascii="Times New Roman" w:hAnsi="Times New Roman" w:cs="Times New Roman"/>
                <w:color w:val="auto"/>
                <w:szCs w:val="21"/>
                <w:lang w:val="en-US" w:eastAsia="zh-CN"/>
              </w:rPr>
              <w:t>168</w:t>
            </w:r>
            <w:r>
              <w:rPr>
                <w:rFonts w:hint="default" w:ascii="Times New Roman" w:hAnsi="Times New Roman" w:cs="Times New Roman"/>
                <w:color w:val="auto"/>
                <w:szCs w:val="21"/>
                <w:lang w:val="zh-CN"/>
              </w:rPr>
              <w:t>m</w:t>
            </w:r>
            <w:r>
              <w:rPr>
                <w:rFonts w:hint="default" w:ascii="Times New Roman" w:hAnsi="Times New Roman" w:cs="Times New Roman"/>
                <w:color w:val="auto"/>
                <w:szCs w:val="21"/>
                <w:vertAlign w:val="superscript"/>
                <w:lang w:val="zh-CN"/>
              </w:rPr>
              <w:t>3</w:t>
            </w:r>
            <w:r>
              <w:rPr>
                <w:rFonts w:hint="default" w:ascii="Times New Roman" w:hAnsi="Times New Roman" w:cs="Times New Roman"/>
                <w:color w:val="auto"/>
                <w:szCs w:val="21"/>
                <w:lang w:val="zh-CN"/>
              </w:rPr>
              <w:t>/a）。</w:t>
            </w:r>
            <w:r>
              <w:rPr>
                <w:rFonts w:hint="default" w:ascii="Times New Roman" w:hAnsi="Times New Roman" w:cs="Times New Roman"/>
                <w:color w:val="auto"/>
                <w:szCs w:val="21"/>
              </w:rPr>
              <w:t>生活用水</w:t>
            </w:r>
            <w:r>
              <w:rPr>
                <w:rFonts w:hint="default" w:ascii="Times New Roman" w:hAnsi="Times New Roman" w:cs="Times New Roman"/>
                <w:color w:val="auto"/>
                <w:szCs w:val="21"/>
                <w:lang w:val="zh-CN"/>
              </w:rPr>
              <w:t>产污系数按</w:t>
            </w:r>
            <w:r>
              <w:rPr>
                <w:rFonts w:hint="default" w:ascii="Times New Roman" w:hAnsi="Times New Roman" w:cs="Times New Roman"/>
                <w:color w:val="auto"/>
                <w:szCs w:val="21"/>
              </w:rPr>
              <w:t>0.9</w:t>
            </w:r>
            <w:r>
              <w:rPr>
                <w:rFonts w:hint="default" w:ascii="Times New Roman" w:hAnsi="Times New Roman" w:cs="Times New Roman"/>
                <w:color w:val="auto"/>
                <w:szCs w:val="21"/>
                <w:lang w:val="zh-CN"/>
              </w:rPr>
              <w:t>计，则项目生活污水产生量为</w:t>
            </w: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43</w:t>
            </w:r>
            <w:r>
              <w:rPr>
                <w:rFonts w:hint="default" w:ascii="Times New Roman" w:hAnsi="Times New Roman" w:cs="Times New Roman"/>
                <w:color w:val="auto"/>
                <w:szCs w:val="21"/>
                <w:lang w:val="zh-CN"/>
              </w:rPr>
              <w:t>m</w:t>
            </w:r>
            <w:r>
              <w:rPr>
                <w:rFonts w:hint="default" w:ascii="Times New Roman" w:hAnsi="Times New Roman" w:cs="Times New Roman"/>
                <w:color w:val="auto"/>
                <w:szCs w:val="21"/>
                <w:vertAlign w:val="superscript"/>
                <w:lang w:val="zh-CN"/>
              </w:rPr>
              <w:t>3</w:t>
            </w:r>
            <w:r>
              <w:rPr>
                <w:rFonts w:hint="default" w:ascii="Times New Roman" w:hAnsi="Times New Roman" w:cs="Times New Roman"/>
                <w:color w:val="auto"/>
                <w:szCs w:val="21"/>
                <w:lang w:val="zh-CN"/>
              </w:rPr>
              <w:t>/d（</w:t>
            </w:r>
            <w:r>
              <w:rPr>
                <w:rFonts w:hint="default" w:ascii="Times New Roman" w:hAnsi="Times New Roman" w:cs="Times New Roman"/>
                <w:color w:val="auto"/>
                <w:szCs w:val="21"/>
                <w:lang w:val="en-US" w:eastAsia="zh-CN"/>
              </w:rPr>
              <w:t>151.2</w:t>
            </w:r>
            <w:r>
              <w:rPr>
                <w:rFonts w:hint="default" w:ascii="Times New Roman" w:hAnsi="Times New Roman" w:cs="Times New Roman"/>
                <w:color w:val="auto"/>
                <w:szCs w:val="21"/>
                <w:lang w:val="zh-CN"/>
              </w:rPr>
              <w:t>m</w:t>
            </w:r>
            <w:r>
              <w:rPr>
                <w:rFonts w:hint="default" w:ascii="Times New Roman" w:hAnsi="Times New Roman" w:cs="Times New Roman"/>
                <w:color w:val="auto"/>
                <w:szCs w:val="21"/>
                <w:vertAlign w:val="superscript"/>
                <w:lang w:val="zh-CN"/>
              </w:rPr>
              <w:t>3</w:t>
            </w:r>
            <w:r>
              <w:rPr>
                <w:rFonts w:hint="default" w:ascii="Times New Roman" w:hAnsi="Times New Roman" w:cs="Times New Roman"/>
                <w:color w:val="auto"/>
                <w:szCs w:val="21"/>
                <w:lang w:val="zh-CN"/>
              </w:rPr>
              <w:t>/a）。</w:t>
            </w:r>
          </w:p>
          <w:p>
            <w:pPr>
              <w:autoSpaceDE w:val="0"/>
              <w:autoSpaceDN w:val="0"/>
              <w:adjustRightInd w:val="0"/>
              <w:snapToGrid w:val="0"/>
              <w:spacing w:line="400" w:lineRule="exact"/>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（2）治理措施及排放情况</w:t>
            </w:r>
          </w:p>
          <w:p>
            <w:pPr>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生活污水经已有的化粪池（</w:t>
            </w:r>
            <w:r>
              <w:rPr>
                <w:rFonts w:hint="eastAsia" w:cs="Times New Roman"/>
                <w:color w:val="auto"/>
                <w:szCs w:val="21"/>
                <w:lang w:val="en-US" w:eastAsia="zh-CN"/>
              </w:rPr>
              <w:t>10</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）收集，</w:t>
            </w:r>
            <w:r>
              <w:rPr>
                <w:rFonts w:hint="default" w:ascii="Times New Roman" w:hAnsi="Times New Roman" w:cs="Times New Roman"/>
                <w:color w:val="auto"/>
                <w:szCs w:val="21"/>
                <w:lang w:val="en-US" w:eastAsia="zh-CN"/>
              </w:rPr>
              <w:t>化粪池已与西面园区道路下的污水管网接通，项目废水可排至园区</w:t>
            </w:r>
            <w:r>
              <w:rPr>
                <w:rFonts w:hint="eastAsia" w:cs="Times New Roman"/>
                <w:color w:val="auto"/>
                <w:szCs w:val="21"/>
                <w:lang w:val="en-US" w:eastAsia="zh-CN"/>
              </w:rPr>
              <w:t>污水处理厂</w:t>
            </w:r>
            <w:r>
              <w:rPr>
                <w:rFonts w:hint="default" w:ascii="Times New Roman" w:hAnsi="Times New Roman" w:cs="Times New Roman"/>
                <w:color w:val="auto"/>
                <w:szCs w:val="21"/>
                <w:lang w:val="en-US" w:eastAsia="zh-CN"/>
              </w:rPr>
              <w:t>处理。</w:t>
            </w:r>
            <w:r>
              <w:rPr>
                <w:rFonts w:hint="default" w:ascii="Times New Roman" w:hAnsi="Times New Roman" w:cs="Times New Roman"/>
                <w:color w:val="auto"/>
                <w:szCs w:val="21"/>
              </w:rPr>
              <w:t>另外，厂界外建设雨水沟，杜绝场外雨水进入场内；场内作业区四周建雨水沟，收集排入雨水池。</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废水污染源强核算经过及相关参数一览表</w:t>
            </w:r>
          </w:p>
          <w:tbl>
            <w:tblPr>
              <w:tblStyle w:val="17"/>
              <w:tblW w:w="786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52"/>
              <w:gridCol w:w="458"/>
              <w:gridCol w:w="472"/>
              <w:gridCol w:w="456"/>
              <w:gridCol w:w="755"/>
              <w:gridCol w:w="710"/>
              <w:gridCol w:w="633"/>
              <w:gridCol w:w="426"/>
              <w:gridCol w:w="489"/>
              <w:gridCol w:w="458"/>
              <w:gridCol w:w="613"/>
              <w:gridCol w:w="822"/>
              <w:gridCol w:w="617"/>
              <w:gridCol w:w="499"/>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76" w:hRule="atLeast"/>
                <w:jc w:val="center"/>
              </w:trPr>
              <w:tc>
                <w:tcPr>
                  <w:tcW w:w="452" w:type="dxa"/>
                  <w:vMerge w:val="restar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工序/生产线</w:t>
                  </w:r>
                </w:p>
              </w:tc>
              <w:tc>
                <w:tcPr>
                  <w:tcW w:w="458"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污染源</w:t>
                  </w:r>
                </w:p>
              </w:tc>
              <w:tc>
                <w:tcPr>
                  <w:tcW w:w="472"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w:t>
                  </w:r>
                </w:p>
              </w:tc>
              <w:tc>
                <w:tcPr>
                  <w:tcW w:w="2554" w:type="dxa"/>
                  <w:gridSpan w:val="4"/>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污染物产生</w:t>
                  </w:r>
                </w:p>
              </w:tc>
              <w:tc>
                <w:tcPr>
                  <w:tcW w:w="915" w:type="dxa"/>
                  <w:gridSpan w:val="2"/>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治理措施</w:t>
                  </w:r>
                </w:p>
              </w:tc>
              <w:tc>
                <w:tcPr>
                  <w:tcW w:w="2510" w:type="dxa"/>
                  <w:gridSpan w:val="4"/>
                  <w:tcBorders>
                    <w:left w:val="single" w:color="000000"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污染物排放</w:t>
                  </w:r>
                </w:p>
              </w:tc>
              <w:tc>
                <w:tcPr>
                  <w:tcW w:w="499" w:type="dxa"/>
                  <w:vMerge w:val="restar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排放时间(d/a)</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08" w:hRule="atLeast"/>
                <w:jc w:val="center"/>
              </w:trPr>
              <w:tc>
                <w:tcPr>
                  <w:tcW w:w="452" w:type="dxa"/>
                  <w:vMerge w:val="continue"/>
                  <w:tcBorders>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p>
              </w:tc>
              <w:tc>
                <w:tcPr>
                  <w:tcW w:w="458"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p>
              </w:tc>
              <w:tc>
                <w:tcPr>
                  <w:tcW w:w="472"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p>
              </w:tc>
              <w:tc>
                <w:tcPr>
                  <w:tcW w:w="456" w:type="dxa"/>
                  <w:tcBorders>
                    <w:top w:val="single" w:color="auto"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核算方法</w:t>
                  </w:r>
                </w:p>
              </w:tc>
              <w:tc>
                <w:tcPr>
                  <w:tcW w:w="755"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废水产生量(m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/a)</w:t>
                  </w:r>
                </w:p>
              </w:tc>
              <w:tc>
                <w:tcPr>
                  <w:tcW w:w="710"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浓度(mg/L)</w:t>
                  </w:r>
                </w:p>
              </w:tc>
              <w:tc>
                <w:tcPr>
                  <w:tcW w:w="633" w:type="dxa"/>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污染物产生量(t/a)</w:t>
                  </w:r>
                </w:p>
              </w:tc>
              <w:tc>
                <w:tcPr>
                  <w:tcW w:w="426" w:type="dxa"/>
                  <w:tcBorders>
                    <w:top w:val="single" w:color="auto"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工艺</w:t>
                  </w:r>
                </w:p>
              </w:tc>
              <w:tc>
                <w:tcPr>
                  <w:tcW w:w="489" w:type="dxa"/>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处理效率</w:t>
                  </w:r>
                </w:p>
              </w:tc>
              <w:tc>
                <w:tcPr>
                  <w:tcW w:w="458" w:type="dxa"/>
                  <w:tcBorders>
                    <w:top w:val="single" w:color="auto"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核算方法</w:t>
                  </w:r>
                </w:p>
              </w:tc>
              <w:tc>
                <w:tcPr>
                  <w:tcW w:w="613"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排水量(m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/a)</w:t>
                  </w:r>
                </w:p>
              </w:tc>
              <w:tc>
                <w:tcPr>
                  <w:tcW w:w="822"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排放浓度(mg/L)</w:t>
                  </w:r>
                </w:p>
              </w:tc>
              <w:tc>
                <w:tcPr>
                  <w:tcW w:w="617" w:type="dxa"/>
                  <w:tcBorders>
                    <w:top w:val="single" w:color="auto"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排放量(t/a)</w:t>
                  </w:r>
                </w:p>
              </w:tc>
              <w:tc>
                <w:tcPr>
                  <w:tcW w:w="499" w:type="dxa"/>
                  <w:vMerge w:val="continue"/>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76" w:hRule="atLeast"/>
                <w:jc w:val="center"/>
              </w:trPr>
              <w:tc>
                <w:tcPr>
                  <w:tcW w:w="452" w:type="dxa"/>
                  <w:vMerge w:val="restart"/>
                  <w:tcBorders>
                    <w:top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生活区</w:t>
                  </w:r>
                </w:p>
              </w:tc>
              <w:tc>
                <w:tcPr>
                  <w:tcW w:w="458"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w:t>
                  </w:r>
                </w:p>
              </w:tc>
              <w:tc>
                <w:tcPr>
                  <w:tcW w:w="472"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w:t>
                  </w:r>
                </w:p>
              </w:tc>
              <w:tc>
                <w:tcPr>
                  <w:tcW w:w="456" w:type="dxa"/>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系数法</w:t>
                  </w:r>
                </w:p>
              </w:tc>
              <w:tc>
                <w:tcPr>
                  <w:tcW w:w="755" w:type="dxa"/>
                  <w:vMerge w:val="restart"/>
                  <w:tcBorders>
                    <w:top w:val="single" w:color="000000"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151.2</w:t>
                  </w:r>
                </w:p>
              </w:tc>
              <w:tc>
                <w:tcPr>
                  <w:tcW w:w="710" w:type="dxa"/>
                  <w:tcBorders>
                    <w:top w:val="sing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350</w:t>
                  </w:r>
                </w:p>
              </w:tc>
              <w:tc>
                <w:tcPr>
                  <w:tcW w:w="633"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0.0</w:t>
                  </w:r>
                  <w:r>
                    <w:rPr>
                      <w:rFonts w:hint="default" w:ascii="Times New Roman" w:hAnsi="Times New Roman" w:cs="Times New Roman"/>
                      <w:color w:val="auto"/>
                      <w:sz w:val="18"/>
                      <w:szCs w:val="18"/>
                      <w:lang w:val="en-US" w:eastAsia="zh-CN"/>
                    </w:rPr>
                    <w:t>53</w:t>
                  </w:r>
                </w:p>
              </w:tc>
              <w:tc>
                <w:tcPr>
                  <w:tcW w:w="426" w:type="dxa"/>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w:t>
                  </w:r>
                </w:p>
              </w:tc>
              <w:tc>
                <w:tcPr>
                  <w:tcW w:w="489"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58" w:type="dxa"/>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13" w:type="dxa"/>
                  <w:vMerge w:val="restart"/>
                  <w:tcBorders>
                    <w:top w:val="single" w:color="000000"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822" w:type="dxa"/>
                  <w:vMerge w:val="restart"/>
                  <w:tcBorders>
                    <w:top w:val="single" w:color="000000"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17" w:type="dxa"/>
                  <w:vMerge w:val="restart"/>
                  <w:tcBorders>
                    <w:top w:val="single" w:color="000000"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99" w:type="dxa"/>
                  <w:vMerge w:val="restart"/>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452" w:type="dxa"/>
                  <w:vMerge w:val="continue"/>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p>
              </w:tc>
              <w:tc>
                <w:tcPr>
                  <w:tcW w:w="458"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p>
              </w:tc>
              <w:tc>
                <w:tcPr>
                  <w:tcW w:w="472"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氨氮</w:t>
                  </w:r>
                </w:p>
              </w:tc>
              <w:tc>
                <w:tcPr>
                  <w:tcW w:w="456" w:type="dxa"/>
                  <w:vMerge w:val="continue"/>
                  <w:tcBorders>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p>
              </w:tc>
              <w:tc>
                <w:tcPr>
                  <w:tcW w:w="75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p>
              </w:tc>
              <w:tc>
                <w:tcPr>
                  <w:tcW w:w="7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633"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0.00</w:t>
                  </w:r>
                  <w:r>
                    <w:rPr>
                      <w:rFonts w:hint="default" w:ascii="Times New Roman" w:hAnsi="Times New Roman" w:cs="Times New Roman"/>
                      <w:color w:val="auto"/>
                      <w:sz w:val="18"/>
                      <w:szCs w:val="18"/>
                      <w:lang w:val="en-US" w:eastAsia="zh-CN"/>
                    </w:rPr>
                    <w:t>5</w:t>
                  </w:r>
                </w:p>
              </w:tc>
              <w:tc>
                <w:tcPr>
                  <w:tcW w:w="426" w:type="dxa"/>
                  <w:vMerge w:val="continue"/>
                  <w:tcBorders>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Times New Roman" w:hAnsi="Times New Roman" w:cs="Times New Roman"/>
                      <w:color w:val="auto"/>
                      <w:sz w:val="18"/>
                      <w:szCs w:val="18"/>
                    </w:rPr>
                  </w:pPr>
                </w:p>
              </w:tc>
              <w:tc>
                <w:tcPr>
                  <w:tcW w:w="489"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58" w:type="dxa"/>
                  <w:vMerge w:val="continue"/>
                  <w:tcBorders>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p>
              </w:tc>
              <w:tc>
                <w:tcPr>
                  <w:tcW w:w="61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p>
              </w:tc>
              <w:tc>
                <w:tcPr>
                  <w:tcW w:w="82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p>
              </w:tc>
              <w:tc>
                <w:tcPr>
                  <w:tcW w:w="617" w:type="dxa"/>
                  <w:vMerge w:val="continue"/>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p>
              </w:tc>
              <w:tc>
                <w:tcPr>
                  <w:tcW w:w="499" w:type="dxa"/>
                  <w:vMerge w:val="continue"/>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p>
              </w:tc>
            </w:tr>
          </w:tbl>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废水类别、污染物及污染治理设施信息表</w:t>
            </w:r>
          </w:p>
          <w:tbl>
            <w:tblPr>
              <w:tblStyle w:val="17"/>
              <w:tblW w:w="796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36"/>
              <w:gridCol w:w="599"/>
              <w:gridCol w:w="648"/>
              <w:gridCol w:w="437"/>
              <w:gridCol w:w="508"/>
              <w:gridCol w:w="836"/>
              <w:gridCol w:w="511"/>
              <w:gridCol w:w="511"/>
              <w:gridCol w:w="425"/>
              <w:gridCol w:w="467"/>
              <w:gridCol w:w="451"/>
              <w:gridCol w:w="828"/>
              <w:gridCol w:w="664"/>
              <w:gridCol w:w="639"/>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3" w:hRule="atLeast"/>
                <w:jc w:val="center"/>
              </w:trPr>
              <w:tc>
                <w:tcPr>
                  <w:tcW w:w="436" w:type="dxa"/>
                  <w:vMerge w:val="restart"/>
                  <w:tcBorders>
                    <w:left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废水类别</w:t>
                  </w:r>
                </w:p>
              </w:tc>
              <w:tc>
                <w:tcPr>
                  <w:tcW w:w="599" w:type="dxa"/>
                  <w:vMerge w:val="restart"/>
                  <w:tcBorders>
                    <w:left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污染物种类</w:t>
                  </w:r>
                </w:p>
              </w:tc>
              <w:tc>
                <w:tcPr>
                  <w:tcW w:w="2429" w:type="dxa"/>
                  <w:gridSpan w:val="4"/>
                  <w:tcBorders>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污染防治设施</w:t>
                  </w:r>
                </w:p>
              </w:tc>
              <w:tc>
                <w:tcPr>
                  <w:tcW w:w="511" w:type="dxa"/>
                  <w:vMerge w:val="restart"/>
                  <w:tcBorders>
                    <w:left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排放去向</w:t>
                  </w:r>
                </w:p>
              </w:tc>
              <w:tc>
                <w:tcPr>
                  <w:tcW w:w="511" w:type="dxa"/>
                  <w:vMerge w:val="restart"/>
                  <w:tcBorders>
                    <w:lef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排放方式</w:t>
                  </w:r>
                </w:p>
              </w:tc>
              <w:tc>
                <w:tcPr>
                  <w:tcW w:w="425" w:type="dxa"/>
                  <w:vMerge w:val="restart"/>
                  <w:tcBorders>
                    <w:lef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排放规律</w:t>
                  </w:r>
                </w:p>
              </w:tc>
              <w:tc>
                <w:tcPr>
                  <w:tcW w:w="467" w:type="dxa"/>
                  <w:vMerge w:val="restart"/>
                  <w:tcBorders>
                    <w:lef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排污口编号</w:t>
                  </w:r>
                </w:p>
              </w:tc>
              <w:tc>
                <w:tcPr>
                  <w:tcW w:w="451" w:type="dxa"/>
                  <w:vMerge w:val="restart"/>
                  <w:tcBorders>
                    <w:lef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排放口名称</w:t>
                  </w:r>
                </w:p>
              </w:tc>
              <w:tc>
                <w:tcPr>
                  <w:tcW w:w="828" w:type="dxa"/>
                  <w:vMerge w:val="restart"/>
                  <w:tcBorders>
                    <w:lef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排放口设置是否符合要求</w:t>
                  </w:r>
                </w:p>
              </w:tc>
              <w:tc>
                <w:tcPr>
                  <w:tcW w:w="664" w:type="dxa"/>
                  <w:vMerge w:val="restart"/>
                  <w:tcBorders>
                    <w:lef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排放口类型</w:t>
                  </w:r>
                </w:p>
              </w:tc>
              <w:tc>
                <w:tcPr>
                  <w:tcW w:w="639" w:type="dxa"/>
                  <w:vMerge w:val="restart"/>
                  <w:tcBorders>
                    <w:lef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其它信息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75" w:hRule="atLeast"/>
                <w:jc w:val="center"/>
              </w:trPr>
              <w:tc>
                <w:tcPr>
                  <w:tcW w:w="436" w:type="dxa"/>
                  <w:vMerge w:val="continue"/>
                  <w:tcBorders>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599" w:type="dxa"/>
                  <w:vMerge w:val="continue"/>
                  <w:tcBorders>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648" w:type="dxa"/>
                  <w:tcBorders>
                    <w:top w:val="single" w:color="auto" w:sz="4" w:space="0"/>
                    <w:left w:val="single" w:color="000000" w:sz="4" w:space="0"/>
                    <w:bottom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编号</w:t>
                  </w:r>
                </w:p>
              </w:tc>
              <w:tc>
                <w:tcPr>
                  <w:tcW w:w="437" w:type="dxa"/>
                  <w:tcBorders>
                    <w:top w:val="single" w:color="auto" w:sz="4" w:space="0"/>
                    <w:left w:val="single" w:color="auto" w:sz="4" w:space="0"/>
                    <w:bottom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508" w:type="dxa"/>
                  <w:tcBorders>
                    <w:top w:val="single" w:color="auto" w:sz="4" w:space="0"/>
                    <w:left w:val="single" w:color="auto" w:sz="4" w:space="0"/>
                    <w:bottom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工艺</w:t>
                  </w:r>
                </w:p>
              </w:tc>
              <w:tc>
                <w:tcPr>
                  <w:tcW w:w="836" w:type="dxa"/>
                  <w:tcBorders>
                    <w:top w:val="single" w:color="auto" w:sz="4" w:space="0"/>
                    <w:left w:val="single" w:color="auto" w:sz="4" w:space="0"/>
                    <w:bottom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是否为可行技术</w:t>
                  </w:r>
                </w:p>
              </w:tc>
              <w:tc>
                <w:tcPr>
                  <w:tcW w:w="511" w:type="dxa"/>
                  <w:vMerge w:val="continue"/>
                  <w:tcBorders>
                    <w:left w:val="single" w:color="000000" w:sz="4" w:space="0"/>
                    <w:bottom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511"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425"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467"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451"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828"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664"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c>
                <w:tcPr>
                  <w:tcW w:w="639" w:type="dxa"/>
                  <w:vMerge w:val="continue"/>
                  <w:tcBorders>
                    <w:left w:val="single" w:color="000000" w:sz="4" w:space="0"/>
                    <w:bottom w:val="single" w:color="000000"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86" w:hRule="atLeast"/>
                <w:jc w:val="center"/>
              </w:trPr>
              <w:tc>
                <w:tcPr>
                  <w:tcW w:w="436" w:type="dxa"/>
                  <w:tcBorders>
                    <w:top w:val="single" w:color="000000" w:sz="4" w:space="0"/>
                    <w:left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w:t>
                  </w:r>
                </w:p>
              </w:tc>
              <w:tc>
                <w:tcPr>
                  <w:tcW w:w="599" w:type="dxa"/>
                  <w:tcBorders>
                    <w:top w:val="single" w:color="000000" w:sz="4" w:space="0"/>
                    <w:left w:val="single" w:color="000000" w:sz="4" w:space="0"/>
                    <w:bottom w:val="single" w:color="auto"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COD、氨氮</w:t>
                  </w:r>
                </w:p>
              </w:tc>
              <w:tc>
                <w:tcPr>
                  <w:tcW w:w="648" w:type="dxa"/>
                  <w:tcBorders>
                    <w:top w:val="single" w:color="000000" w:sz="4" w:space="0"/>
                    <w:left w:val="single" w:color="000000"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TW001</w:t>
                  </w:r>
                </w:p>
              </w:tc>
              <w:tc>
                <w:tcPr>
                  <w:tcW w:w="437" w:type="dxa"/>
                  <w:tcBorders>
                    <w:top w:val="single" w:color="000000" w:sz="4" w:space="0"/>
                    <w:left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w:t>
                  </w:r>
                </w:p>
              </w:tc>
              <w:tc>
                <w:tcPr>
                  <w:tcW w:w="508" w:type="dxa"/>
                  <w:tcBorders>
                    <w:top w:val="single" w:color="000000"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836" w:type="dxa"/>
                  <w:tcBorders>
                    <w:top w:val="single" w:color="000000" w:sz="4" w:space="0"/>
                    <w:left w:val="single" w:color="auto" w:sz="4" w:space="0"/>
                    <w:bottom w:val="single" w:color="auto"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511" w:type="dxa"/>
                  <w:tcBorders>
                    <w:top w:val="single" w:color="000000" w:sz="4" w:space="0"/>
                    <w:left w:val="single" w:color="000000" w:sz="4" w:space="0"/>
                    <w:right w:val="single" w:color="000000"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农用</w:t>
                  </w:r>
                </w:p>
              </w:tc>
              <w:tc>
                <w:tcPr>
                  <w:tcW w:w="511" w:type="dxa"/>
                  <w:tcBorders>
                    <w:top w:val="single" w:color="000000" w:sz="4" w:space="0"/>
                    <w:left w:val="single" w:color="000000"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25" w:type="dxa"/>
                  <w:tcBorders>
                    <w:top w:val="single" w:color="000000" w:sz="4" w:space="0"/>
                    <w:left w:val="single" w:color="000000" w:sz="4" w:space="0"/>
                  </w:tcBorders>
                  <w:noWrap w:val="0"/>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间歇</w:t>
                  </w:r>
                </w:p>
              </w:tc>
              <w:tc>
                <w:tcPr>
                  <w:tcW w:w="467" w:type="dxa"/>
                  <w:tcBorders>
                    <w:top w:val="single" w:color="000000" w:sz="4" w:space="0"/>
                    <w:left w:val="single" w:color="000000"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51" w:type="dxa"/>
                  <w:tcBorders>
                    <w:top w:val="single" w:color="000000" w:sz="4" w:space="0"/>
                    <w:left w:val="single" w:color="000000"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28" w:type="dxa"/>
                  <w:tcBorders>
                    <w:top w:val="single" w:color="000000" w:sz="4" w:space="0"/>
                    <w:left w:val="single" w:color="000000" w:sz="4" w:space="0"/>
                  </w:tcBorders>
                  <w:noWrap w:val="0"/>
                  <w:vAlign w:val="center"/>
                </w:tcPr>
                <w:p>
                  <w:pPr>
                    <w:adjustRightInd w:val="0"/>
                    <w:snapToGrid w:val="0"/>
                    <w:spacing w:line="28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是</w:t>
                  </w:r>
                </w:p>
              </w:tc>
              <w:tc>
                <w:tcPr>
                  <w:tcW w:w="664" w:type="dxa"/>
                  <w:tcBorders>
                    <w:top w:val="single" w:color="000000" w:sz="4" w:space="0"/>
                    <w:left w:val="single" w:color="000000"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39" w:type="dxa"/>
                  <w:tcBorders>
                    <w:top w:val="single" w:color="000000" w:sz="4" w:space="0"/>
                    <w:left w:val="single" w:color="000000"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bl>
          <w:p>
            <w:pPr>
              <w:autoSpaceDE w:val="0"/>
              <w:autoSpaceDN w:val="0"/>
              <w:adjustRightInd w:val="0"/>
              <w:snapToGrid w:val="0"/>
              <w:spacing w:line="400" w:lineRule="exact"/>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（3）监测要求</w:t>
            </w:r>
          </w:p>
          <w:p>
            <w:pPr>
              <w:autoSpaceDE w:val="0"/>
              <w:autoSpaceDN w:val="0"/>
              <w:adjustRightInd w:val="0"/>
              <w:snapToGrid w:val="0"/>
              <w:spacing w:line="400" w:lineRule="exact"/>
              <w:ind w:firstLine="420" w:firstLineChars="200"/>
              <w:jc w:val="left"/>
              <w:rPr>
                <w:rFonts w:hint="default" w:ascii="Times New Roman" w:hAnsi="Times New Roman" w:cs="Times New Roman"/>
                <w:bCs/>
                <w:color w:val="auto"/>
                <w:kern w:val="0"/>
                <w:szCs w:val="21"/>
              </w:rPr>
            </w:pPr>
            <w:r>
              <w:rPr>
                <w:rFonts w:hint="default" w:ascii="Times New Roman" w:hAnsi="Times New Roman" w:cs="Times New Roman"/>
                <w:color w:val="auto"/>
                <w:kern w:val="0"/>
                <w:szCs w:val="21"/>
              </w:rPr>
              <w:t>项目生活污水依托</w:t>
            </w:r>
            <w:r>
              <w:rPr>
                <w:rFonts w:hint="default" w:ascii="Times New Roman" w:hAnsi="Times New Roman" w:cs="Times New Roman"/>
                <w:color w:val="auto"/>
                <w:kern w:val="0"/>
                <w:szCs w:val="21"/>
                <w:lang w:val="en-US" w:eastAsia="zh-CN"/>
              </w:rPr>
              <w:t>园区</w:t>
            </w:r>
            <w:r>
              <w:rPr>
                <w:rFonts w:hint="default" w:ascii="Times New Roman" w:hAnsi="Times New Roman" w:cs="Times New Roman"/>
                <w:color w:val="auto"/>
                <w:kern w:val="0"/>
                <w:szCs w:val="21"/>
              </w:rPr>
              <w:t>污水处理厂处理。因此不制定废水监测计划。</w:t>
            </w:r>
          </w:p>
          <w:p>
            <w:pPr>
              <w:autoSpaceDE w:val="0"/>
              <w:autoSpaceDN w:val="0"/>
              <w:adjustRightInd w:val="0"/>
              <w:snapToGrid w:val="0"/>
              <w:spacing w:line="400" w:lineRule="exact"/>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（4）措施可行性及达标分析</w:t>
            </w:r>
          </w:p>
          <w:p>
            <w:pPr>
              <w:spacing w:line="400" w:lineRule="exact"/>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项目租用的厂区内</w:t>
            </w:r>
            <w:r>
              <w:rPr>
                <w:rFonts w:hint="default" w:ascii="Times New Roman" w:hAnsi="Times New Roman" w:cs="Times New Roman"/>
                <w:color w:val="auto"/>
                <w:szCs w:val="21"/>
              </w:rPr>
              <w:t>已建化粪池（</w:t>
            </w:r>
            <w:r>
              <w:rPr>
                <w:rFonts w:hint="eastAsia" w:cs="Times New Roman"/>
                <w:color w:val="auto"/>
                <w:szCs w:val="21"/>
                <w:lang w:val="en-US" w:eastAsia="zh-CN"/>
              </w:rPr>
              <w:t>10</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）能够收集约半年的废水量，能够满足收集要求。</w:t>
            </w:r>
            <w:r>
              <w:rPr>
                <w:rFonts w:hint="default" w:ascii="Times New Roman" w:hAnsi="Times New Roman" w:cs="Times New Roman"/>
                <w:color w:val="auto"/>
                <w:szCs w:val="21"/>
                <w:lang w:val="en-US" w:eastAsia="zh-CN"/>
              </w:rPr>
              <w:t>根据本项目废水来源于办公生活区，污染物排放特征，确定本项目污水排放标准达到《污水综合排放标准》（GB8978-1996）三级排放标准后进入污水管网进入园区污水处理厂处理。柳池工业园区污水处理厂于2016年2月正式投入运行，设计规模为一期5000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/d，主体工艺采用氧化沟+深度处理，出水达到《城镇污水处理厂污染物排放标准》（GB18918-2002）一级A标后经管道排入后河。</w:t>
            </w:r>
          </w:p>
          <w:p>
            <w:pPr>
              <w:spacing w:line="400" w:lineRule="exact"/>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（4）依托污水处理厂可行性分析：</w:t>
            </w:r>
          </w:p>
          <w:p>
            <w:pPr>
              <w:autoSpaceDE w:val="0"/>
              <w:autoSpaceDN w:val="0"/>
              <w:adjustRightInd w:val="0"/>
              <w:snapToGrid w:val="0"/>
              <w:spacing w:line="400" w:lineRule="exact"/>
              <w:ind w:firstLine="420" w:firstLineChars="200"/>
              <w:jc w:val="both"/>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rPr>
              <w:t>根据调查，</w:t>
            </w:r>
            <w:r>
              <w:rPr>
                <w:rFonts w:hint="default" w:ascii="Times New Roman" w:hAnsi="Times New Roman" w:cs="Times New Roman"/>
                <w:color w:val="auto"/>
                <w:kern w:val="0"/>
                <w:szCs w:val="21"/>
                <w:lang w:val="en-US" w:eastAsia="zh-CN"/>
              </w:rPr>
              <w:t>柳池工业园</w:t>
            </w:r>
            <w:r>
              <w:rPr>
                <w:rFonts w:hint="default" w:ascii="Times New Roman" w:hAnsi="Times New Roman" w:cs="Times New Roman"/>
                <w:color w:val="auto"/>
                <w:kern w:val="0"/>
                <w:szCs w:val="21"/>
              </w:rPr>
              <w:t>污水处理厂位于</w:t>
            </w:r>
            <w:r>
              <w:rPr>
                <w:rFonts w:hint="default" w:ascii="Times New Roman" w:hAnsi="Times New Roman" w:cs="Times New Roman"/>
                <w:color w:val="auto"/>
                <w:kern w:val="0"/>
                <w:szCs w:val="21"/>
                <w:lang w:val="en-US" w:eastAsia="zh-CN"/>
              </w:rPr>
              <w:t>园区东南部</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设计处理</w:t>
            </w:r>
            <w:r>
              <w:rPr>
                <w:rFonts w:hint="default" w:ascii="Times New Roman" w:hAnsi="Times New Roman" w:cs="Times New Roman"/>
                <w:color w:val="auto"/>
                <w:kern w:val="0"/>
                <w:szCs w:val="21"/>
              </w:rPr>
              <w:t>处置规模</w:t>
            </w:r>
            <w:r>
              <w:rPr>
                <w:rFonts w:hint="default" w:ascii="Times New Roman" w:hAnsi="Times New Roman" w:cs="Times New Roman"/>
                <w:color w:val="auto"/>
                <w:kern w:val="0"/>
                <w:szCs w:val="21"/>
                <w:lang w:val="en-US" w:eastAsia="zh-CN"/>
              </w:rPr>
              <w:t>为2万</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w:t>
            </w:r>
            <w:r>
              <w:rPr>
                <w:rFonts w:hint="default" w:ascii="Times New Roman" w:hAnsi="Times New Roman" w:cs="Times New Roman"/>
                <w:color w:val="auto"/>
                <w:kern w:val="0"/>
                <w:szCs w:val="21"/>
                <w:lang w:val="en-US" w:eastAsia="zh-CN"/>
              </w:rPr>
              <w:t>分期建设。目前已建污水处理厂处理规模为5</w:t>
            </w:r>
            <w:r>
              <w:rPr>
                <w:rFonts w:hint="default" w:ascii="Times New Roman" w:hAnsi="Times New Roman" w:cs="Times New Roman"/>
                <w:color w:val="auto"/>
                <w:kern w:val="0"/>
                <w:szCs w:val="21"/>
              </w:rPr>
              <w:t>000m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w:t>
            </w:r>
            <w:r>
              <w:rPr>
                <w:rFonts w:hint="default" w:ascii="Times New Roman" w:hAnsi="Times New Roman" w:cs="Times New Roman"/>
                <w:color w:val="auto"/>
                <w:szCs w:val="21"/>
                <w:lang w:val="en-US" w:eastAsia="zh-CN"/>
              </w:rPr>
              <w:t>于2016年2月正式投入运行，</w:t>
            </w:r>
            <w:r>
              <w:rPr>
                <w:rFonts w:hint="eastAsia" w:cs="Times New Roman"/>
                <w:color w:val="auto"/>
                <w:szCs w:val="21"/>
                <w:lang w:val="en-US" w:eastAsia="zh-CN"/>
              </w:rPr>
              <w:t>污水处理厂</w:t>
            </w:r>
            <w:r>
              <w:rPr>
                <w:rFonts w:hint="default" w:ascii="Times New Roman" w:hAnsi="Times New Roman" w:cs="Times New Roman"/>
                <w:color w:val="auto"/>
                <w:szCs w:val="21"/>
                <w:lang w:val="en-US" w:eastAsia="zh-CN"/>
              </w:rPr>
              <w:t>采用氧化沟+深度处理主体工艺，出水达到《城镇污水处理厂污染物排放标准》（GB18918-2002）一级A标后经管道排入后河。</w:t>
            </w:r>
            <w:r>
              <w:rPr>
                <w:rFonts w:hint="default" w:ascii="Times New Roman" w:hAnsi="Times New Roman" w:cs="Times New Roman"/>
                <w:color w:val="auto"/>
                <w:kern w:val="0"/>
                <w:szCs w:val="21"/>
              </w:rPr>
              <w:t>目前该污水处理厂已建成投入运行，纳污范围主要为</w:t>
            </w:r>
            <w:r>
              <w:rPr>
                <w:rFonts w:hint="default" w:ascii="Times New Roman" w:hAnsi="Times New Roman" w:cs="Times New Roman"/>
                <w:color w:val="auto"/>
                <w:kern w:val="0"/>
                <w:szCs w:val="21"/>
                <w:lang w:val="en-US" w:eastAsia="zh-CN"/>
              </w:rPr>
              <w:t>柳池工业园区</w:t>
            </w:r>
            <w:r>
              <w:rPr>
                <w:rFonts w:hint="default" w:ascii="Times New Roman" w:hAnsi="Times New Roman" w:cs="Times New Roman"/>
                <w:color w:val="auto"/>
                <w:kern w:val="0"/>
                <w:szCs w:val="21"/>
              </w:rPr>
              <w:t>范围</w:t>
            </w:r>
            <w:r>
              <w:rPr>
                <w:rFonts w:hint="default" w:ascii="Times New Roman" w:hAnsi="Times New Roman" w:cs="Times New Roman"/>
                <w:color w:val="auto"/>
                <w:kern w:val="0"/>
                <w:szCs w:val="21"/>
                <w:lang w:eastAsia="zh-CN"/>
              </w:rPr>
              <w:t>的</w:t>
            </w:r>
            <w:r>
              <w:rPr>
                <w:rFonts w:hint="default" w:ascii="Times New Roman" w:hAnsi="Times New Roman" w:cs="Times New Roman"/>
                <w:color w:val="auto"/>
                <w:kern w:val="0"/>
                <w:szCs w:val="21"/>
                <w:lang w:val="en-US" w:eastAsia="zh-CN"/>
              </w:rPr>
              <w:t>生产生活污水</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本项目废水为职工生活污水，水质</w:t>
            </w:r>
            <w:r>
              <w:rPr>
                <w:rFonts w:hint="default" w:ascii="Times New Roman" w:hAnsi="Times New Roman" w:cs="Times New Roman"/>
                <w:color w:val="auto"/>
                <w:kern w:val="0"/>
                <w:szCs w:val="21"/>
                <w:lang w:val="en-US" w:eastAsia="zh-CN"/>
              </w:rPr>
              <w:t>能够</w:t>
            </w:r>
            <w:r>
              <w:rPr>
                <w:rFonts w:hint="eastAsia" w:cs="Times New Roman"/>
                <w:color w:val="auto"/>
                <w:kern w:val="0"/>
                <w:szCs w:val="21"/>
                <w:lang w:val="en-US" w:eastAsia="zh-CN"/>
              </w:rPr>
              <w:t>达到</w:t>
            </w:r>
            <w:r>
              <w:rPr>
                <w:rFonts w:hint="default" w:ascii="Times New Roman" w:hAnsi="Times New Roman" w:cs="Times New Roman"/>
                <w:color w:val="auto"/>
                <w:kern w:val="0"/>
                <w:szCs w:val="21"/>
                <w:lang w:val="en-US" w:eastAsia="zh-CN"/>
              </w:rPr>
              <w:t>《污水综合排放标准》（GB8978-1996）三级排放标准，</w:t>
            </w:r>
            <w:r>
              <w:rPr>
                <w:rFonts w:hint="default" w:ascii="Times New Roman" w:hAnsi="Times New Roman" w:cs="Times New Roman"/>
                <w:color w:val="auto"/>
                <w:kern w:val="0"/>
                <w:szCs w:val="21"/>
              </w:rPr>
              <w:t>满足</w:t>
            </w:r>
            <w:r>
              <w:rPr>
                <w:rFonts w:hint="eastAsia" w:cs="Times New Roman"/>
                <w:color w:val="auto"/>
                <w:kern w:val="0"/>
                <w:szCs w:val="21"/>
                <w:lang w:eastAsia="zh-CN"/>
              </w:rPr>
              <w:t>污水处理厂</w:t>
            </w:r>
            <w:r>
              <w:rPr>
                <w:rFonts w:hint="default" w:ascii="Times New Roman" w:hAnsi="Times New Roman" w:cs="Times New Roman"/>
                <w:color w:val="auto"/>
                <w:kern w:val="0"/>
                <w:szCs w:val="21"/>
              </w:rPr>
              <w:t>进水要求。本项目污水量约</w:t>
            </w:r>
            <w:r>
              <w:rPr>
                <w:rFonts w:hint="default" w:ascii="Times New Roman" w:hAnsi="Times New Roman" w:cs="Times New Roman"/>
                <w:color w:val="auto"/>
                <w:kern w:val="0"/>
                <w:szCs w:val="21"/>
                <w:lang w:val="en-US" w:eastAsia="zh-CN"/>
              </w:rPr>
              <w:t>0.43</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/d，远小于</w:t>
            </w:r>
            <w:r>
              <w:rPr>
                <w:rFonts w:hint="default" w:ascii="Times New Roman" w:hAnsi="Times New Roman" w:cs="Times New Roman"/>
                <w:color w:val="auto"/>
                <w:kern w:val="0"/>
                <w:szCs w:val="21"/>
                <w:lang w:val="en-US" w:eastAsia="zh-CN"/>
              </w:rPr>
              <w:t>园区</w:t>
            </w:r>
            <w:r>
              <w:rPr>
                <w:rFonts w:hint="default" w:ascii="Times New Roman" w:hAnsi="Times New Roman" w:cs="Times New Roman"/>
                <w:color w:val="auto"/>
                <w:kern w:val="0"/>
                <w:szCs w:val="21"/>
              </w:rPr>
              <w:t>污水处理厂的处理能力</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仅占0.</w:t>
            </w:r>
            <w:r>
              <w:rPr>
                <w:rFonts w:hint="default" w:ascii="Times New Roman" w:hAnsi="Times New Roman" w:cs="Times New Roman"/>
                <w:color w:val="auto"/>
                <w:kern w:val="0"/>
                <w:szCs w:val="21"/>
                <w:lang w:val="en-US" w:eastAsia="zh-CN"/>
              </w:rPr>
              <w:t>0086</w:t>
            </w:r>
            <w:r>
              <w:rPr>
                <w:rFonts w:hint="default" w:ascii="Times New Roman" w:hAnsi="Times New Roman" w:cs="Times New Roman"/>
                <w:color w:val="auto"/>
                <w:kern w:val="0"/>
                <w:szCs w:val="21"/>
              </w:rPr>
              <w:t>%，水量不会突破</w:t>
            </w:r>
            <w:r>
              <w:rPr>
                <w:rFonts w:hint="eastAsia" w:cs="Times New Roman"/>
                <w:color w:val="auto"/>
                <w:kern w:val="0"/>
                <w:szCs w:val="21"/>
                <w:lang w:eastAsia="zh-CN"/>
              </w:rPr>
              <w:t>污水处理厂</w:t>
            </w:r>
            <w:r>
              <w:rPr>
                <w:rFonts w:hint="default" w:ascii="Times New Roman" w:hAnsi="Times New Roman" w:cs="Times New Roman"/>
                <w:color w:val="auto"/>
                <w:kern w:val="0"/>
                <w:szCs w:val="21"/>
              </w:rPr>
              <w:t>的处理能力</w:t>
            </w:r>
            <w:r>
              <w:rPr>
                <w:rFonts w:hint="eastAsia" w:cs="Times New Roman"/>
                <w:color w:val="auto"/>
                <w:kern w:val="0"/>
                <w:szCs w:val="21"/>
                <w:lang w:eastAsia="zh-CN"/>
              </w:rPr>
              <w:t>上限</w:t>
            </w:r>
            <w:r>
              <w:rPr>
                <w:rFonts w:hint="default" w:ascii="Times New Roman" w:hAnsi="Times New Roman" w:cs="Times New Roman"/>
                <w:color w:val="auto"/>
                <w:kern w:val="0"/>
                <w:szCs w:val="21"/>
              </w:rPr>
              <w:t>。项目</w:t>
            </w:r>
            <w:r>
              <w:rPr>
                <w:rFonts w:hint="default" w:ascii="Times New Roman" w:hAnsi="Times New Roman" w:cs="Times New Roman"/>
                <w:color w:val="auto"/>
                <w:kern w:val="0"/>
                <w:szCs w:val="21"/>
                <w:lang w:val="en-US" w:eastAsia="zh-CN"/>
              </w:rPr>
              <w:t>西</w:t>
            </w:r>
            <w:r>
              <w:rPr>
                <w:rFonts w:hint="default" w:ascii="Times New Roman" w:hAnsi="Times New Roman" w:cs="Times New Roman"/>
                <w:color w:val="auto"/>
                <w:kern w:val="0"/>
                <w:szCs w:val="21"/>
              </w:rPr>
              <w:t>面</w:t>
            </w:r>
            <w:r>
              <w:rPr>
                <w:rFonts w:hint="default" w:ascii="Times New Roman" w:hAnsi="Times New Roman" w:cs="Times New Roman"/>
                <w:color w:val="auto"/>
                <w:kern w:val="0"/>
                <w:szCs w:val="21"/>
                <w:lang w:val="en-US" w:eastAsia="zh-CN"/>
              </w:rPr>
              <w:t>道路下</w:t>
            </w:r>
            <w:r>
              <w:rPr>
                <w:rFonts w:hint="default" w:ascii="Times New Roman" w:hAnsi="Times New Roman" w:cs="Times New Roman"/>
                <w:color w:val="auto"/>
                <w:kern w:val="0"/>
                <w:szCs w:val="21"/>
              </w:rPr>
              <w:t>已有污水收集管网，标高低于项目化粪池出水口标高，</w:t>
            </w:r>
            <w:r>
              <w:rPr>
                <w:rFonts w:hint="default" w:ascii="Times New Roman" w:hAnsi="Times New Roman" w:cs="Times New Roman"/>
                <w:color w:val="auto"/>
                <w:kern w:val="0"/>
                <w:szCs w:val="21"/>
                <w:lang w:val="en-US" w:eastAsia="zh-CN"/>
              </w:rPr>
              <w:t>化粪池出水口</w:t>
            </w:r>
            <w:r>
              <w:rPr>
                <w:rFonts w:hint="default" w:ascii="Times New Roman" w:hAnsi="Times New Roman" w:cs="Times New Roman"/>
                <w:color w:val="auto"/>
                <w:kern w:val="0"/>
                <w:szCs w:val="21"/>
              </w:rPr>
              <w:t>可</w:t>
            </w:r>
            <w:r>
              <w:rPr>
                <w:rFonts w:hint="default" w:ascii="Times New Roman" w:hAnsi="Times New Roman" w:cs="Times New Roman"/>
                <w:color w:val="auto"/>
                <w:kern w:val="0"/>
                <w:szCs w:val="21"/>
                <w:lang w:val="en-US" w:eastAsia="zh-CN"/>
              </w:rPr>
              <w:t>自流</w:t>
            </w:r>
            <w:r>
              <w:rPr>
                <w:rFonts w:hint="default" w:ascii="Times New Roman" w:hAnsi="Times New Roman" w:cs="Times New Roman"/>
                <w:color w:val="auto"/>
                <w:kern w:val="0"/>
                <w:szCs w:val="21"/>
              </w:rPr>
              <w:t>排至污水管网，最终进入</w:t>
            </w:r>
            <w:r>
              <w:rPr>
                <w:rFonts w:hint="default" w:ascii="Times New Roman" w:hAnsi="Times New Roman" w:cs="Times New Roman"/>
                <w:color w:val="auto"/>
                <w:kern w:val="0"/>
                <w:szCs w:val="21"/>
                <w:lang w:val="en-US" w:eastAsia="zh-CN"/>
              </w:rPr>
              <w:t>园区</w:t>
            </w:r>
            <w:r>
              <w:rPr>
                <w:rFonts w:hint="eastAsia" w:cs="Times New Roman"/>
                <w:color w:val="auto"/>
                <w:kern w:val="0"/>
                <w:szCs w:val="21"/>
                <w:lang w:val="en-US" w:eastAsia="zh-CN"/>
              </w:rPr>
              <w:t>污水处理厂</w:t>
            </w:r>
            <w:r>
              <w:rPr>
                <w:rFonts w:hint="default" w:ascii="Times New Roman" w:hAnsi="Times New Roman" w:cs="Times New Roman"/>
                <w:color w:val="auto"/>
                <w:kern w:val="0"/>
                <w:szCs w:val="21"/>
              </w:rPr>
              <w:t>处理。因此，本项目生活污水排入</w:t>
            </w:r>
            <w:r>
              <w:rPr>
                <w:rFonts w:hint="default" w:ascii="Times New Roman" w:hAnsi="Times New Roman" w:cs="Times New Roman"/>
                <w:color w:val="auto"/>
                <w:kern w:val="0"/>
                <w:szCs w:val="21"/>
                <w:lang w:val="en-US" w:eastAsia="zh-CN"/>
              </w:rPr>
              <w:t>园区</w:t>
            </w:r>
            <w:r>
              <w:rPr>
                <w:rFonts w:hint="default" w:ascii="Times New Roman" w:hAnsi="Times New Roman" w:cs="Times New Roman"/>
                <w:color w:val="auto"/>
                <w:kern w:val="0"/>
                <w:szCs w:val="21"/>
              </w:rPr>
              <w:t>污水处理厂处理是可行的，也是可靠的。</w:t>
            </w:r>
          </w:p>
          <w:p>
            <w:pPr>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采取上述措施处理后，项目废水不会对区域地表水环境产生影响。所采取的措施经济合理，技术可行。</w:t>
            </w:r>
          </w:p>
          <w:p>
            <w:pPr>
              <w:numPr>
                <w:ilvl w:val="0"/>
                <w:numId w:val="19"/>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噪声</w:t>
            </w:r>
          </w:p>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lang w:val="zh-CN"/>
              </w:rPr>
              <w:t>（</w:t>
            </w:r>
            <w:r>
              <w:rPr>
                <w:rFonts w:hint="default" w:ascii="Times New Roman" w:hAnsi="Times New Roman" w:cs="Times New Roman"/>
                <w:b/>
                <w:bCs/>
                <w:color w:val="auto"/>
                <w:szCs w:val="21"/>
              </w:rPr>
              <w:t>1</w:t>
            </w:r>
            <w:r>
              <w:rPr>
                <w:rFonts w:hint="default" w:ascii="Times New Roman" w:hAnsi="Times New Roman" w:cs="Times New Roman"/>
                <w:b/>
                <w:bCs/>
                <w:color w:val="auto"/>
                <w:szCs w:val="21"/>
                <w:lang w:val="zh-CN"/>
              </w:rPr>
              <w:t>）噪声源强</w:t>
            </w:r>
          </w:p>
          <w:p>
            <w:pPr>
              <w:spacing w:line="400" w:lineRule="exact"/>
              <w:ind w:firstLine="420" w:firstLineChars="200"/>
              <w:rPr>
                <w:rFonts w:hint="default" w:ascii="Times New Roman" w:hAnsi="Times New Roman" w:eastAsia="黑体" w:cs="Times New Roman"/>
                <w:color w:val="auto"/>
                <w:kern w:val="0"/>
                <w:szCs w:val="21"/>
              </w:rPr>
            </w:pPr>
            <w:r>
              <w:rPr>
                <w:rFonts w:hint="default" w:ascii="Times New Roman" w:hAnsi="Times New Roman" w:cs="Times New Roman"/>
                <w:color w:val="auto"/>
                <w:szCs w:val="21"/>
              </w:rPr>
              <w:t>项目运营期间，噪声主要来源于输送油泵、运输车辆等机械设备，噪声持续时间主要集中在运输车辆进出厂区及装卸油阶段，持续时间约和跟类比相同类型的设备噪声，声源强度为</w:t>
            </w:r>
            <w:r>
              <w:rPr>
                <w:rFonts w:hint="eastAsia" w:cs="Times New Roman"/>
                <w:color w:val="auto"/>
                <w:szCs w:val="21"/>
                <w:lang w:val="en-US" w:eastAsia="zh-CN"/>
              </w:rPr>
              <w:t>65</w:t>
            </w:r>
            <w:r>
              <w:rPr>
                <w:rFonts w:hint="default" w:ascii="Times New Roman" w:hAnsi="Times New Roman" w:cs="Times New Roman"/>
                <w:color w:val="auto"/>
                <w:szCs w:val="21"/>
              </w:rPr>
              <w:t>~</w:t>
            </w:r>
            <w:r>
              <w:rPr>
                <w:rFonts w:hint="eastAsia" w:cs="Times New Roman"/>
                <w:color w:val="auto"/>
                <w:szCs w:val="21"/>
                <w:lang w:val="en-US" w:eastAsia="zh-CN"/>
              </w:rPr>
              <w:t>70</w:t>
            </w:r>
            <w:r>
              <w:rPr>
                <w:rFonts w:hint="default" w:ascii="Times New Roman" w:hAnsi="Times New Roman" w:cs="Times New Roman"/>
                <w:color w:val="auto"/>
                <w:szCs w:val="21"/>
              </w:rPr>
              <w:t>dB（A）。项目主要噪声污染源源强核算结果及相关参数见下表。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主要噪声污染源源强一览表    单位：dB（A）</w:t>
            </w:r>
          </w:p>
          <w:tbl>
            <w:tblPr>
              <w:tblStyle w:val="17"/>
              <w:tblW w:w="790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626"/>
              <w:gridCol w:w="417"/>
              <w:gridCol w:w="749"/>
              <w:gridCol w:w="474"/>
              <w:gridCol w:w="780"/>
              <w:gridCol w:w="634"/>
              <w:gridCol w:w="1318"/>
              <w:gridCol w:w="786"/>
              <w:gridCol w:w="760"/>
              <w:gridCol w:w="786"/>
              <w:gridCol w:w="570"/>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5" w:hRule="atLeast"/>
                <w:jc w:val="center"/>
              </w:trPr>
              <w:tc>
                <w:tcPr>
                  <w:tcW w:w="626" w:type="dxa"/>
                  <w:vMerge w:val="restar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工序/</w:t>
                  </w:r>
                </w:p>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生产线</w:t>
                  </w:r>
                </w:p>
              </w:tc>
              <w:tc>
                <w:tcPr>
                  <w:tcW w:w="417"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装置</w:t>
                  </w:r>
                </w:p>
              </w:tc>
              <w:tc>
                <w:tcPr>
                  <w:tcW w:w="749"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噪声源</w:t>
                  </w:r>
                </w:p>
              </w:tc>
              <w:tc>
                <w:tcPr>
                  <w:tcW w:w="474"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声源类型</w:t>
                  </w:r>
                </w:p>
              </w:tc>
              <w:tc>
                <w:tcPr>
                  <w:tcW w:w="1414" w:type="dxa"/>
                  <w:gridSpan w:val="2"/>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噪声源强</w:t>
                  </w:r>
                </w:p>
              </w:tc>
              <w:tc>
                <w:tcPr>
                  <w:tcW w:w="2104" w:type="dxa"/>
                  <w:gridSpan w:val="2"/>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降噪措施</w:t>
                  </w:r>
                </w:p>
              </w:tc>
              <w:tc>
                <w:tcPr>
                  <w:tcW w:w="1546" w:type="dxa"/>
                  <w:gridSpan w:val="2"/>
                  <w:tcBorders>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噪声排放值</w:t>
                  </w:r>
                </w:p>
              </w:tc>
              <w:tc>
                <w:tcPr>
                  <w:tcW w:w="570"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持续时间(h/a)</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5" w:hRule="atLeast"/>
                <w:jc w:val="center"/>
              </w:trPr>
              <w:tc>
                <w:tcPr>
                  <w:tcW w:w="626" w:type="dxa"/>
                  <w:vMerge w:val="continue"/>
                  <w:tcBorders>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p>
              </w:tc>
              <w:tc>
                <w:tcPr>
                  <w:tcW w:w="417"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p>
              </w:tc>
              <w:tc>
                <w:tcPr>
                  <w:tcW w:w="749"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p>
              </w:tc>
              <w:tc>
                <w:tcPr>
                  <w:tcW w:w="47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p>
              </w:tc>
              <w:tc>
                <w:tcPr>
                  <w:tcW w:w="78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核算方法</w:t>
                  </w:r>
                </w:p>
              </w:tc>
              <w:tc>
                <w:tcPr>
                  <w:tcW w:w="63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噪声值</w:t>
                  </w:r>
                </w:p>
              </w:tc>
              <w:tc>
                <w:tcPr>
                  <w:tcW w:w="1318" w:type="dxa"/>
                  <w:tcBorders>
                    <w:top w:val="single" w:color="auto"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工艺</w:t>
                  </w:r>
                </w:p>
              </w:tc>
              <w:tc>
                <w:tcPr>
                  <w:tcW w:w="786" w:type="dxa"/>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降噪效果</w:t>
                  </w:r>
                </w:p>
              </w:tc>
              <w:tc>
                <w:tcPr>
                  <w:tcW w:w="760" w:type="dxa"/>
                  <w:tcBorders>
                    <w:top w:val="single" w:color="auto"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核算方法</w:t>
                  </w:r>
                </w:p>
              </w:tc>
              <w:tc>
                <w:tcPr>
                  <w:tcW w:w="786"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排放强度</w:t>
                  </w:r>
                </w:p>
              </w:tc>
              <w:tc>
                <w:tcPr>
                  <w:tcW w:w="570" w:type="dxa"/>
                  <w:vMerge w:val="continue"/>
                  <w:tcBorders>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5" w:hRule="atLeast"/>
                <w:jc w:val="center"/>
              </w:trPr>
              <w:tc>
                <w:tcPr>
                  <w:tcW w:w="626"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装卸</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动力泵</w:t>
                  </w:r>
                </w:p>
              </w:tc>
              <w:tc>
                <w:tcPr>
                  <w:tcW w:w="4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偶发</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1318" w:type="dxa"/>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优选设备、建筑隔声、加强管理</w:t>
                  </w:r>
                </w:p>
              </w:tc>
              <w:tc>
                <w:tcPr>
                  <w:tcW w:w="786"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76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786"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70" w:type="dxa"/>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6" w:hRule="atLeast"/>
                <w:jc w:val="center"/>
              </w:trPr>
              <w:tc>
                <w:tcPr>
                  <w:tcW w:w="626"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运输</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汽车噪声</w:t>
                  </w:r>
                </w:p>
              </w:tc>
              <w:tc>
                <w:tcPr>
                  <w:tcW w:w="4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偶发</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1318" w:type="dxa"/>
                  <w:vMerge w:val="continue"/>
                  <w:tcBorders>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p>
              </w:tc>
              <w:tc>
                <w:tcPr>
                  <w:tcW w:w="786" w:type="dxa"/>
                  <w:tcBorders>
                    <w:top w:val="single" w:color="auto" w:sz="4" w:space="0"/>
                    <w:left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76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类比法</w:t>
                  </w:r>
                </w:p>
              </w:tc>
              <w:tc>
                <w:tcPr>
                  <w:tcW w:w="786"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570" w:type="dxa"/>
                  <w:tcBorders>
                    <w:top w:val="single" w:color="000000" w:sz="4" w:space="0"/>
                    <w:left w:val="single" w:color="auto"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 w:leftChars="-5" w:right="-10" w:rightChars="-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bl>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lang w:val="zh-CN"/>
              </w:rPr>
              <w:t>（</w:t>
            </w:r>
            <w:r>
              <w:rPr>
                <w:rFonts w:hint="default" w:ascii="Times New Roman" w:hAnsi="Times New Roman" w:cs="Times New Roman"/>
                <w:b/>
                <w:bCs/>
                <w:color w:val="auto"/>
                <w:szCs w:val="21"/>
                <w:lang w:val="en-US" w:eastAsia="zh-CN"/>
              </w:rPr>
              <w:t>2</w:t>
            </w:r>
            <w:r>
              <w:rPr>
                <w:rFonts w:hint="default" w:ascii="Times New Roman" w:hAnsi="Times New Roman" w:cs="Times New Roman"/>
                <w:b/>
                <w:bCs/>
                <w:color w:val="auto"/>
                <w:szCs w:val="21"/>
                <w:lang w:val="zh-CN"/>
              </w:rPr>
              <w:t>）</w:t>
            </w:r>
            <w:r>
              <w:rPr>
                <w:rFonts w:hint="default" w:ascii="Times New Roman" w:hAnsi="Times New Roman" w:cs="Times New Roman"/>
                <w:b/>
                <w:bCs/>
                <w:color w:val="auto"/>
                <w:szCs w:val="21"/>
                <w:lang w:val="en-US" w:eastAsia="zh-CN"/>
              </w:rPr>
              <w:t>噪声</w:t>
            </w:r>
            <w:r>
              <w:rPr>
                <w:rFonts w:hint="default" w:ascii="Times New Roman" w:hAnsi="Times New Roman" w:cs="Times New Roman"/>
                <w:b/>
                <w:bCs/>
                <w:color w:val="auto"/>
                <w:szCs w:val="21"/>
              </w:rPr>
              <w:t>治理措施</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①优选设备。尽量选择低噪声且符合国家噪声标准的设备。建立设备定期维护、保养的管理制度，定期对设备进行维护、保养，使其处于较低的声级水平。</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②优化布局、建筑隔声。在总体布置上，将所有设备布置在封闭的车间内，</w:t>
            </w:r>
            <w:r>
              <w:rPr>
                <w:rFonts w:hint="eastAsia" w:cs="Times New Roman"/>
                <w:b w:val="0"/>
                <w:bCs w:val="0"/>
                <w:color w:val="auto"/>
                <w:szCs w:val="21"/>
                <w:lang w:val="en-US" w:eastAsia="zh-CN"/>
              </w:rPr>
              <w:t>装卸作业全部在封闭的车间内进行</w:t>
            </w:r>
            <w:r>
              <w:rPr>
                <w:rFonts w:hint="default" w:ascii="Times New Roman" w:hAnsi="Times New Roman" w:cs="Times New Roman"/>
                <w:b w:val="0"/>
                <w:bCs w:val="0"/>
                <w:color w:val="auto"/>
                <w:szCs w:val="21"/>
                <w:lang w:val="en-US" w:eastAsia="zh-CN"/>
              </w:rPr>
              <w:t>；充分利用建筑物阻隔声波传播，减少噪声对厂界外环境的影响。</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③加强</w:t>
            </w:r>
            <w:r>
              <w:rPr>
                <w:rFonts w:hint="eastAsia" w:cs="Times New Roman"/>
                <w:b w:val="0"/>
                <w:bCs w:val="0"/>
                <w:color w:val="auto"/>
                <w:szCs w:val="21"/>
                <w:lang w:val="en-US" w:eastAsia="zh-CN"/>
              </w:rPr>
              <w:t>员工</w:t>
            </w:r>
            <w:r>
              <w:rPr>
                <w:rFonts w:hint="default" w:ascii="Times New Roman" w:hAnsi="Times New Roman" w:cs="Times New Roman"/>
                <w:b w:val="0"/>
                <w:bCs w:val="0"/>
                <w:color w:val="auto"/>
                <w:szCs w:val="21"/>
                <w:lang w:val="en-US" w:eastAsia="zh-CN"/>
              </w:rPr>
              <w:t>培训和管理，严格遵守操作规程，避免抽油泵空转，降低噪声值。</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④加强运输车辆的管理。合理安排运输、装卸作业时间，场内设置减速、禁鸣等标识</w:t>
            </w:r>
            <w:r>
              <w:rPr>
                <w:rFonts w:hint="eastAsia" w:cs="Times New Roman"/>
                <w:b w:val="0"/>
                <w:bCs w:val="0"/>
                <w:color w:val="auto"/>
                <w:szCs w:val="21"/>
                <w:lang w:val="en-US" w:eastAsia="zh-CN"/>
              </w:rPr>
              <w:t>加以</w:t>
            </w:r>
            <w:r>
              <w:rPr>
                <w:rFonts w:hint="default" w:ascii="Times New Roman" w:hAnsi="Times New Roman" w:cs="Times New Roman"/>
                <w:b w:val="0"/>
                <w:bCs w:val="0"/>
                <w:color w:val="auto"/>
                <w:szCs w:val="21"/>
                <w:lang w:val="en-US" w:eastAsia="zh-CN"/>
              </w:rPr>
              <w:t>引导，减轻运输车辆噪声影响。</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⑤加强职工环保意识教育，提倡文明生产，防止人为噪声，最大限度减少流动噪声源。对作业人员和管理人员发放个人劳动卫生防护用品</w:t>
            </w:r>
            <w:r>
              <w:rPr>
                <w:rFonts w:hint="eastAsia" w:cs="Times New Roman"/>
                <w:b w:val="0"/>
                <w:bCs w:val="0"/>
                <w:color w:val="auto"/>
                <w:szCs w:val="21"/>
                <w:lang w:val="en-US" w:eastAsia="zh-CN"/>
              </w:rPr>
              <w:t>等</w:t>
            </w:r>
            <w:r>
              <w:rPr>
                <w:rFonts w:hint="default" w:ascii="Times New Roman" w:hAnsi="Times New Roman" w:cs="Times New Roman"/>
                <w:b w:val="0"/>
                <w:bCs w:val="0"/>
                <w:color w:val="auto"/>
                <w:szCs w:val="21"/>
                <w:lang w:val="en-US" w:eastAsia="zh-CN"/>
              </w:rPr>
              <w:t>。</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 xml:space="preserve"> </w:t>
            </w:r>
          </w:p>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w:t>
            </w:r>
            <w:r>
              <w:rPr>
                <w:rFonts w:hint="default" w:ascii="Times New Roman" w:hAnsi="Times New Roman" w:cs="Times New Roman"/>
                <w:b/>
                <w:bCs/>
                <w:color w:val="auto"/>
                <w:szCs w:val="21"/>
                <w:lang w:val="en-US" w:eastAsia="zh-CN"/>
              </w:rPr>
              <w:t>3</w:t>
            </w:r>
            <w:r>
              <w:rPr>
                <w:rFonts w:hint="default" w:ascii="Times New Roman" w:hAnsi="Times New Roman" w:cs="Times New Roman"/>
                <w:b/>
                <w:bCs/>
                <w:color w:val="auto"/>
                <w:szCs w:val="21"/>
              </w:rPr>
              <w:t>）</w:t>
            </w:r>
            <w:r>
              <w:rPr>
                <w:rFonts w:hint="default" w:ascii="Times New Roman" w:hAnsi="Times New Roman" w:cs="Times New Roman"/>
                <w:b/>
                <w:bCs/>
                <w:color w:val="auto"/>
                <w:szCs w:val="21"/>
                <w:lang w:val="zh-CN"/>
              </w:rPr>
              <w:t>噪声</w:t>
            </w:r>
            <w:r>
              <w:rPr>
                <w:rFonts w:hint="default" w:ascii="Times New Roman" w:hAnsi="Times New Roman" w:cs="Times New Roman"/>
                <w:b/>
                <w:bCs/>
                <w:color w:val="auto"/>
                <w:szCs w:val="21"/>
              </w:rPr>
              <w:t>排放达标性分析</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本项目噪声主要来自装卸作业时的设备噪声，属于间歇排放。根据类比调查，装卸作业时整体噪声在65~70dB(A)</w:t>
            </w:r>
            <w:r>
              <w:rPr>
                <w:rFonts w:hint="eastAsia" w:cs="Times New Roman"/>
                <w:b w:val="0"/>
                <w:bCs w:val="0"/>
                <w:color w:val="auto"/>
                <w:szCs w:val="21"/>
                <w:lang w:val="en-US" w:eastAsia="zh-CN"/>
              </w:rPr>
              <w:t>。项目</w:t>
            </w:r>
            <w:r>
              <w:rPr>
                <w:rFonts w:hint="default" w:ascii="Times New Roman" w:hAnsi="Times New Roman" w:cs="Times New Roman"/>
                <w:b w:val="0"/>
                <w:bCs w:val="0"/>
                <w:color w:val="auto"/>
                <w:szCs w:val="21"/>
                <w:lang w:val="en-US" w:eastAsia="zh-CN"/>
              </w:rPr>
              <w:t>车辆和油泵不会同时运行，因此，项目作业时的噪声的强度最大为70dB（A），经距离衰减、建筑隔声后，厂界贡献值低于6</w:t>
            </w:r>
            <w:r>
              <w:rPr>
                <w:rFonts w:hint="eastAsia" w:cs="Times New Roman"/>
                <w:b w:val="0"/>
                <w:bCs w:val="0"/>
                <w:color w:val="auto"/>
                <w:szCs w:val="21"/>
                <w:lang w:val="en-US" w:eastAsia="zh-CN"/>
              </w:rPr>
              <w:t>5</w:t>
            </w:r>
            <w:r>
              <w:rPr>
                <w:rFonts w:hint="default" w:ascii="Times New Roman" w:hAnsi="Times New Roman" w:cs="Times New Roman"/>
                <w:b w:val="0"/>
                <w:bCs w:val="0"/>
                <w:color w:val="auto"/>
                <w:szCs w:val="21"/>
                <w:lang w:val="en-US" w:eastAsia="zh-CN"/>
              </w:rPr>
              <w:t>dB（A）。</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项目噪声主要</w:t>
            </w:r>
            <w:r>
              <w:rPr>
                <w:rFonts w:hint="default" w:ascii="Times New Roman" w:hAnsi="Times New Roman" w:cs="Times New Roman"/>
                <w:color w:val="auto"/>
                <w:szCs w:val="21"/>
                <w:lang w:val="en-US" w:eastAsia="zh-CN"/>
              </w:rPr>
              <w:t>噪声</w:t>
            </w:r>
            <w:r>
              <w:rPr>
                <w:rFonts w:hint="default" w:ascii="Times New Roman" w:hAnsi="Times New Roman" w:cs="Times New Roman"/>
                <w:color w:val="auto"/>
                <w:szCs w:val="21"/>
              </w:rPr>
              <w:t>设备</w:t>
            </w:r>
            <w:r>
              <w:rPr>
                <w:rFonts w:hint="default" w:ascii="Times New Roman" w:hAnsi="Times New Roman" w:cs="Times New Roman"/>
                <w:color w:val="auto"/>
                <w:szCs w:val="21"/>
                <w:lang w:val="en-US" w:eastAsia="zh-CN"/>
              </w:rPr>
              <w:t>均在储油车间内，本报告将</w:t>
            </w:r>
            <w:r>
              <w:rPr>
                <w:rFonts w:hint="default" w:ascii="Times New Roman" w:hAnsi="Times New Roman" w:cs="Times New Roman"/>
                <w:color w:val="auto"/>
                <w:szCs w:val="21"/>
              </w:rPr>
              <w:t>项目主要噪声源进行能量叠加后所得到的合成声级视为一个声源，并以半球向外辐射传播，仅考虑声源的距离衰减</w:t>
            </w:r>
            <w:r>
              <w:rPr>
                <w:rFonts w:hint="default" w:ascii="Times New Roman" w:hAnsi="Times New Roman" w:cs="Times New Roman"/>
                <w:color w:val="auto"/>
                <w:szCs w:val="21"/>
                <w:lang w:val="en-US" w:eastAsia="zh-CN"/>
              </w:rPr>
              <w:t>进行预测。</w:t>
            </w:r>
            <w:r>
              <w:rPr>
                <w:rFonts w:hint="default" w:ascii="Times New Roman" w:hAnsi="Times New Roman" w:cs="Times New Roman"/>
                <w:color w:val="auto"/>
                <w:szCs w:val="21"/>
              </w:rPr>
              <w:t>按照“环评导则”推荐的噪声衰减预测模式，对项目场界给出噪声贡献值，经预测计算得到的结果见下表。</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en-US" w:eastAsia="zh-CN"/>
              </w:rPr>
              <w:t>项目</w:t>
            </w:r>
            <w:r>
              <w:rPr>
                <w:rFonts w:hint="eastAsia" w:eastAsia="黑体" w:cs="Times New Roman"/>
                <w:color w:val="auto"/>
                <w:kern w:val="0"/>
                <w:sz w:val="20"/>
                <w:szCs w:val="20"/>
                <w:highlight w:val="none"/>
                <w:lang w:val="en-US" w:eastAsia="zh-CN"/>
              </w:rPr>
              <w:t>施工期</w:t>
            </w:r>
            <w:r>
              <w:rPr>
                <w:rFonts w:hint="default" w:ascii="Times New Roman" w:hAnsi="Times New Roman" w:eastAsia="黑体" w:cs="Times New Roman"/>
                <w:color w:val="auto"/>
                <w:kern w:val="0"/>
                <w:sz w:val="20"/>
                <w:szCs w:val="20"/>
                <w:highlight w:val="none"/>
                <w:lang w:val="en-US" w:eastAsia="zh-CN"/>
              </w:rPr>
              <w:t>厂界</w:t>
            </w:r>
            <w:r>
              <w:rPr>
                <w:rFonts w:hint="eastAsia" w:eastAsia="黑体" w:cs="Times New Roman"/>
                <w:color w:val="auto"/>
                <w:kern w:val="0"/>
                <w:sz w:val="20"/>
                <w:szCs w:val="20"/>
                <w:highlight w:val="none"/>
                <w:lang w:val="en-US" w:eastAsia="zh-CN"/>
              </w:rPr>
              <w:t>噪声</w:t>
            </w:r>
            <w:r>
              <w:rPr>
                <w:rFonts w:hint="default" w:ascii="Times New Roman" w:hAnsi="Times New Roman" w:eastAsia="黑体" w:cs="Times New Roman"/>
                <w:color w:val="auto"/>
                <w:kern w:val="0"/>
                <w:sz w:val="20"/>
                <w:szCs w:val="20"/>
                <w:highlight w:val="none"/>
                <w:lang w:val="en-US" w:eastAsia="zh-CN"/>
              </w:rPr>
              <w:t>预测结果</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02"/>
              <w:gridCol w:w="2144"/>
              <w:gridCol w:w="1128"/>
              <w:gridCol w:w="1099"/>
              <w:gridCol w:w="1116"/>
              <w:gridCol w:w="1143"/>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1"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序号</w:t>
                  </w:r>
                </w:p>
              </w:tc>
              <w:tc>
                <w:tcPr>
                  <w:tcW w:w="214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声环境保护目标名称</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噪声背景值/dB(A)</w:t>
                  </w:r>
                </w:p>
              </w:tc>
              <w:tc>
                <w:tcPr>
                  <w:tcW w:w="1099"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噪声现状值/dB(A)</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噪声标准/dB(A)</w:t>
                  </w:r>
                </w:p>
              </w:tc>
              <w:tc>
                <w:tcPr>
                  <w:tcW w:w="1143"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噪声贡献值/dB(A)</w:t>
                  </w:r>
                </w:p>
              </w:tc>
              <w:tc>
                <w:tcPr>
                  <w:tcW w:w="78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bookmarkStart w:id="6" w:name="_GoBack" w:colFirst="3" w:colLast="3"/>
                  <w:r>
                    <w:rPr>
                      <w:rFonts w:hint="default" w:ascii="Times New Roman" w:hAnsi="Times New Roman" w:cs="Times New Roman"/>
                      <w:color w:val="auto"/>
                      <w:sz w:val="18"/>
                      <w:szCs w:val="18"/>
                      <w:highlight w:val="none"/>
                      <w:lang w:val="en-US" w:eastAsia="zh-CN"/>
                    </w:rPr>
                    <w:t>1</w:t>
                  </w:r>
                </w:p>
              </w:tc>
              <w:tc>
                <w:tcPr>
                  <w:tcW w:w="2144"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东界</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135</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lang w:val="en-US" w:eastAsia="zh-CN"/>
                    </w:rPr>
                    <w:t>）</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1099"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color w:val="auto"/>
                      <w:szCs w:val="21"/>
                      <w:u w:val="single"/>
                      <w:lang w:val="en-US" w:eastAsia="zh-CN"/>
                    </w:rPr>
                    <w:t>***</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65</w:t>
                  </w:r>
                </w:p>
              </w:tc>
              <w:tc>
                <w:tcPr>
                  <w:tcW w:w="1143" w:type="dxa"/>
                  <w:shd w:val="clear" w:color="auto" w:fill="FFFFFF"/>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33.7</w:t>
                  </w:r>
                </w:p>
              </w:tc>
              <w:tc>
                <w:tcPr>
                  <w:tcW w:w="78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w:t>
                  </w:r>
                </w:p>
              </w:tc>
              <w:tc>
                <w:tcPr>
                  <w:tcW w:w="2144"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南界</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84</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13</w:t>
                  </w:r>
                  <w:r>
                    <w:rPr>
                      <w:rFonts w:hint="eastAsia" w:ascii="Times New Roman" w:hAnsi="Times New Roman"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lang w:val="en-US" w:eastAsia="zh-CN"/>
                    </w:rPr>
                    <w:t>）</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1099"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color w:val="auto"/>
                      <w:szCs w:val="21"/>
                      <w:u w:val="single"/>
                      <w:lang w:val="en-US" w:eastAsia="zh-CN"/>
                    </w:rPr>
                    <w:t>***</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65</w:t>
                  </w:r>
                </w:p>
              </w:tc>
              <w:tc>
                <w:tcPr>
                  <w:tcW w:w="1143" w:type="dxa"/>
                  <w:shd w:val="clear" w:color="auto" w:fill="FFFFFF"/>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25.9</w:t>
                  </w:r>
                </w:p>
              </w:tc>
              <w:tc>
                <w:tcPr>
                  <w:tcW w:w="78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3</w:t>
                  </w:r>
                </w:p>
              </w:tc>
              <w:tc>
                <w:tcPr>
                  <w:tcW w:w="2144"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西</w:t>
                  </w:r>
                  <w:r>
                    <w:rPr>
                      <w:rFonts w:hint="default" w:ascii="Times New Roman" w:hAnsi="Times New Roman" w:cs="Times New Roman"/>
                      <w:color w:val="auto"/>
                      <w:sz w:val="18"/>
                      <w:szCs w:val="18"/>
                      <w:highlight w:val="none"/>
                      <w:lang w:val="en-US" w:eastAsia="zh-CN"/>
                    </w:rPr>
                    <w:t>界</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70</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14</w:t>
                  </w:r>
                  <w:r>
                    <w:rPr>
                      <w:rFonts w:hint="eastAsia" w:ascii="Times New Roman" w:hAnsi="Times New Roman" w:eastAsia="宋体"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lang w:val="en-US" w:eastAsia="zh-CN"/>
                    </w:rPr>
                    <w:t>）</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1099"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color w:val="auto"/>
                      <w:szCs w:val="21"/>
                      <w:u w:val="single"/>
                      <w:lang w:val="en-US" w:eastAsia="zh-CN"/>
                    </w:rPr>
                    <w:t>***</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65</w:t>
                  </w:r>
                </w:p>
              </w:tc>
              <w:tc>
                <w:tcPr>
                  <w:tcW w:w="1143" w:type="dxa"/>
                  <w:shd w:val="clear" w:color="auto" w:fill="FFFFFF"/>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50.0</w:t>
                  </w:r>
                </w:p>
              </w:tc>
              <w:tc>
                <w:tcPr>
                  <w:tcW w:w="78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4</w:t>
                  </w:r>
                </w:p>
              </w:tc>
              <w:tc>
                <w:tcPr>
                  <w:tcW w:w="2144"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北界</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80</w:t>
                  </w:r>
                  <w:r>
                    <w:rPr>
                      <w:rFonts w:hint="default" w:ascii="Times New Roman" w:hAnsi="Times New Roman" w:eastAsia="宋体" w:cs="Times New Roman"/>
                      <w:color w:val="auto"/>
                      <w:sz w:val="18"/>
                      <w:szCs w:val="18"/>
                      <w:highlight w:val="none"/>
                      <w:lang w:val="en-US" w:eastAsia="zh-CN"/>
                    </w:rPr>
                    <w:t>，</w:t>
                  </w:r>
                  <w:r>
                    <w:rPr>
                      <w:rFonts w:hint="eastAsia" w:cs="Times New Roman"/>
                      <w:color w:val="auto"/>
                      <w:sz w:val="18"/>
                      <w:szCs w:val="18"/>
                      <w:highlight w:val="none"/>
                      <w:lang w:val="en-US" w:eastAsia="zh-CN"/>
                    </w:rPr>
                    <w:t>137</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lang w:val="en-US" w:eastAsia="zh-CN"/>
                    </w:rPr>
                    <w:t>）</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w:t>
                  </w:r>
                </w:p>
              </w:tc>
              <w:tc>
                <w:tcPr>
                  <w:tcW w:w="1099"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color w:val="auto"/>
                      <w:szCs w:val="21"/>
                      <w:u w:val="single"/>
                      <w:lang w:val="en-US" w:eastAsia="zh-CN"/>
                    </w:rPr>
                    <w:t>***</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65</w:t>
                  </w:r>
                </w:p>
              </w:tc>
              <w:tc>
                <w:tcPr>
                  <w:tcW w:w="1143" w:type="dxa"/>
                  <w:shd w:val="clear" w:color="auto" w:fill="FFFFFF"/>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36.4</w:t>
                  </w:r>
                </w:p>
              </w:tc>
              <w:tc>
                <w:tcPr>
                  <w:tcW w:w="78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达标</w:t>
                  </w:r>
                </w:p>
              </w:tc>
            </w:tr>
            <w:bookmarkEnd w:id="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1" w:hRule="atLeast"/>
                <w:jc w:val="center"/>
              </w:trPr>
              <w:tc>
                <w:tcPr>
                  <w:tcW w:w="8016" w:type="dxa"/>
                  <w:gridSpan w:val="7"/>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说明：表中坐标以</w:t>
                  </w:r>
                  <w:r>
                    <w:rPr>
                      <w:rFonts w:hint="eastAsia" w:ascii="Times New Roman" w:hAnsi="Times New Roman" w:cs="Times New Roman"/>
                      <w:color w:val="auto"/>
                      <w:sz w:val="18"/>
                      <w:szCs w:val="18"/>
                      <w:highlight w:val="none"/>
                      <w:lang w:val="en-US" w:eastAsia="zh-CN"/>
                    </w:rPr>
                    <w:t>君璜公司进出</w:t>
                  </w:r>
                  <w:r>
                    <w:rPr>
                      <w:rFonts w:hint="eastAsia" w:ascii="Times New Roman" w:hAnsi="Times New Roman" w:eastAsia="宋体" w:cs="Times New Roman"/>
                      <w:color w:val="auto"/>
                      <w:sz w:val="18"/>
                      <w:szCs w:val="18"/>
                      <w:highlight w:val="none"/>
                      <w:lang w:val="en-US" w:eastAsia="zh-CN"/>
                    </w:rPr>
                    <w:t>大门</w:t>
                  </w:r>
                  <w:r>
                    <w:rPr>
                      <w:rFonts w:hint="default" w:ascii="Times New Roman" w:hAnsi="Times New Roman" w:eastAsia="宋体" w:cs="Times New Roman"/>
                      <w:color w:val="auto"/>
                      <w:sz w:val="18"/>
                      <w:szCs w:val="18"/>
                      <w:highlight w:val="none"/>
                      <w:lang w:val="en-US" w:eastAsia="zh-CN"/>
                    </w:rPr>
                    <w:t>为中心为坐标原点，正东向为X轴正方向，正北向为Y轴正方向</w:t>
                  </w:r>
                  <w:r>
                    <w:rPr>
                      <w:rFonts w:hint="eastAsia" w:ascii="Times New Roman" w:hAnsi="Times New Roman" w:eastAsia="宋体" w:cs="Times New Roman"/>
                      <w:color w:val="auto"/>
                      <w:sz w:val="18"/>
                      <w:szCs w:val="18"/>
                      <w:highlight w:val="none"/>
                      <w:lang w:val="en-US" w:eastAsia="zh-CN"/>
                    </w:rPr>
                    <w:t>。</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szCs w:val="21"/>
              </w:rPr>
              <w:t>由上表预测结果可知，本项目在采取</w:t>
            </w:r>
            <w:r>
              <w:rPr>
                <w:rFonts w:hint="default" w:ascii="Times New Roman" w:hAnsi="Times New Roman" w:cs="Times New Roman"/>
                <w:color w:val="auto"/>
                <w:szCs w:val="21"/>
                <w:lang w:val="en-US" w:eastAsia="zh-CN"/>
              </w:rPr>
              <w:t>优选设备、</w:t>
            </w:r>
            <w:r>
              <w:rPr>
                <w:rFonts w:hint="default" w:ascii="Times New Roman" w:hAnsi="Times New Roman" w:cs="Times New Roman"/>
                <w:color w:val="auto"/>
                <w:szCs w:val="21"/>
              </w:rPr>
              <w:t>建筑隔声、基础减振、距离衰减等措施的情况下，项目厂界四周噪声</w:t>
            </w:r>
            <w:r>
              <w:rPr>
                <w:rFonts w:hint="default" w:ascii="Times New Roman" w:hAnsi="Times New Roman" w:cs="Times New Roman"/>
                <w:color w:val="auto"/>
                <w:szCs w:val="21"/>
                <w:lang w:val="en-US" w:eastAsia="zh-CN"/>
              </w:rPr>
              <w:t>贡献值均</w:t>
            </w:r>
            <w:r>
              <w:rPr>
                <w:rFonts w:hint="default" w:ascii="Times New Roman" w:hAnsi="Times New Roman" w:cs="Times New Roman"/>
                <w:color w:val="auto"/>
                <w:szCs w:val="21"/>
              </w:rPr>
              <w:t>能够满足《工业企业厂界环境噪声排放标准》（GB12348-2008）</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类声环境功能区的排放限值要求。</w:t>
            </w:r>
            <w:r>
              <w:rPr>
                <w:rFonts w:hint="eastAsia" w:eastAsia="宋体" w:cs="Times New Roman"/>
                <w:color w:val="auto"/>
                <w:kern w:val="0"/>
                <w:szCs w:val="21"/>
                <w:highlight w:val="none"/>
                <w:lang w:val="en-US" w:eastAsia="zh-CN"/>
              </w:rPr>
              <w:t>项目区周围50m范围无住户等环境敏感目标，不会造成扰民影响</w:t>
            </w:r>
            <w:r>
              <w:rPr>
                <w:rFonts w:hint="eastAsia" w:ascii="Times New Roman" w:hAnsi="Times New Roman" w:eastAsia="宋体" w:cs="Times New Roman"/>
                <w:color w:val="auto"/>
                <w:kern w:val="0"/>
                <w:szCs w:val="21"/>
                <w:highlight w:val="none"/>
                <w:lang w:val="en-US" w:eastAsia="zh-CN"/>
              </w:rPr>
              <w:t>，因此不需对敏感点进行预测</w:t>
            </w:r>
            <w:r>
              <w:rPr>
                <w:rFonts w:hint="default" w:ascii="Times New Roman" w:hAnsi="Times New Roman" w:eastAsia="宋体" w:cs="Times New Roman"/>
                <w:color w:val="auto"/>
                <w:kern w:val="0"/>
                <w:szCs w:val="21"/>
                <w:highlight w:val="none"/>
                <w:lang w:val="en-US" w:eastAsia="zh-CN"/>
              </w:rPr>
              <w:t>。</w:t>
            </w:r>
          </w:p>
          <w:p>
            <w:pPr>
              <w:keepNext w:val="0"/>
              <w:keepLines w:val="0"/>
              <w:pageBreakBefore w:val="0"/>
              <w:widowControl w:val="0"/>
              <w:kinsoku/>
              <w:wordWrap/>
              <w:overflowPunct/>
              <w:topLinePunct w:val="0"/>
              <w:bidi w:val="0"/>
              <w:spacing w:line="400" w:lineRule="exact"/>
              <w:ind w:left="-42" w:leftChars="-20" w:right="-42" w:rightChars="-2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评价认为，项目建设不会改变区域声环境质量现状。</w:t>
            </w:r>
          </w:p>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w:t>
            </w:r>
            <w:r>
              <w:rPr>
                <w:rFonts w:hint="default"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）监测要求</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 xml:space="preserve">根据《排污单位自行监测技术指南 总则》（HJ819-2017）文件，并结合本项目污染物的特点，制定营运期噪声监测计划见下表。 </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营运期监测计划</w:t>
            </w:r>
          </w:p>
          <w:tbl>
            <w:tblPr>
              <w:tblStyle w:val="18"/>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2043"/>
              <w:gridCol w:w="1437"/>
              <w:gridCol w:w="1734"/>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325" w:type="dxa"/>
                  <w:noWrap w:val="0"/>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监测项目</w:t>
                  </w:r>
                </w:p>
              </w:tc>
              <w:tc>
                <w:tcPr>
                  <w:tcW w:w="2043" w:type="dxa"/>
                  <w:noWrap w:val="0"/>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监测点位</w:t>
                  </w:r>
                </w:p>
              </w:tc>
              <w:tc>
                <w:tcPr>
                  <w:tcW w:w="1437" w:type="dxa"/>
                  <w:noWrap w:val="0"/>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监测因子</w:t>
                  </w:r>
                </w:p>
              </w:tc>
              <w:tc>
                <w:tcPr>
                  <w:tcW w:w="1734" w:type="dxa"/>
                  <w:noWrap w:val="0"/>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监测频次</w:t>
                  </w:r>
                </w:p>
              </w:tc>
              <w:tc>
                <w:tcPr>
                  <w:tcW w:w="1419" w:type="dxa"/>
                  <w:noWrap w:val="0"/>
                  <w:vAlign w:val="center"/>
                </w:tcPr>
                <w:p>
                  <w:pPr>
                    <w:autoSpaceDE w:val="0"/>
                    <w:autoSpaceDN w:val="0"/>
                    <w:adjustRightInd w:val="0"/>
                    <w:spacing w:line="28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325" w:type="dxa"/>
                  <w:noWrap w:val="0"/>
                  <w:vAlign w:val="center"/>
                </w:tcPr>
                <w:p>
                  <w:pPr>
                    <w:autoSpaceDE w:val="0"/>
                    <w:autoSpaceDN w:val="0"/>
                    <w:adjustRightInd w:val="0"/>
                    <w:spacing w:line="280" w:lineRule="exact"/>
                    <w:ind w:left="-210" w:leftChars="-100" w:right="-105" w:rightChars="-5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噪声</w:t>
                  </w:r>
                </w:p>
              </w:tc>
              <w:tc>
                <w:tcPr>
                  <w:tcW w:w="2043" w:type="dxa"/>
                  <w:noWrap w:val="0"/>
                  <w:vAlign w:val="center"/>
                </w:tcPr>
                <w:p>
                  <w:pPr>
                    <w:autoSpaceDE w:val="0"/>
                    <w:autoSpaceDN w:val="0"/>
                    <w:adjustRightIn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厂界四周</w:t>
                  </w:r>
                </w:p>
              </w:tc>
              <w:tc>
                <w:tcPr>
                  <w:tcW w:w="1437" w:type="dxa"/>
                  <w:noWrap w:val="0"/>
                  <w:vAlign w:val="center"/>
                </w:tcPr>
                <w:p>
                  <w:pPr>
                    <w:autoSpaceDE w:val="0"/>
                    <w:autoSpaceDN w:val="0"/>
                    <w:adjustRightInd w:val="0"/>
                    <w:spacing w:line="280" w:lineRule="exact"/>
                    <w:jc w:val="center"/>
                    <w:rPr>
                      <w:rFonts w:hint="default" w:ascii="Times New Roman" w:hAnsi="Times New Roman" w:cs="Times New Roman"/>
                      <w:bCs/>
                      <w:color w:val="auto"/>
                      <w:sz w:val="18"/>
                      <w:szCs w:val="18"/>
                      <w:lang w:val="zh-CN"/>
                    </w:rPr>
                  </w:pPr>
                  <w:r>
                    <w:rPr>
                      <w:rFonts w:hint="default" w:ascii="Times New Roman" w:hAnsi="Times New Roman" w:cs="Times New Roman"/>
                      <w:bCs/>
                      <w:color w:val="auto"/>
                      <w:sz w:val="18"/>
                      <w:szCs w:val="18"/>
                    </w:rPr>
                    <w:t>噪声</w:t>
                  </w:r>
                </w:p>
              </w:tc>
              <w:tc>
                <w:tcPr>
                  <w:tcW w:w="1734" w:type="dxa"/>
                  <w:noWrap w:val="0"/>
                  <w:vAlign w:val="center"/>
                </w:tcPr>
                <w:p>
                  <w:pPr>
                    <w:autoSpaceDE w:val="0"/>
                    <w:autoSpaceDN w:val="0"/>
                    <w:adjustRightIn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1天</w:t>
                  </w:r>
                </w:p>
              </w:tc>
              <w:tc>
                <w:tcPr>
                  <w:tcW w:w="1419" w:type="dxa"/>
                  <w:noWrap w:val="0"/>
                  <w:vAlign w:val="center"/>
                </w:tcPr>
                <w:p>
                  <w:pPr>
                    <w:autoSpaceDE w:val="0"/>
                    <w:autoSpaceDN w:val="0"/>
                    <w:adjustRightInd w:val="0"/>
                    <w:spacing w:line="28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每季度1次</w:t>
                  </w:r>
                </w:p>
              </w:tc>
            </w:tr>
          </w:tbl>
          <w:p>
            <w:pPr>
              <w:numPr>
                <w:ilvl w:val="0"/>
                <w:numId w:val="19"/>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zh-CN"/>
              </w:rPr>
              <w:t>固体废物</w:t>
            </w:r>
          </w:p>
          <w:p>
            <w:pPr>
              <w:adjustRightInd w:val="0"/>
              <w:snapToGrid w:val="0"/>
              <w:spacing w:line="400" w:lineRule="exact"/>
              <w:ind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项目产生的固废主要有</w:t>
            </w:r>
            <w:r>
              <w:rPr>
                <w:rFonts w:hint="default" w:ascii="Times New Roman" w:hAnsi="Times New Roman" w:cs="Times New Roman"/>
                <w:color w:val="auto"/>
                <w:szCs w:val="21"/>
              </w:rPr>
              <w:t>罐底油泥、</w:t>
            </w:r>
            <w:r>
              <w:rPr>
                <w:rFonts w:hint="default" w:ascii="Times New Roman" w:hAnsi="Times New Roman" w:cs="Times New Roman"/>
                <w:color w:val="auto"/>
                <w:szCs w:val="21"/>
                <w:lang w:val="zh-CN"/>
              </w:rPr>
              <w:t>废弃吸油棉、含油锯末，少量生活垃圾以及含油工作服、手套等劳保废品。</w:t>
            </w:r>
          </w:p>
          <w:p>
            <w:pPr>
              <w:adjustRightInd w:val="0"/>
              <w:snapToGrid w:val="0"/>
              <w:spacing w:line="400" w:lineRule="exact"/>
              <w:ind w:firstLine="422" w:firstLineChars="200"/>
              <w:jc w:val="left"/>
              <w:rPr>
                <w:rFonts w:hint="default" w:ascii="Times New Roman" w:hAnsi="Times New Roman" w:cs="Times New Roman"/>
                <w:b/>
                <w:bCs/>
                <w:color w:val="auto"/>
                <w:szCs w:val="21"/>
                <w:lang w:val="zh-CN"/>
              </w:rPr>
            </w:pPr>
            <w:r>
              <w:rPr>
                <w:rFonts w:hint="default" w:ascii="Times New Roman" w:hAnsi="Times New Roman" w:cs="Times New Roman"/>
                <w:b/>
                <w:bCs/>
                <w:color w:val="auto"/>
                <w:szCs w:val="21"/>
                <w:lang w:val="zh-CN"/>
              </w:rPr>
              <w:t>（1）固废产生</w:t>
            </w:r>
            <w:r>
              <w:rPr>
                <w:rFonts w:hint="default" w:ascii="Times New Roman" w:hAnsi="Times New Roman" w:cs="Times New Roman"/>
                <w:b/>
                <w:bCs/>
                <w:color w:val="auto"/>
                <w:szCs w:val="21"/>
              </w:rPr>
              <w:t>及治理</w:t>
            </w:r>
            <w:r>
              <w:rPr>
                <w:rFonts w:hint="default" w:ascii="Times New Roman" w:hAnsi="Times New Roman" w:cs="Times New Roman"/>
                <w:b/>
                <w:bCs/>
                <w:color w:val="auto"/>
                <w:szCs w:val="21"/>
                <w:lang w:val="zh-CN"/>
              </w:rPr>
              <w:t>情况</w:t>
            </w:r>
          </w:p>
          <w:p>
            <w:pPr>
              <w:adjustRightInd w:val="0"/>
              <w:snapToGrid w:val="0"/>
              <w:spacing w:line="400" w:lineRule="exact"/>
              <w:ind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&lt;1&gt;危险废物</w:t>
            </w:r>
          </w:p>
          <w:p>
            <w:pPr>
              <w:adjustRightInd w:val="0"/>
              <w:snapToGrid w:val="0"/>
              <w:spacing w:line="400" w:lineRule="exact"/>
              <w:ind w:firstLine="420" w:firstLineChars="200"/>
              <w:jc w:val="left"/>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zh-CN"/>
              </w:rPr>
              <w:t>①</w:t>
            </w:r>
            <w:r>
              <w:rPr>
                <w:rFonts w:hint="default" w:ascii="Times New Roman" w:hAnsi="Times New Roman" w:cs="Times New Roman"/>
                <w:color w:val="auto"/>
                <w:szCs w:val="21"/>
              </w:rPr>
              <w:t>滴漏</w:t>
            </w:r>
            <w:r>
              <w:rPr>
                <w:rFonts w:hint="default" w:ascii="Times New Roman" w:hAnsi="Times New Roman" w:cs="Times New Roman"/>
                <w:color w:val="auto"/>
                <w:szCs w:val="21"/>
                <w:lang w:val="en-US" w:eastAsia="zh-CN"/>
              </w:rPr>
              <w:t>矿物油</w:t>
            </w:r>
          </w:p>
          <w:p>
            <w:pPr>
              <w:adjustRightInd w:val="0"/>
              <w:snapToGrid w:val="0"/>
              <w:spacing w:line="400" w:lineRule="exact"/>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项目</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在装卸</w:t>
            </w:r>
            <w:r>
              <w:rPr>
                <w:rFonts w:hint="default" w:ascii="Times New Roman" w:hAnsi="Times New Roman" w:cs="Times New Roman"/>
                <w:color w:val="auto"/>
                <w:szCs w:val="21"/>
                <w:lang w:val="en-US" w:eastAsia="zh-CN"/>
              </w:rPr>
              <w:t>区</w:t>
            </w:r>
            <w:r>
              <w:rPr>
                <w:rFonts w:hint="default" w:ascii="Times New Roman" w:hAnsi="Times New Roman" w:cs="Times New Roman"/>
                <w:color w:val="auto"/>
                <w:szCs w:val="21"/>
              </w:rPr>
              <w:t>卸车和装车过程，在</w:t>
            </w:r>
            <w:r>
              <w:rPr>
                <w:rFonts w:hint="default" w:ascii="Times New Roman" w:hAnsi="Times New Roman" w:cs="Times New Roman"/>
                <w:color w:val="auto"/>
                <w:szCs w:val="21"/>
                <w:lang w:val="en-US" w:eastAsia="zh-CN"/>
              </w:rPr>
              <w:t>进、</w:t>
            </w:r>
            <w:r>
              <w:rPr>
                <w:rFonts w:hint="default" w:ascii="Times New Roman" w:hAnsi="Times New Roman" w:cs="Times New Roman"/>
                <w:color w:val="auto"/>
                <w:szCs w:val="21"/>
              </w:rPr>
              <w:t>出油口会有少量滴漏，根据《散装液态石油产品损耗标准》（GB11085-89），</w:t>
            </w:r>
            <w:r>
              <w:rPr>
                <w:rFonts w:hint="eastAsia" w:cs="Times New Roman"/>
                <w:color w:val="auto"/>
                <w:szCs w:val="21"/>
                <w:lang w:val="en-US" w:eastAsia="zh-CN"/>
              </w:rPr>
              <w:t>矿物油</w:t>
            </w:r>
            <w:r>
              <w:rPr>
                <w:rFonts w:hint="default" w:ascii="Times New Roman" w:hAnsi="Times New Roman" w:cs="Times New Roman"/>
                <w:color w:val="auto"/>
                <w:szCs w:val="21"/>
              </w:rPr>
              <w:t>卸车损耗率为0.04%。按照年收集</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2</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00吨计算，得出项目滴漏</w:t>
            </w:r>
            <w:r>
              <w:rPr>
                <w:rFonts w:hint="default" w:ascii="Times New Roman" w:hAnsi="Times New Roman" w:cs="Times New Roman"/>
                <w:color w:val="auto"/>
                <w:szCs w:val="21"/>
                <w:lang w:val="en-US" w:eastAsia="zh-CN"/>
              </w:rPr>
              <w:t>矿物油</w:t>
            </w:r>
            <w:r>
              <w:rPr>
                <w:rFonts w:hint="default" w:ascii="Times New Roman" w:hAnsi="Times New Roman" w:cs="Times New Roman"/>
                <w:color w:val="auto"/>
                <w:szCs w:val="21"/>
              </w:rPr>
              <w:t>产生量为0.</w:t>
            </w:r>
            <w:r>
              <w:rPr>
                <w:rFonts w:hint="default" w:ascii="Times New Roman" w:hAnsi="Times New Roman" w:cs="Times New Roman"/>
                <w:color w:val="auto"/>
                <w:szCs w:val="21"/>
                <w:lang w:val="en-US" w:eastAsia="zh-CN"/>
              </w:rPr>
              <w:t>8</w:t>
            </w:r>
            <w:r>
              <w:rPr>
                <w:rFonts w:hint="default" w:ascii="Times New Roman" w:hAnsi="Times New Roman" w:cs="Times New Roman"/>
                <w:color w:val="auto"/>
                <w:szCs w:val="21"/>
              </w:rPr>
              <w:t>t/a</w:t>
            </w:r>
            <w:r>
              <w:rPr>
                <w:rFonts w:hint="default" w:ascii="Times New Roman" w:hAnsi="Times New Roman" w:cs="Times New Roman"/>
                <w:color w:val="auto"/>
                <w:szCs w:val="21"/>
                <w:lang w:val="zh-CN"/>
              </w:rPr>
              <w:t>。</w:t>
            </w:r>
            <w:r>
              <w:rPr>
                <w:rFonts w:hint="default" w:ascii="Times New Roman" w:hAnsi="Times New Roman" w:cs="Times New Roman"/>
                <w:color w:val="auto"/>
                <w:szCs w:val="21"/>
              </w:rPr>
              <w:t>为了减少油料滴漏，防止对环境造成影响，</w:t>
            </w:r>
            <w:r>
              <w:rPr>
                <w:rFonts w:hint="default" w:ascii="Times New Roman" w:hAnsi="Times New Roman" w:cs="Times New Roman"/>
                <w:color w:val="auto"/>
                <w:szCs w:val="21"/>
                <w:lang w:val="en-US" w:eastAsia="zh-CN"/>
              </w:rPr>
              <w:t>项目拟</w:t>
            </w:r>
            <w:r>
              <w:rPr>
                <w:rFonts w:hint="default" w:ascii="Times New Roman" w:hAnsi="Times New Roman" w:cs="Times New Roman"/>
                <w:color w:val="auto"/>
                <w:szCs w:val="21"/>
              </w:rPr>
              <w:t>将装卸</w:t>
            </w:r>
            <w:r>
              <w:rPr>
                <w:rFonts w:hint="default" w:ascii="Times New Roman" w:hAnsi="Times New Roman" w:cs="Times New Roman"/>
                <w:color w:val="auto"/>
                <w:szCs w:val="21"/>
                <w:lang w:val="en-US" w:eastAsia="zh-CN"/>
              </w:rPr>
              <w:t>区</w:t>
            </w:r>
            <w:r>
              <w:rPr>
                <w:rFonts w:hint="default" w:ascii="Times New Roman" w:hAnsi="Times New Roman" w:cs="Times New Roman"/>
                <w:color w:val="auto"/>
                <w:szCs w:val="21"/>
              </w:rPr>
              <w:t>建</w:t>
            </w:r>
            <w:r>
              <w:rPr>
                <w:rFonts w:hint="default" w:ascii="Times New Roman" w:hAnsi="Times New Roman" w:cs="Times New Roman"/>
                <w:color w:val="auto"/>
                <w:szCs w:val="21"/>
                <w:lang w:eastAsia="zh-CN"/>
              </w:rPr>
              <w:t>在</w:t>
            </w:r>
            <w:r>
              <w:rPr>
                <w:rFonts w:hint="default" w:ascii="Times New Roman" w:hAnsi="Times New Roman" w:cs="Times New Roman"/>
                <w:color w:val="auto"/>
                <w:szCs w:val="21"/>
              </w:rPr>
              <w:t>封闭的</w:t>
            </w:r>
            <w:r>
              <w:rPr>
                <w:rFonts w:hint="default" w:ascii="Times New Roman" w:hAnsi="Times New Roman" w:cs="Times New Roman"/>
                <w:color w:val="auto"/>
                <w:szCs w:val="21"/>
                <w:lang w:val="en-US" w:eastAsia="zh-CN"/>
              </w:rPr>
              <w:t>储油</w:t>
            </w:r>
            <w:r>
              <w:rPr>
                <w:rFonts w:hint="default" w:ascii="Times New Roman" w:hAnsi="Times New Roman" w:cs="Times New Roman"/>
                <w:color w:val="auto"/>
                <w:szCs w:val="21"/>
              </w:rPr>
              <w:t>车间</w:t>
            </w:r>
            <w:r>
              <w:rPr>
                <w:rFonts w:hint="default" w:ascii="Times New Roman" w:hAnsi="Times New Roman" w:cs="Times New Roman"/>
                <w:color w:val="auto"/>
                <w:szCs w:val="21"/>
                <w:lang w:val="en-US" w:eastAsia="zh-CN"/>
              </w:rPr>
              <w:t>内</w:t>
            </w:r>
            <w:r>
              <w:rPr>
                <w:rFonts w:hint="default" w:ascii="Times New Roman" w:hAnsi="Times New Roman" w:cs="Times New Roman"/>
                <w:color w:val="auto"/>
                <w:szCs w:val="21"/>
              </w:rPr>
              <w:t>，装卸作业在室内进行，同时对装卸</w:t>
            </w:r>
            <w:r>
              <w:rPr>
                <w:rFonts w:hint="default" w:ascii="Times New Roman" w:hAnsi="Times New Roman" w:cs="Times New Roman"/>
                <w:color w:val="auto"/>
                <w:szCs w:val="21"/>
                <w:lang w:val="en-US" w:eastAsia="zh-CN"/>
              </w:rPr>
              <w:t>区</w:t>
            </w:r>
            <w:r>
              <w:rPr>
                <w:rFonts w:hint="default" w:ascii="Times New Roman" w:hAnsi="Times New Roman" w:cs="Times New Roman"/>
                <w:color w:val="auto"/>
                <w:szCs w:val="21"/>
              </w:rPr>
              <w:t>四周建设5cm的防溢流围堰，另外配备移动式的接油托盘（或</w:t>
            </w:r>
            <w:r>
              <w:rPr>
                <w:rFonts w:hint="default" w:ascii="Times New Roman" w:hAnsi="Times New Roman" w:cs="Times New Roman"/>
                <w:color w:val="auto"/>
                <w:szCs w:val="21"/>
                <w:lang w:val="en-US" w:eastAsia="zh-CN"/>
              </w:rPr>
              <w:t>接油桶等</w:t>
            </w:r>
            <w:r>
              <w:rPr>
                <w:rFonts w:hint="default" w:ascii="Times New Roman" w:hAnsi="Times New Roman" w:cs="Times New Roman"/>
                <w:color w:val="auto"/>
                <w:szCs w:val="21"/>
              </w:rPr>
              <w:t>其他容器），装卸作业时，放置于出油口下方，收集滴漏的</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lang w:val="en-US" w:eastAsia="zh-CN"/>
              </w:rPr>
              <w:t>然后回收进入储油罐内外卖</w:t>
            </w:r>
            <w:r>
              <w:rPr>
                <w:rFonts w:hint="default" w:ascii="Times New Roman" w:hAnsi="Times New Roman" w:cs="Times New Roman"/>
                <w:color w:val="auto"/>
                <w:szCs w:val="21"/>
              </w:rPr>
              <w:t>。</w:t>
            </w:r>
          </w:p>
          <w:p>
            <w:pPr>
              <w:adjustRightInd w:val="0"/>
              <w:snapToGrid w:val="0"/>
              <w:spacing w:line="400" w:lineRule="exact"/>
              <w:ind w:firstLine="420" w:firstLineChars="200"/>
              <w:jc w:val="left"/>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zh-CN"/>
              </w:rPr>
              <w:t>②废弃吸油棉、含油锯末、含油</w:t>
            </w:r>
            <w:r>
              <w:rPr>
                <w:rFonts w:hint="default" w:ascii="Times New Roman" w:hAnsi="Times New Roman" w:cs="Times New Roman"/>
                <w:color w:val="auto"/>
                <w:szCs w:val="21"/>
                <w:lang w:val="en-US" w:eastAsia="zh-CN"/>
              </w:rPr>
              <w:t>沙</w:t>
            </w:r>
          </w:p>
          <w:p>
            <w:pPr>
              <w:adjustRightInd w:val="0"/>
              <w:snapToGrid w:val="0"/>
              <w:spacing w:line="400" w:lineRule="exact"/>
              <w:ind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本项目在</w:t>
            </w:r>
            <w:r>
              <w:rPr>
                <w:rFonts w:hint="eastAsia" w:cs="Times New Roman"/>
                <w:color w:val="auto"/>
                <w:szCs w:val="21"/>
                <w:lang w:val="zh-CN"/>
              </w:rPr>
              <w:t>日常</w:t>
            </w:r>
            <w:r>
              <w:rPr>
                <w:rFonts w:hint="default" w:ascii="Times New Roman" w:hAnsi="Times New Roman" w:cs="Times New Roman"/>
                <w:color w:val="auto"/>
                <w:szCs w:val="21"/>
                <w:lang w:val="zh-CN"/>
              </w:rPr>
              <w:t>运营过程中，物流及设备清洁环节会有少量废矿物油滴漏。根据废矿物油的特性，废矿物油极易造成水环境二次污染，因此滴漏出来的废矿物油不宜使用水冲洗清除。本项目对滴漏于地面的废矿物油采用锯末、</w:t>
            </w:r>
            <w:r>
              <w:rPr>
                <w:rFonts w:hint="default" w:ascii="Times New Roman" w:hAnsi="Times New Roman" w:cs="Times New Roman"/>
                <w:color w:val="auto"/>
                <w:szCs w:val="21"/>
                <w:lang w:val="en-US" w:eastAsia="zh-CN"/>
              </w:rPr>
              <w:t>沙等</w:t>
            </w:r>
            <w:r>
              <w:rPr>
                <w:rFonts w:hint="default" w:ascii="Times New Roman" w:hAnsi="Times New Roman" w:cs="Times New Roman"/>
                <w:color w:val="auto"/>
                <w:szCs w:val="21"/>
                <w:lang w:val="zh-CN"/>
              </w:rPr>
              <w:t>进行吸油，对于临时收储设备的</w:t>
            </w:r>
            <w:r>
              <w:rPr>
                <w:rFonts w:hint="eastAsia" w:cs="Times New Roman"/>
                <w:color w:val="auto"/>
                <w:szCs w:val="21"/>
                <w:lang w:val="zh-CN"/>
              </w:rPr>
              <w:t>日常</w:t>
            </w:r>
            <w:r>
              <w:rPr>
                <w:rFonts w:hint="default" w:ascii="Times New Roman" w:hAnsi="Times New Roman" w:cs="Times New Roman"/>
                <w:color w:val="auto"/>
                <w:szCs w:val="21"/>
                <w:lang w:val="zh-CN"/>
              </w:rPr>
              <w:t>清洁采用吸油棉擦拭，杜绝冲洗</w:t>
            </w:r>
            <w:r>
              <w:rPr>
                <w:rFonts w:hint="default" w:ascii="Times New Roman" w:hAnsi="Times New Roman" w:cs="Times New Roman"/>
                <w:color w:val="auto"/>
                <w:szCs w:val="21"/>
              </w:rPr>
              <w:t>废</w:t>
            </w:r>
            <w:r>
              <w:rPr>
                <w:rFonts w:hint="default" w:ascii="Times New Roman" w:hAnsi="Times New Roman" w:cs="Times New Roman"/>
                <w:color w:val="auto"/>
                <w:szCs w:val="21"/>
                <w:lang w:val="zh-CN"/>
              </w:rPr>
              <w:t>水</w:t>
            </w:r>
            <w:r>
              <w:rPr>
                <w:rFonts w:hint="default" w:ascii="Times New Roman" w:hAnsi="Times New Roman" w:cs="Times New Roman"/>
                <w:color w:val="auto"/>
                <w:szCs w:val="21"/>
              </w:rPr>
              <w:t>产生。</w:t>
            </w:r>
            <w:r>
              <w:rPr>
                <w:rFonts w:hint="eastAsia" w:cs="Times New Roman"/>
                <w:color w:val="auto"/>
                <w:szCs w:val="21"/>
                <w:lang w:val="en-US" w:eastAsia="zh-CN"/>
              </w:rPr>
              <w:t>类比现有工程，</w:t>
            </w:r>
            <w:r>
              <w:rPr>
                <w:rFonts w:hint="default" w:ascii="Times New Roman" w:hAnsi="Times New Roman" w:cs="Times New Roman"/>
                <w:color w:val="auto"/>
                <w:szCs w:val="21"/>
                <w:lang w:val="zh-CN"/>
              </w:rPr>
              <w:t>本项目</w:t>
            </w:r>
            <w:r>
              <w:rPr>
                <w:rFonts w:hint="eastAsia" w:cs="Times New Roman"/>
                <w:color w:val="auto"/>
                <w:szCs w:val="21"/>
                <w:lang w:val="en-US" w:eastAsia="zh-CN"/>
              </w:rPr>
              <w:t>日常</w:t>
            </w:r>
            <w:r>
              <w:rPr>
                <w:rFonts w:hint="default" w:ascii="Times New Roman" w:hAnsi="Times New Roman" w:cs="Times New Roman"/>
                <w:color w:val="auto"/>
                <w:szCs w:val="21"/>
                <w:lang w:val="zh-CN"/>
              </w:rPr>
              <w:t>运营中，产生的废吸油棉及含油锯末、</w:t>
            </w:r>
            <w:r>
              <w:rPr>
                <w:rFonts w:hint="default" w:ascii="Times New Roman" w:hAnsi="Times New Roman" w:cs="Times New Roman"/>
                <w:color w:val="auto"/>
                <w:szCs w:val="21"/>
                <w:lang w:val="en-US" w:eastAsia="zh-CN"/>
              </w:rPr>
              <w:t>含油沙等</w:t>
            </w:r>
            <w:r>
              <w:rPr>
                <w:rFonts w:hint="default" w:ascii="Times New Roman" w:hAnsi="Times New Roman" w:cs="Times New Roman"/>
                <w:color w:val="auto"/>
                <w:szCs w:val="21"/>
                <w:lang w:val="zh-CN"/>
              </w:rPr>
              <w:t>约为0.</w:t>
            </w:r>
            <w:r>
              <w:rPr>
                <w:rFonts w:hint="default" w:ascii="Times New Roman" w:hAnsi="Times New Roman" w:cs="Times New Roman"/>
                <w:color w:val="auto"/>
                <w:szCs w:val="21"/>
              </w:rPr>
              <w:t>0</w:t>
            </w:r>
            <w:r>
              <w:rPr>
                <w:rFonts w:hint="eastAsia" w:cs="Times New Roman"/>
                <w:color w:val="auto"/>
                <w:szCs w:val="21"/>
                <w:lang w:val="en-US" w:eastAsia="zh-CN"/>
              </w:rPr>
              <w:t>1</w:t>
            </w:r>
            <w:r>
              <w:rPr>
                <w:rFonts w:hint="default" w:ascii="Times New Roman" w:hAnsi="Times New Roman" w:cs="Times New Roman"/>
                <w:color w:val="auto"/>
                <w:szCs w:val="21"/>
                <w:lang w:val="zh-CN"/>
              </w:rPr>
              <w:t>t/a。根据《国家危险废物名录》（20</w:t>
            </w:r>
            <w:r>
              <w:rPr>
                <w:rFonts w:hint="default" w:ascii="Times New Roman" w:hAnsi="Times New Roman" w:cs="Times New Roman"/>
                <w:color w:val="auto"/>
                <w:szCs w:val="21"/>
              </w:rPr>
              <w:t>21</w:t>
            </w:r>
            <w:r>
              <w:rPr>
                <w:rFonts w:hint="default" w:ascii="Times New Roman" w:hAnsi="Times New Roman" w:cs="Times New Roman"/>
                <w:color w:val="auto"/>
                <w:szCs w:val="21"/>
                <w:lang w:val="zh-CN"/>
              </w:rPr>
              <w:t>年），废弃吸油棉、含油锯末、</w:t>
            </w:r>
            <w:r>
              <w:rPr>
                <w:rFonts w:hint="default" w:ascii="Times New Roman" w:hAnsi="Times New Roman" w:cs="Times New Roman"/>
                <w:color w:val="auto"/>
                <w:szCs w:val="21"/>
                <w:lang w:val="en-US" w:eastAsia="zh-CN"/>
              </w:rPr>
              <w:t>含油沙等</w:t>
            </w:r>
            <w:r>
              <w:rPr>
                <w:rFonts w:hint="default" w:ascii="Times New Roman" w:hAnsi="Times New Roman" w:cs="Times New Roman"/>
                <w:color w:val="auto"/>
                <w:szCs w:val="21"/>
                <w:lang w:val="zh-CN"/>
              </w:rPr>
              <w:t>属于危险废物（HW49 其他废物/900-041-49 含有或沾染毒性、感染性危险废物的废弃包装物、容器、过滤吸附介质），危险特性为T/In。</w:t>
            </w:r>
          </w:p>
          <w:p>
            <w:pPr>
              <w:adjustRightInd w:val="0"/>
              <w:snapToGrid w:val="0"/>
              <w:spacing w:line="400" w:lineRule="exact"/>
              <w:ind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③含油工作服、手套</w:t>
            </w:r>
          </w:p>
          <w:p>
            <w:pPr>
              <w:adjustRightInd w:val="0"/>
              <w:snapToGrid w:val="0"/>
              <w:spacing w:line="400" w:lineRule="exact"/>
              <w:ind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工作人员在操作过程中会穿戴工作服、佩戴手套等，操作时会沾染少量废矿物油。工作服、手套等工装不进行清洗，每半年更换一次。根据类比</w:t>
            </w:r>
            <w:r>
              <w:rPr>
                <w:rFonts w:hint="eastAsia" w:cs="Times New Roman"/>
                <w:color w:val="auto"/>
                <w:szCs w:val="21"/>
                <w:lang w:val="en-US" w:eastAsia="zh-CN"/>
              </w:rPr>
              <w:t>现有工程</w:t>
            </w:r>
            <w:r>
              <w:rPr>
                <w:rFonts w:hint="default" w:ascii="Times New Roman" w:hAnsi="Times New Roman" w:cs="Times New Roman"/>
                <w:color w:val="auto"/>
                <w:szCs w:val="21"/>
                <w:lang w:val="zh-CN"/>
              </w:rPr>
              <w:t>调查，更换的工作服、手套产生量约0.0</w:t>
            </w:r>
            <w:r>
              <w:rPr>
                <w:rFonts w:hint="eastAsia" w:cs="Times New Roman"/>
                <w:color w:val="auto"/>
                <w:szCs w:val="21"/>
                <w:lang w:val="en-US" w:eastAsia="zh-CN"/>
              </w:rPr>
              <w:t>1</w:t>
            </w:r>
            <w:r>
              <w:rPr>
                <w:rFonts w:hint="default" w:ascii="Times New Roman" w:hAnsi="Times New Roman" w:cs="Times New Roman"/>
                <w:color w:val="auto"/>
                <w:szCs w:val="21"/>
                <w:lang w:val="zh-CN"/>
              </w:rPr>
              <w:t>t/a。根据《国家危险废物名录》（20</w:t>
            </w:r>
            <w:r>
              <w:rPr>
                <w:rFonts w:hint="default" w:ascii="Times New Roman" w:hAnsi="Times New Roman" w:cs="Times New Roman"/>
                <w:color w:val="auto"/>
                <w:szCs w:val="21"/>
              </w:rPr>
              <w:t>21</w:t>
            </w:r>
            <w:r>
              <w:rPr>
                <w:rFonts w:hint="default" w:ascii="Times New Roman" w:hAnsi="Times New Roman" w:cs="Times New Roman"/>
                <w:color w:val="auto"/>
                <w:szCs w:val="21"/>
                <w:lang w:val="zh-CN"/>
              </w:rPr>
              <w:t>年），含油工作服、手套属于危险废物（HW49 其他废物900-041-49含有或沾染毒性、感染性危险废物的废弃包装物、容器、过滤吸附介质），危险特性为T/In。</w:t>
            </w:r>
          </w:p>
          <w:p>
            <w:pPr>
              <w:adjustRightInd w:val="0"/>
              <w:snapToGrid w:val="0"/>
              <w:spacing w:line="400" w:lineRule="exact"/>
              <w:ind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④</w:t>
            </w:r>
            <w:r>
              <w:rPr>
                <w:rFonts w:hint="default" w:ascii="Times New Roman" w:hAnsi="Times New Roman" w:cs="Times New Roman"/>
                <w:color w:val="auto"/>
                <w:szCs w:val="21"/>
                <w:lang w:val="en-US" w:eastAsia="zh-CN"/>
              </w:rPr>
              <w:t>罐底油泥</w:t>
            </w:r>
          </w:p>
          <w:p>
            <w:pPr>
              <w:adjustRightInd w:val="0"/>
              <w:snapToGrid w:val="0"/>
              <w:spacing w:line="400" w:lineRule="exact"/>
              <w:ind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本项目为废矿物油的回收、暂存，油罐底需进行定期清理油泥。根据</w:t>
            </w:r>
            <w:r>
              <w:rPr>
                <w:rFonts w:hint="eastAsia" w:cs="Times New Roman"/>
                <w:color w:val="auto"/>
                <w:szCs w:val="21"/>
                <w:lang w:val="en-US" w:eastAsia="zh-CN"/>
              </w:rPr>
              <w:t>建设单位提供的资料及</w:t>
            </w:r>
            <w:r>
              <w:rPr>
                <w:rFonts w:hint="default" w:ascii="Times New Roman" w:hAnsi="Times New Roman" w:cs="Times New Roman"/>
                <w:color w:val="auto"/>
                <w:szCs w:val="21"/>
                <w:lang w:val="zh-CN"/>
              </w:rPr>
              <w:t>类比相关厂家，本项目的罐底油泥每</w:t>
            </w:r>
            <w:r>
              <w:rPr>
                <w:rFonts w:hint="default" w:ascii="Times New Roman" w:hAnsi="Times New Roman" w:cs="Times New Roman"/>
                <w:color w:val="auto"/>
                <w:szCs w:val="21"/>
              </w:rPr>
              <w:t>五</w:t>
            </w:r>
            <w:r>
              <w:rPr>
                <w:rFonts w:hint="default" w:ascii="Times New Roman" w:hAnsi="Times New Roman" w:cs="Times New Roman"/>
                <w:color w:val="auto"/>
                <w:szCs w:val="21"/>
                <w:lang w:val="zh-CN"/>
              </w:rPr>
              <w:t>年清理一次，产生量约为</w:t>
            </w:r>
            <w:r>
              <w:rPr>
                <w:rFonts w:hint="default" w:ascii="Times New Roman" w:hAnsi="Times New Roman" w:cs="Times New Roman"/>
                <w:color w:val="auto"/>
                <w:szCs w:val="21"/>
              </w:rPr>
              <w:t>0.5</w:t>
            </w:r>
            <w:r>
              <w:rPr>
                <w:rFonts w:hint="default" w:ascii="Times New Roman" w:hAnsi="Times New Roman" w:cs="Times New Roman"/>
                <w:color w:val="auto"/>
                <w:szCs w:val="21"/>
                <w:lang w:val="zh-CN"/>
              </w:rPr>
              <w:t>t/</w:t>
            </w:r>
            <w:r>
              <w:rPr>
                <w:rFonts w:hint="default" w:ascii="Times New Roman" w:hAnsi="Times New Roman" w:cs="Times New Roman"/>
                <w:color w:val="auto"/>
                <w:szCs w:val="21"/>
              </w:rPr>
              <w:t>次（平均0.1t/a）</w:t>
            </w:r>
            <w:r>
              <w:rPr>
                <w:rFonts w:hint="default" w:ascii="Times New Roman" w:hAnsi="Times New Roman" w:cs="Times New Roman"/>
                <w:color w:val="auto"/>
                <w:szCs w:val="21"/>
                <w:lang w:val="zh-CN"/>
              </w:rPr>
              <w:t>，罐底油泥属于危废，清理出来后交由</w:t>
            </w:r>
            <w:r>
              <w:rPr>
                <w:rFonts w:hint="default" w:ascii="Times New Roman" w:hAnsi="Times New Roman" w:cs="Times New Roman"/>
                <w:color w:val="auto"/>
                <w:szCs w:val="21"/>
              </w:rPr>
              <w:t>有资质的单位处理</w:t>
            </w:r>
            <w:r>
              <w:rPr>
                <w:rFonts w:hint="default" w:ascii="Times New Roman" w:hAnsi="Times New Roman" w:cs="Times New Roman"/>
                <w:color w:val="auto"/>
                <w:szCs w:val="21"/>
                <w:lang w:val="zh-CN"/>
              </w:rPr>
              <w:t>，危险特性为T/In。</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&lt;2&gt;一般固废</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项目劳动定员</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lang w:val="zh-CN"/>
              </w:rPr>
              <w:t>人，按平均产生0.5kg/人·d计，则项目职工生活垃圾产生量</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lang w:val="zh-CN"/>
              </w:rPr>
              <w:t>kg/d，年产生量0.</w:t>
            </w:r>
            <w:r>
              <w:rPr>
                <w:rFonts w:hint="default" w:ascii="Times New Roman" w:hAnsi="Times New Roman" w:cs="Times New Roman"/>
                <w:color w:val="auto"/>
                <w:szCs w:val="21"/>
                <w:lang w:val="en-US" w:eastAsia="zh-CN"/>
              </w:rPr>
              <w:t>7</w:t>
            </w:r>
            <w:r>
              <w:rPr>
                <w:rFonts w:hint="default" w:ascii="Times New Roman" w:hAnsi="Times New Roman" w:cs="Times New Roman"/>
                <w:color w:val="auto"/>
                <w:szCs w:val="21"/>
                <w:lang w:val="zh-CN"/>
              </w:rPr>
              <w:t>t/a；通过在办公生活区设垃圾收集桶收集，</w:t>
            </w:r>
            <w:r>
              <w:rPr>
                <w:rFonts w:hint="eastAsia" w:cs="Times New Roman"/>
                <w:color w:val="auto"/>
                <w:szCs w:val="21"/>
                <w:lang w:val="en-US" w:eastAsia="zh-CN"/>
              </w:rPr>
              <w:t>交</w:t>
            </w:r>
            <w:r>
              <w:rPr>
                <w:rFonts w:hint="default" w:ascii="Times New Roman" w:hAnsi="Times New Roman" w:cs="Times New Roman"/>
                <w:color w:val="auto"/>
                <w:szCs w:val="21"/>
                <w:lang w:val="zh-CN"/>
              </w:rPr>
              <w:t>由</w:t>
            </w:r>
            <w:r>
              <w:rPr>
                <w:rFonts w:hint="default" w:ascii="Times New Roman" w:hAnsi="Times New Roman" w:cs="Times New Roman"/>
                <w:color w:val="auto"/>
                <w:szCs w:val="21"/>
                <w:lang w:val="en-US" w:eastAsia="zh-CN"/>
              </w:rPr>
              <w:t>园区</w:t>
            </w:r>
            <w:r>
              <w:rPr>
                <w:rFonts w:hint="default" w:ascii="Times New Roman" w:hAnsi="Times New Roman" w:cs="Times New Roman"/>
                <w:color w:val="auto"/>
                <w:szCs w:val="21"/>
                <w:lang w:val="zh-CN"/>
              </w:rPr>
              <w:t>环卫部门</w:t>
            </w:r>
            <w:r>
              <w:rPr>
                <w:rFonts w:hint="default" w:ascii="Times New Roman" w:hAnsi="Times New Roman" w:cs="Times New Roman"/>
                <w:color w:val="auto"/>
                <w:szCs w:val="21"/>
                <w:lang w:val="en-US" w:eastAsia="zh-CN"/>
              </w:rPr>
              <w:t>负责</w:t>
            </w:r>
            <w:r>
              <w:rPr>
                <w:rFonts w:hint="default" w:ascii="Times New Roman" w:hAnsi="Times New Roman" w:cs="Times New Roman"/>
                <w:color w:val="auto"/>
                <w:szCs w:val="21"/>
                <w:lang w:val="zh-CN"/>
              </w:rPr>
              <w:t>清运处理。</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危险</w:t>
            </w:r>
            <w:r>
              <w:rPr>
                <w:rFonts w:hint="default" w:ascii="Times New Roman" w:hAnsi="Times New Roman" w:eastAsia="黑体" w:cs="Times New Roman"/>
                <w:color w:val="auto"/>
                <w:kern w:val="0"/>
                <w:sz w:val="20"/>
                <w:szCs w:val="20"/>
                <w:lang w:val="zh-CN" w:eastAsia="zh-CN"/>
              </w:rPr>
              <w:t>废物产生情况表</w:t>
            </w:r>
          </w:p>
          <w:tbl>
            <w:tblPr>
              <w:tblStyle w:val="17"/>
              <w:tblW w:w="8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
              <w:gridCol w:w="874"/>
              <w:gridCol w:w="810"/>
              <w:gridCol w:w="610"/>
              <w:gridCol w:w="1103"/>
              <w:gridCol w:w="671"/>
              <w:gridCol w:w="535"/>
              <w:gridCol w:w="625"/>
              <w:gridCol w:w="544"/>
              <w:gridCol w:w="515"/>
              <w:gridCol w:w="535"/>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4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序号</w:t>
                  </w:r>
                </w:p>
              </w:tc>
              <w:tc>
                <w:tcPr>
                  <w:tcW w:w="87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名称</w:t>
                  </w:r>
                </w:p>
              </w:tc>
              <w:tc>
                <w:tcPr>
                  <w:tcW w:w="8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产生</w:t>
                  </w:r>
                </w:p>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环节</w:t>
                  </w:r>
                </w:p>
              </w:tc>
              <w:tc>
                <w:tcPr>
                  <w:tcW w:w="610" w:type="dxa"/>
                  <w:tcBorders>
                    <w:top w:val="single" w:color="auto" w:sz="4" w:space="0"/>
                    <w:left w:val="nil"/>
                    <w:bottom w:val="single" w:color="auto" w:sz="4" w:space="0"/>
                    <w:right w:val="single" w:color="auto" w:sz="4" w:space="0"/>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line="280" w:lineRule="exact"/>
                    <w:ind w:left="-105" w:leftChars="-50" w:right="-105" w:rightChars="-50" w:firstLine="0"/>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kern w:val="2"/>
                      <w:sz w:val="18"/>
                      <w:szCs w:val="18"/>
                      <w:lang w:val="en-US" w:eastAsia="zh-CN" w:bidi="ar-SA"/>
                    </w:rPr>
                    <w:t>危废</w:t>
                  </w:r>
                </w:p>
                <w:p>
                  <w:pPr>
                    <w:pStyle w:val="33"/>
                    <w:keepNext w:val="0"/>
                    <w:keepLines w:val="0"/>
                    <w:pageBreakBefore w:val="0"/>
                    <w:widowControl w:val="0"/>
                    <w:kinsoku/>
                    <w:wordWrap/>
                    <w:overflowPunct/>
                    <w:topLinePunct w:val="0"/>
                    <w:autoSpaceDE/>
                    <w:autoSpaceDN/>
                    <w:bidi w:val="0"/>
                    <w:adjustRightInd/>
                    <w:snapToGrid/>
                    <w:spacing w:before="0" w:beforeAutospacing="0" w:line="280" w:lineRule="exact"/>
                    <w:ind w:left="-105" w:leftChars="-50" w:right="-105" w:rightChars="-50" w:firstLine="0"/>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kern w:val="2"/>
                      <w:sz w:val="18"/>
                      <w:szCs w:val="18"/>
                      <w:lang w:val="en-US" w:eastAsia="zh-CN" w:bidi="ar-SA"/>
                    </w:rPr>
                    <w:t>类别</w:t>
                  </w:r>
                </w:p>
              </w:tc>
              <w:tc>
                <w:tcPr>
                  <w:tcW w:w="1103" w:type="dxa"/>
                  <w:tcBorders>
                    <w:top w:val="single" w:color="auto" w:sz="4" w:space="0"/>
                    <w:left w:val="nil"/>
                    <w:bottom w:val="single" w:color="auto" w:sz="4" w:space="0"/>
                    <w:right w:val="single" w:color="auto" w:sz="4" w:space="0"/>
                  </w:tcBorders>
                  <w:noWrap w:val="0"/>
                  <w:vAlign w:val="center"/>
                </w:tcPr>
                <w:p>
                  <w:pPr>
                    <w:pStyle w:val="33"/>
                    <w:keepNext w:val="0"/>
                    <w:keepLines w:val="0"/>
                    <w:pageBreakBefore w:val="0"/>
                    <w:widowControl w:val="0"/>
                    <w:kinsoku/>
                    <w:wordWrap/>
                    <w:overflowPunct/>
                    <w:topLinePunct w:val="0"/>
                    <w:autoSpaceDE/>
                    <w:autoSpaceDN/>
                    <w:bidi w:val="0"/>
                    <w:adjustRightInd/>
                    <w:snapToGrid/>
                    <w:spacing w:before="0" w:beforeAutospacing="0" w:line="280" w:lineRule="exact"/>
                    <w:ind w:left="-105" w:leftChars="-50" w:right="-105" w:rightChars="-50" w:firstLine="0" w:firstLineChars="0"/>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kern w:val="2"/>
                      <w:sz w:val="18"/>
                      <w:szCs w:val="18"/>
                      <w:lang w:val="en-US" w:eastAsia="zh-CN" w:bidi="ar-SA"/>
                    </w:rPr>
                    <w:t>危废代码</w:t>
                  </w:r>
                </w:p>
              </w:tc>
              <w:tc>
                <w:tcPr>
                  <w:tcW w:w="67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eastAsia="宋体" w:cs="Times New Roman"/>
                      <w:b/>
                      <w:bCs w:val="0"/>
                      <w:color w:val="auto"/>
                      <w:sz w:val="18"/>
                      <w:szCs w:val="18"/>
                      <w:lang w:eastAsia="zh-CN"/>
                    </w:rPr>
                  </w:pPr>
                  <w:r>
                    <w:rPr>
                      <w:rFonts w:hint="default" w:ascii="Times New Roman" w:hAnsi="Times New Roman" w:cs="Times New Roman"/>
                      <w:b/>
                      <w:bCs w:val="0"/>
                      <w:color w:val="auto"/>
                      <w:sz w:val="18"/>
                      <w:szCs w:val="18"/>
                    </w:rPr>
                    <w:t>产生量</w:t>
                  </w:r>
                </w:p>
              </w:tc>
              <w:tc>
                <w:tcPr>
                  <w:tcW w:w="5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beforeAutospacing="0" w:line="280" w:lineRule="exact"/>
                    <w:ind w:left="-105" w:leftChars="-50" w:right="-105" w:rightChars="-50"/>
                    <w:jc w:val="center"/>
                    <w:textAlignment w:val="auto"/>
                    <w:rPr>
                      <w:rFonts w:hint="default" w:ascii="Times New Roman" w:hAnsi="Times New Roman" w:eastAsia="宋体" w:cs="Times New Roman"/>
                      <w:b/>
                      <w:bCs/>
                      <w:color w:val="auto"/>
                      <w:kern w:val="2"/>
                      <w:sz w:val="16"/>
                      <w:szCs w:val="16"/>
                      <w:lang w:val="en-US" w:eastAsia="zh-CN" w:bidi="ar-SA"/>
                    </w:rPr>
                  </w:pPr>
                  <w:r>
                    <w:rPr>
                      <w:rFonts w:hint="default" w:ascii="Times New Roman" w:hAnsi="Times New Roman" w:cs="Times New Roman"/>
                      <w:b/>
                      <w:bCs/>
                      <w:color w:val="auto"/>
                      <w:sz w:val="16"/>
                      <w:szCs w:val="16"/>
                    </w:rPr>
                    <w:t>性状</w:t>
                  </w:r>
                </w:p>
              </w:tc>
              <w:tc>
                <w:tcPr>
                  <w:tcW w:w="6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主要成分</w:t>
                  </w:r>
                </w:p>
              </w:tc>
              <w:tc>
                <w:tcPr>
                  <w:tcW w:w="54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有害</w:t>
                  </w:r>
                </w:p>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rPr>
                    <w:t>成分</w:t>
                  </w:r>
                </w:p>
              </w:tc>
              <w:tc>
                <w:tcPr>
                  <w:tcW w:w="5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产废</w:t>
                  </w:r>
                </w:p>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rPr>
                    <w:t>周期</w:t>
                  </w:r>
                </w:p>
              </w:tc>
              <w:tc>
                <w:tcPr>
                  <w:tcW w:w="5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危险</w:t>
                  </w:r>
                </w:p>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18"/>
                      <w:szCs w:val="18"/>
                      <w:lang w:val="en-US" w:eastAsia="zh-CN"/>
                    </w:rPr>
                    <w:t>特性</w:t>
                  </w:r>
                </w:p>
              </w:tc>
              <w:tc>
                <w:tcPr>
                  <w:tcW w:w="8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处置</w:t>
                  </w:r>
                </w:p>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105" w:leftChars="-50" w:right="-105" w:rightChars="-50"/>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4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87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滴漏的</w:t>
                  </w:r>
                  <w:r>
                    <w:rPr>
                      <w:rFonts w:hint="default" w:ascii="Times New Roman" w:hAnsi="Times New Roman" w:cs="Times New Roman"/>
                      <w:color w:val="auto"/>
                      <w:kern w:val="0"/>
                      <w:sz w:val="18"/>
                      <w:szCs w:val="18"/>
                      <w:lang w:val="en-US" w:eastAsia="zh-CN"/>
                    </w:rPr>
                    <w:t>废矿物油</w:t>
                  </w:r>
                </w:p>
              </w:tc>
              <w:tc>
                <w:tcPr>
                  <w:tcW w:w="810"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装卸作业</w:t>
                  </w:r>
                </w:p>
              </w:tc>
              <w:tc>
                <w:tcPr>
                  <w:tcW w:w="6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HW08</w:t>
                  </w:r>
                </w:p>
              </w:tc>
              <w:tc>
                <w:tcPr>
                  <w:tcW w:w="11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900-214-08</w:t>
                  </w:r>
                </w:p>
              </w:tc>
              <w:tc>
                <w:tcPr>
                  <w:tcW w:w="67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0.8t/a</w:t>
                  </w:r>
                </w:p>
              </w:tc>
              <w:tc>
                <w:tcPr>
                  <w:tcW w:w="5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液态</w:t>
                  </w:r>
                </w:p>
              </w:tc>
              <w:tc>
                <w:tcPr>
                  <w:tcW w:w="6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矿物</w:t>
                  </w:r>
                </w:p>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油</w:t>
                  </w:r>
                </w:p>
              </w:tc>
              <w:tc>
                <w:tcPr>
                  <w:tcW w:w="544" w:type="dxa"/>
                  <w:vMerge w:val="restar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废矿物油</w:t>
                  </w:r>
                </w:p>
              </w:tc>
              <w:tc>
                <w:tcPr>
                  <w:tcW w:w="515"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间断</w:t>
                  </w:r>
                </w:p>
              </w:tc>
              <w:tc>
                <w:tcPr>
                  <w:tcW w:w="535"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T/In</w:t>
                  </w:r>
                </w:p>
              </w:tc>
              <w:tc>
                <w:tcPr>
                  <w:tcW w:w="827" w:type="dxa"/>
                  <w:vMerge w:val="restart"/>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分类收集至危废暂存间，定期交由有资质单位处置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4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zh-CN" w:eastAsia="zh-CN"/>
                    </w:rPr>
                    <w:t>2</w:t>
                  </w:r>
                </w:p>
              </w:tc>
              <w:tc>
                <w:tcPr>
                  <w:tcW w:w="87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zh-CN" w:eastAsia="zh-CN"/>
                    </w:rPr>
                    <w:t>含油锯末</w:t>
                  </w:r>
                  <w:r>
                    <w:rPr>
                      <w:rFonts w:hint="default" w:ascii="Times New Roman" w:hAnsi="Times New Roman" w:cs="Times New Roman"/>
                      <w:color w:val="auto"/>
                      <w:kern w:val="0"/>
                      <w:sz w:val="18"/>
                      <w:szCs w:val="18"/>
                      <w:lang w:val="zh-CN" w:eastAsia="zh-CN"/>
                    </w:rPr>
                    <w:t>、</w:t>
                  </w:r>
                  <w:r>
                    <w:rPr>
                      <w:rFonts w:hint="default" w:ascii="Times New Roman" w:hAnsi="Times New Roman" w:cs="Times New Roman"/>
                      <w:color w:val="auto"/>
                      <w:kern w:val="0"/>
                      <w:sz w:val="18"/>
                      <w:szCs w:val="18"/>
                      <w:lang w:val="en-US" w:eastAsia="zh-CN"/>
                    </w:rPr>
                    <w:t>含油沙、</w:t>
                  </w:r>
                  <w:r>
                    <w:rPr>
                      <w:rFonts w:hint="default" w:ascii="Times New Roman" w:hAnsi="Times New Roman" w:eastAsia="宋体" w:cs="Times New Roman"/>
                      <w:color w:val="auto"/>
                      <w:kern w:val="0"/>
                      <w:sz w:val="18"/>
                      <w:szCs w:val="18"/>
                      <w:lang w:val="zh-CN" w:eastAsia="zh-CN"/>
                    </w:rPr>
                    <w:t>废弃吸油棉</w:t>
                  </w:r>
                </w:p>
              </w:tc>
              <w:tc>
                <w:tcPr>
                  <w:tcW w:w="810"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zh-CN" w:eastAsia="zh-CN"/>
                    </w:rPr>
                    <w:t>设备清洁</w:t>
                  </w:r>
                </w:p>
              </w:tc>
              <w:tc>
                <w:tcPr>
                  <w:tcW w:w="6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HW49</w:t>
                  </w:r>
                </w:p>
              </w:tc>
              <w:tc>
                <w:tcPr>
                  <w:tcW w:w="11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900-041-49</w:t>
                  </w:r>
                </w:p>
              </w:tc>
              <w:tc>
                <w:tcPr>
                  <w:tcW w:w="67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0.0</w:t>
                  </w:r>
                  <w:r>
                    <w:rPr>
                      <w:rFonts w:hint="eastAsia" w:cs="Times New Roman"/>
                      <w:color w:val="auto"/>
                      <w:kern w:val="0"/>
                      <w:sz w:val="18"/>
                      <w:szCs w:val="18"/>
                      <w:lang w:val="en-US" w:eastAsia="zh-CN"/>
                    </w:rPr>
                    <w:t>1</w:t>
                  </w:r>
                  <w:r>
                    <w:rPr>
                      <w:rFonts w:hint="default" w:ascii="Times New Roman" w:hAnsi="Times New Roman" w:eastAsia="宋体" w:cs="Times New Roman"/>
                      <w:color w:val="auto"/>
                      <w:kern w:val="0"/>
                      <w:sz w:val="18"/>
                      <w:szCs w:val="18"/>
                      <w:lang w:val="en-US" w:eastAsia="zh-CN"/>
                    </w:rPr>
                    <w:t>t/a</w:t>
                  </w:r>
                </w:p>
              </w:tc>
              <w:tc>
                <w:tcPr>
                  <w:tcW w:w="5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固态</w:t>
                  </w:r>
                </w:p>
              </w:tc>
              <w:tc>
                <w:tcPr>
                  <w:tcW w:w="6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棉、锯末</w:t>
                  </w:r>
                </w:p>
              </w:tc>
              <w:tc>
                <w:tcPr>
                  <w:tcW w:w="544"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c>
                <w:tcPr>
                  <w:tcW w:w="515"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间断</w:t>
                  </w:r>
                </w:p>
              </w:tc>
              <w:tc>
                <w:tcPr>
                  <w:tcW w:w="535"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T/In</w:t>
                  </w:r>
                </w:p>
              </w:tc>
              <w:tc>
                <w:tcPr>
                  <w:tcW w:w="827"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404"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3</w:t>
                  </w:r>
                </w:p>
              </w:tc>
              <w:tc>
                <w:tcPr>
                  <w:tcW w:w="874"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zh-CN" w:eastAsia="zh-CN"/>
                    </w:rPr>
                    <w:t>含油工作服、手套</w:t>
                  </w:r>
                </w:p>
              </w:tc>
              <w:tc>
                <w:tcPr>
                  <w:tcW w:w="810"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工人防护</w:t>
                  </w:r>
                </w:p>
              </w:tc>
              <w:tc>
                <w:tcPr>
                  <w:tcW w:w="610"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HW49</w:t>
                  </w:r>
                </w:p>
              </w:tc>
              <w:tc>
                <w:tcPr>
                  <w:tcW w:w="1103"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900-041-49</w:t>
                  </w:r>
                </w:p>
              </w:tc>
              <w:tc>
                <w:tcPr>
                  <w:tcW w:w="671"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zh-CN" w:eastAsia="zh-CN"/>
                    </w:rPr>
                    <w:t>0.0</w:t>
                  </w:r>
                  <w:r>
                    <w:rPr>
                      <w:rFonts w:hint="eastAsia" w:cs="Times New Roman"/>
                      <w:color w:val="auto"/>
                      <w:kern w:val="0"/>
                      <w:sz w:val="18"/>
                      <w:szCs w:val="18"/>
                      <w:lang w:val="en-US" w:eastAsia="zh-CN"/>
                    </w:rPr>
                    <w:t>1</w:t>
                  </w:r>
                  <w:r>
                    <w:rPr>
                      <w:rFonts w:hint="default" w:ascii="Times New Roman" w:hAnsi="Times New Roman" w:eastAsia="宋体" w:cs="Times New Roman"/>
                      <w:color w:val="auto"/>
                      <w:kern w:val="0"/>
                      <w:sz w:val="18"/>
                      <w:szCs w:val="18"/>
                      <w:lang w:val="zh-CN" w:eastAsia="zh-CN"/>
                    </w:rPr>
                    <w:t>t/a</w:t>
                  </w:r>
                </w:p>
              </w:tc>
              <w:tc>
                <w:tcPr>
                  <w:tcW w:w="535"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固态</w:t>
                  </w:r>
                </w:p>
              </w:tc>
              <w:tc>
                <w:tcPr>
                  <w:tcW w:w="625"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棉麻织物</w:t>
                  </w:r>
                </w:p>
              </w:tc>
              <w:tc>
                <w:tcPr>
                  <w:tcW w:w="544" w:type="dxa"/>
                  <w:vMerge w:val="continue"/>
                  <w:tcBorders>
                    <w:left w:val="nil"/>
                    <w:right w:val="single" w:color="auto" w:sz="4" w:space="0"/>
                  </w:tcBorders>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c>
                <w:tcPr>
                  <w:tcW w:w="515"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6月</w:t>
                  </w:r>
                </w:p>
              </w:tc>
              <w:tc>
                <w:tcPr>
                  <w:tcW w:w="535"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T/In</w:t>
                  </w:r>
                </w:p>
              </w:tc>
              <w:tc>
                <w:tcPr>
                  <w:tcW w:w="827" w:type="dxa"/>
                  <w:vMerge w:val="continue"/>
                  <w:tcBorders>
                    <w:left w:val="nil"/>
                    <w:right w:val="single" w:color="auto" w:sz="4" w:space="0"/>
                  </w:tcBorders>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4</w:t>
                  </w:r>
                </w:p>
              </w:tc>
              <w:tc>
                <w:tcPr>
                  <w:tcW w:w="874"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油泥</w:t>
                  </w:r>
                </w:p>
              </w:tc>
              <w:tc>
                <w:tcPr>
                  <w:tcW w:w="810"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油罐清理</w:t>
                  </w:r>
                </w:p>
              </w:tc>
              <w:tc>
                <w:tcPr>
                  <w:tcW w:w="610"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HW08</w:t>
                  </w:r>
                </w:p>
              </w:tc>
              <w:tc>
                <w:tcPr>
                  <w:tcW w:w="1103"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900-214-08</w:t>
                  </w:r>
                </w:p>
              </w:tc>
              <w:tc>
                <w:tcPr>
                  <w:tcW w:w="671"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0.5t/次</w:t>
                  </w:r>
                </w:p>
              </w:tc>
              <w:tc>
                <w:tcPr>
                  <w:tcW w:w="535"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液态</w:t>
                  </w:r>
                </w:p>
              </w:tc>
              <w:tc>
                <w:tcPr>
                  <w:tcW w:w="625"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矿物油</w:t>
                  </w:r>
                </w:p>
              </w:tc>
              <w:tc>
                <w:tcPr>
                  <w:tcW w:w="544" w:type="dxa"/>
                  <w:vMerge w:val="continue"/>
                  <w:tcBorders>
                    <w:left w:val="nil"/>
                    <w:right w:val="single" w:color="auto" w:sz="4" w:space="0"/>
                  </w:tcBorders>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c>
                <w:tcPr>
                  <w:tcW w:w="515" w:type="dxa"/>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5年</w:t>
                  </w:r>
                </w:p>
              </w:tc>
              <w:tc>
                <w:tcPr>
                  <w:tcW w:w="535" w:type="dxa"/>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T/In</w:t>
                  </w:r>
                </w:p>
              </w:tc>
              <w:tc>
                <w:tcPr>
                  <w:tcW w:w="827" w:type="dxa"/>
                  <w:vMerge w:val="continue"/>
                  <w:tcBorders>
                    <w:left w:val="nil"/>
                    <w:right w:val="single" w:color="auto" w:sz="4" w:space="0"/>
                  </w:tcBorders>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p>
              </w:tc>
            </w:tr>
          </w:tbl>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en-US" w:eastAsia="zh-CN"/>
              </w:rPr>
              <w:t>一般</w:t>
            </w:r>
            <w:r>
              <w:rPr>
                <w:rFonts w:hint="default" w:ascii="Times New Roman" w:hAnsi="Times New Roman" w:eastAsia="黑体" w:cs="Times New Roman"/>
                <w:color w:val="auto"/>
                <w:kern w:val="0"/>
                <w:sz w:val="20"/>
                <w:szCs w:val="20"/>
                <w:lang w:val="zh-CN" w:eastAsia="zh-CN"/>
              </w:rPr>
              <w:t>固体废物产生情况表</w:t>
            </w:r>
          </w:p>
          <w:tbl>
            <w:tblPr>
              <w:tblStyle w:val="17"/>
              <w:tblW w:w="7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908"/>
              <w:gridCol w:w="879"/>
              <w:gridCol w:w="518"/>
              <w:gridCol w:w="693"/>
              <w:gridCol w:w="519"/>
              <w:gridCol w:w="879"/>
              <w:gridCol w:w="894"/>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6"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序号</w:t>
                  </w:r>
                </w:p>
              </w:tc>
              <w:tc>
                <w:tcPr>
                  <w:tcW w:w="9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名称</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产生环节</w:t>
                  </w:r>
                </w:p>
              </w:tc>
              <w:tc>
                <w:tcPr>
                  <w:tcW w:w="5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编号</w:t>
                  </w:r>
                </w:p>
              </w:tc>
              <w:tc>
                <w:tcPr>
                  <w:tcW w:w="69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产生量</w:t>
                  </w:r>
                </w:p>
              </w:tc>
              <w:tc>
                <w:tcPr>
                  <w:tcW w:w="5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性状</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主要成分</w:t>
                  </w:r>
                </w:p>
              </w:tc>
              <w:tc>
                <w:tcPr>
                  <w:tcW w:w="89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贮存方式</w:t>
                  </w:r>
                </w:p>
              </w:tc>
              <w:tc>
                <w:tcPr>
                  <w:tcW w:w="20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105" w:leftChars="-50" w:right="-105" w:rightChars="-5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1</w:t>
                  </w:r>
                </w:p>
              </w:tc>
              <w:tc>
                <w:tcPr>
                  <w:tcW w:w="9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生活垃圾</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办公区</w:t>
                  </w:r>
                </w:p>
              </w:tc>
              <w:tc>
                <w:tcPr>
                  <w:tcW w:w="5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sz w:val="18"/>
                      <w:szCs w:val="18"/>
                    </w:rPr>
                    <w:t>/</w:t>
                  </w:r>
                </w:p>
              </w:tc>
              <w:tc>
                <w:tcPr>
                  <w:tcW w:w="69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0.7</w:t>
                  </w:r>
                  <w:r>
                    <w:rPr>
                      <w:rFonts w:hint="default" w:ascii="Times New Roman" w:hAnsi="Times New Roman" w:cs="Times New Roman"/>
                      <w:bCs/>
                      <w:color w:val="auto"/>
                      <w:sz w:val="18"/>
                      <w:szCs w:val="18"/>
                    </w:rPr>
                    <w:t>t/a</w:t>
                  </w:r>
                </w:p>
              </w:tc>
              <w:tc>
                <w:tcPr>
                  <w:tcW w:w="5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固态</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生活垃圾</w:t>
                  </w:r>
                </w:p>
              </w:tc>
              <w:tc>
                <w:tcPr>
                  <w:tcW w:w="89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袋装收集</w:t>
                  </w:r>
                </w:p>
              </w:tc>
              <w:tc>
                <w:tcPr>
                  <w:tcW w:w="2075" w:type="dxa"/>
                  <w:tcBorders>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105" w:leftChars="-50" w:right="-105" w:rightChars="-5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园区环卫部门收集处置</w:t>
                  </w:r>
                </w:p>
              </w:tc>
            </w:tr>
          </w:tbl>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lang w:val="zh-CN"/>
              </w:rPr>
            </w:pPr>
            <w:r>
              <w:rPr>
                <w:rFonts w:hint="default" w:ascii="Times New Roman" w:hAnsi="Times New Roman" w:cs="Times New Roman"/>
                <w:b/>
                <w:bCs/>
                <w:color w:val="auto"/>
                <w:szCs w:val="21"/>
                <w:lang w:val="zh-CN"/>
              </w:rPr>
              <w:t>（2）固废处置措施</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建设单位拟在</w:t>
            </w:r>
            <w:r>
              <w:rPr>
                <w:rFonts w:hint="default" w:ascii="Times New Roman" w:hAnsi="Times New Roman" w:cs="Times New Roman"/>
                <w:color w:val="auto"/>
                <w:szCs w:val="21"/>
              </w:rPr>
              <w:t>储</w:t>
            </w:r>
            <w:r>
              <w:rPr>
                <w:rFonts w:hint="default" w:ascii="Times New Roman" w:hAnsi="Times New Roman" w:cs="Times New Roman"/>
                <w:color w:val="auto"/>
                <w:szCs w:val="21"/>
                <w:lang w:val="en-US" w:eastAsia="zh-CN"/>
              </w:rPr>
              <w:t>油车</w:t>
            </w:r>
            <w:r>
              <w:rPr>
                <w:rFonts w:hint="default" w:ascii="Times New Roman" w:hAnsi="Times New Roman" w:cs="Times New Roman"/>
                <w:color w:val="auto"/>
                <w:szCs w:val="21"/>
              </w:rPr>
              <w:t>间</w:t>
            </w:r>
            <w:r>
              <w:rPr>
                <w:rFonts w:hint="default" w:ascii="Times New Roman" w:hAnsi="Times New Roman" w:cs="Times New Roman"/>
                <w:color w:val="auto"/>
                <w:szCs w:val="21"/>
                <w:lang w:val="zh-CN"/>
              </w:rPr>
              <w:t>设置</w:t>
            </w:r>
            <w:r>
              <w:rPr>
                <w:rFonts w:hint="default" w:ascii="Times New Roman" w:hAnsi="Times New Roman" w:cs="Times New Roman"/>
                <w:color w:val="auto"/>
                <w:szCs w:val="21"/>
                <w:lang w:val="en-US" w:eastAsia="zh-CN"/>
              </w:rPr>
              <w:t>1个</w:t>
            </w:r>
            <w:r>
              <w:rPr>
                <w:rFonts w:hint="default" w:ascii="Times New Roman" w:hAnsi="Times New Roman" w:cs="Times New Roman"/>
                <w:color w:val="auto"/>
                <w:szCs w:val="21"/>
                <w:lang w:val="zh-CN"/>
              </w:rPr>
              <w:t>专门的危废暂存</w:t>
            </w:r>
            <w:r>
              <w:rPr>
                <w:rFonts w:hint="default" w:ascii="Times New Roman" w:hAnsi="Times New Roman" w:cs="Times New Roman"/>
                <w:color w:val="auto"/>
                <w:szCs w:val="21"/>
                <w:lang w:val="en-US" w:eastAsia="zh-CN"/>
              </w:rPr>
              <w:t>间</w:t>
            </w:r>
            <w:r>
              <w:rPr>
                <w:rFonts w:hint="default" w:ascii="Times New Roman" w:hAnsi="Times New Roman" w:cs="Times New Roman"/>
                <w:color w:val="auto"/>
                <w:szCs w:val="21"/>
                <w:lang w:val="zh-CN"/>
              </w:rPr>
              <w:t>，面积约</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lang w:val="zh-CN"/>
              </w:rPr>
              <w:t>m</w:t>
            </w:r>
            <w:r>
              <w:rPr>
                <w:rFonts w:hint="default" w:ascii="Times New Roman" w:hAnsi="Times New Roman" w:cs="Times New Roman"/>
                <w:color w:val="auto"/>
                <w:szCs w:val="21"/>
                <w:vertAlign w:val="superscript"/>
                <w:lang w:val="zh-CN"/>
              </w:rPr>
              <w:t>2</w:t>
            </w:r>
            <w:r>
              <w:rPr>
                <w:rFonts w:hint="default" w:ascii="Times New Roman" w:hAnsi="Times New Roman" w:cs="Times New Roman"/>
                <w:color w:val="auto"/>
                <w:szCs w:val="21"/>
                <w:lang w:val="zh-CN"/>
              </w:rPr>
              <w:t>，地面采用“</w:t>
            </w:r>
            <w:r>
              <w:rPr>
                <w:rFonts w:hint="eastAsia" w:cs="Times New Roman"/>
                <w:color w:val="auto"/>
                <w:szCs w:val="21"/>
                <w:lang w:val="zh-CN" w:eastAsia="zh-CN"/>
              </w:rPr>
              <w:t>20cm混凝土硬化+5mm防渗砂浆+2mm高密度聚乙烯地坪漆</w:t>
            </w:r>
            <w:r>
              <w:rPr>
                <w:rFonts w:hint="default" w:ascii="Times New Roman" w:hAnsi="Times New Roman" w:cs="Times New Roman"/>
                <w:color w:val="auto"/>
                <w:szCs w:val="21"/>
                <w:lang w:val="zh-CN"/>
              </w:rPr>
              <w:t>”进行重点防渗，防渗系数≤10</w:t>
            </w:r>
            <w:r>
              <w:rPr>
                <w:rFonts w:hint="default" w:ascii="Times New Roman" w:hAnsi="Times New Roman" w:cs="Times New Roman"/>
                <w:color w:val="auto"/>
                <w:szCs w:val="21"/>
                <w:vertAlign w:val="superscript"/>
                <w:lang w:val="zh-CN"/>
              </w:rPr>
              <w:t>-</w:t>
            </w:r>
            <w:r>
              <w:rPr>
                <w:rFonts w:hint="eastAsia" w:cs="Times New Roman"/>
                <w:color w:val="auto"/>
                <w:szCs w:val="21"/>
                <w:vertAlign w:val="superscript"/>
                <w:lang w:val="en-US" w:eastAsia="zh-CN"/>
              </w:rPr>
              <w:t>10</w:t>
            </w:r>
            <w:r>
              <w:rPr>
                <w:rFonts w:hint="default" w:ascii="Times New Roman" w:hAnsi="Times New Roman" w:cs="Times New Roman"/>
                <w:color w:val="auto"/>
                <w:szCs w:val="21"/>
                <w:lang w:val="zh-CN"/>
              </w:rPr>
              <w:t>cm/s的要求。</w:t>
            </w:r>
            <w:r>
              <w:rPr>
                <w:rFonts w:hint="default" w:ascii="Times New Roman" w:hAnsi="Times New Roman" w:cs="Times New Roman"/>
                <w:color w:val="auto"/>
                <w:szCs w:val="21"/>
              </w:rPr>
              <w:t>暂存区内分别设置收集桶，分类收集</w:t>
            </w:r>
            <w:r>
              <w:rPr>
                <w:rFonts w:hint="default" w:ascii="Times New Roman" w:hAnsi="Times New Roman" w:cs="Times New Roman"/>
                <w:color w:val="auto"/>
                <w:szCs w:val="21"/>
                <w:lang w:val="zh-CN"/>
              </w:rPr>
              <w:t>废弃吸油棉、含油锯末、</w:t>
            </w:r>
            <w:r>
              <w:rPr>
                <w:rFonts w:hint="default" w:ascii="Times New Roman" w:hAnsi="Times New Roman" w:cs="Times New Roman"/>
                <w:color w:val="auto"/>
                <w:szCs w:val="21"/>
                <w:lang w:val="zh-CN" w:eastAsia="zh-CN"/>
              </w:rPr>
              <w:t>含油沙、</w:t>
            </w:r>
            <w:r>
              <w:rPr>
                <w:rFonts w:hint="default" w:ascii="Times New Roman" w:hAnsi="Times New Roman" w:cs="Times New Roman"/>
                <w:color w:val="auto"/>
                <w:szCs w:val="21"/>
                <w:lang w:val="zh-CN"/>
              </w:rPr>
              <w:t>含油工作服、手套等危废，</w:t>
            </w:r>
            <w:r>
              <w:rPr>
                <w:rFonts w:hint="default" w:ascii="Times New Roman" w:hAnsi="Times New Roman" w:cs="Times New Roman"/>
                <w:color w:val="auto"/>
                <w:szCs w:val="21"/>
              </w:rPr>
              <w:t>定期</w:t>
            </w:r>
            <w:r>
              <w:rPr>
                <w:rFonts w:hint="default" w:ascii="Times New Roman" w:hAnsi="Times New Roman" w:cs="Times New Roman"/>
                <w:color w:val="auto"/>
                <w:szCs w:val="21"/>
                <w:lang w:val="zh-CN"/>
              </w:rPr>
              <w:t>交由危废资质单位处置。项目危废暂存间的设置以及危险废物的管理按</w:t>
            </w:r>
            <w:r>
              <w:rPr>
                <w:rFonts w:hint="default" w:ascii="Times New Roman" w:hAnsi="Times New Roman" w:cs="Times New Roman"/>
                <w:color w:val="auto"/>
                <w:szCs w:val="21"/>
                <w:lang w:val="zh-CN" w:eastAsia="zh-CN"/>
              </w:rPr>
              <w:fldChar w:fldCharType="begin"/>
            </w:r>
            <w:r>
              <w:rPr>
                <w:rFonts w:hint="default" w:ascii="Times New Roman" w:hAnsi="Times New Roman" w:cs="Times New Roman"/>
                <w:color w:val="auto"/>
                <w:szCs w:val="21"/>
                <w:lang w:val="zh-CN" w:eastAsia="zh-CN"/>
              </w:rPr>
              <w:instrText xml:space="preserve"> HYPERLINK "https://www.mee.gov.cn/ywgz/fgbz/bz/bzwb/gthw/wxfwjbffbz/202302/t20230224_1017500.shtml" </w:instrText>
            </w:r>
            <w:r>
              <w:rPr>
                <w:rFonts w:hint="default" w:ascii="Times New Roman" w:hAnsi="Times New Roman" w:cs="Times New Roman"/>
                <w:color w:val="auto"/>
                <w:szCs w:val="21"/>
                <w:lang w:val="zh-CN" w:eastAsia="zh-CN"/>
              </w:rPr>
              <w:fldChar w:fldCharType="separate"/>
            </w:r>
            <w:r>
              <w:rPr>
                <w:rFonts w:hint="default" w:ascii="Times New Roman" w:hAnsi="Times New Roman" w:cs="Times New Roman"/>
                <w:color w:val="auto"/>
                <w:szCs w:val="21"/>
                <w:lang w:val="zh-CN" w:eastAsia="zh-CN"/>
              </w:rPr>
              <w:t>《危险废物贮存污染控制标准》（GB18597-2023）</w:t>
            </w:r>
            <w:r>
              <w:rPr>
                <w:rFonts w:hint="default" w:ascii="Times New Roman" w:hAnsi="Times New Roman" w:cs="Times New Roman"/>
                <w:color w:val="auto"/>
                <w:szCs w:val="21"/>
                <w:lang w:val="zh-CN" w:eastAsia="zh-CN"/>
              </w:rPr>
              <w:fldChar w:fldCharType="end"/>
            </w:r>
            <w:r>
              <w:rPr>
                <w:rFonts w:hint="default" w:ascii="Times New Roman" w:hAnsi="Times New Roman" w:cs="Times New Roman"/>
                <w:color w:val="auto"/>
                <w:szCs w:val="21"/>
                <w:lang w:val="zh-CN"/>
              </w:rPr>
              <w:t>执行。</w:t>
            </w:r>
          </w:p>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lang w:val="zh-CN"/>
              </w:rPr>
            </w:pPr>
            <w:r>
              <w:rPr>
                <w:rFonts w:hint="default" w:ascii="Times New Roman" w:hAnsi="Times New Roman" w:cs="Times New Roman"/>
                <w:b/>
                <w:bCs/>
                <w:color w:val="auto"/>
                <w:szCs w:val="21"/>
                <w:lang w:val="zh-CN"/>
              </w:rPr>
              <w:t>（3）危险废物管理要求</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①管理要求：本项目营运过程中所产生的危险废物，建设单位应按照《国家危险废物名录》的相关要求，建立、健全危险废物管理责任制，其法定代表人为第一责任人，切实履行职责，防止因危险废物收集、贮存和处理不当导致的环境污染事故。应当制定危险废物收集、贮存和转运有关的规章制度和事故时的应急方案；设置监控部门或者专（兼）职人员，负责检查、督促、落实本单位危险废物的管理工作。平时加强管理，暂存间内严禁堆放除危险废物以外的其他物质，不同类别危险废物严禁混合堆放暂存。</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②暂存间建设要求：依照《中华人民共和国固体废物污染环境防治法》的规定，建设单位必须建设危险废物单独的贮存间</w:t>
            </w:r>
            <w:r>
              <w:rPr>
                <w:rFonts w:hint="default" w:ascii="Times New Roman" w:hAnsi="Times New Roman" w:cs="Times New Roman"/>
                <w:color w:val="auto"/>
                <w:szCs w:val="21"/>
                <w:lang w:val="zh-CN" w:eastAsia="zh-CN"/>
              </w:rPr>
              <w:t>，并分别设置不同类别危险废物暂存间及储存容器，各类废物分别储存在对应容器内，禁止直接堆放在地面，对不同类别危废暂存间分别设置醒目的危险废物标识。暂存间平时保持关闭状态，避免无关人员随意进出。贮存间应采取必要的防风、防晒、防雨、防漏、防渗、防腐以及其他环境污染防治措施，防止二次污染，加强防火等安全措施。</w:t>
            </w:r>
            <w:r>
              <w:rPr>
                <w:rFonts w:hint="default" w:ascii="Times New Roman" w:hAnsi="Times New Roman" w:cs="Times New Roman"/>
                <w:color w:val="auto"/>
                <w:szCs w:val="21"/>
                <w:lang w:val="zh-CN"/>
              </w:rPr>
              <w:t>根据项目平面布置，危险废物暂存间拟</w:t>
            </w:r>
            <w:r>
              <w:rPr>
                <w:rFonts w:hint="eastAsia" w:ascii="Times New Roman" w:hAnsi="Times New Roman" w:cs="Times New Roman"/>
                <w:color w:val="auto"/>
                <w:szCs w:val="21"/>
                <w:lang w:val="en-US" w:eastAsia="zh-CN"/>
              </w:rPr>
              <w:t>设置</w:t>
            </w:r>
            <w:r>
              <w:rPr>
                <w:rFonts w:hint="default" w:ascii="Times New Roman" w:hAnsi="Times New Roman" w:cs="Times New Roman"/>
                <w:color w:val="auto"/>
                <w:szCs w:val="21"/>
                <w:lang w:val="zh-CN"/>
              </w:rPr>
              <w:t>在</w:t>
            </w:r>
            <w:r>
              <w:rPr>
                <w:rFonts w:hint="eastAsia" w:ascii="Times New Roman" w:hAnsi="Times New Roman" w:cs="Times New Roman"/>
                <w:color w:val="auto"/>
                <w:szCs w:val="21"/>
                <w:lang w:val="en-US" w:eastAsia="zh-CN"/>
              </w:rPr>
              <w:t>车间北侧</w:t>
            </w:r>
            <w:r>
              <w:rPr>
                <w:rFonts w:hint="default" w:ascii="Times New Roman" w:hAnsi="Times New Roman" w:cs="Times New Roman"/>
                <w:color w:val="auto"/>
                <w:szCs w:val="21"/>
                <w:lang w:val="zh-CN"/>
              </w:rPr>
              <w:t>，此处距离危废产生点较近，可减少危险废物在场内转运距离，便于危险废物的贮存和转运。</w:t>
            </w:r>
            <w:r>
              <w:rPr>
                <w:rFonts w:hint="default" w:ascii="Times New Roman" w:hAnsi="Times New Roman" w:cs="Times New Roman"/>
                <w:color w:val="auto"/>
                <w:szCs w:val="21"/>
                <w:lang w:val="zh-CN" w:eastAsia="zh-CN"/>
              </w:rPr>
              <w:t>暂存间内地面、墙面裙脚、接触危险废物的隔板和墙体等均采用坚固的材料建造，表面无裂缝。暂存间地面与裙脚应采取表面防渗，表面防渗材料可采用抗渗混凝土、高密度聚乙烯膜、钠基膨润土防水毯或其他防渗性能等效的材料。暂存间地面应进行基础防渗，防渗层为至少1m厚黏土层（渗透系数不大于10</w:t>
            </w:r>
            <w:r>
              <w:rPr>
                <w:rFonts w:hint="default" w:ascii="Times New Roman" w:hAnsi="Times New Roman" w:cs="Times New Roman"/>
                <w:color w:val="auto"/>
                <w:szCs w:val="21"/>
                <w:vertAlign w:val="superscript"/>
                <w:lang w:val="zh-CN" w:eastAsia="zh-CN"/>
              </w:rPr>
              <w:t>-7</w:t>
            </w:r>
            <w:r>
              <w:rPr>
                <w:rFonts w:hint="default" w:ascii="Times New Roman" w:hAnsi="Times New Roman" w:cs="Times New Roman"/>
                <w:color w:val="auto"/>
                <w:szCs w:val="21"/>
                <w:lang w:val="zh-CN" w:eastAsia="zh-CN"/>
              </w:rPr>
              <w:t>cm/s），或至少2mm厚高密度聚乙烯膜等人工防渗材料（渗透系数不大于10</w:t>
            </w:r>
            <w:r>
              <w:rPr>
                <w:rFonts w:hint="default" w:ascii="Times New Roman" w:hAnsi="Times New Roman" w:cs="Times New Roman"/>
                <w:color w:val="auto"/>
                <w:szCs w:val="21"/>
                <w:vertAlign w:val="superscript"/>
                <w:lang w:val="zh-CN" w:eastAsia="zh-CN"/>
              </w:rPr>
              <w:t>-10</w:t>
            </w:r>
            <w:r>
              <w:rPr>
                <w:rFonts w:hint="default" w:ascii="Times New Roman" w:hAnsi="Times New Roman" w:cs="Times New Roman"/>
                <w:color w:val="auto"/>
                <w:szCs w:val="21"/>
                <w:lang w:val="zh-CN" w:eastAsia="zh-CN"/>
              </w:rPr>
              <w:t>cm/s），或其他防渗性能等效的材料</w:t>
            </w:r>
            <w:r>
              <w:rPr>
                <w:rFonts w:hint="default" w:ascii="Times New Roman" w:hAnsi="Times New Roman" w:cs="Times New Roman"/>
                <w:color w:val="auto"/>
                <w:szCs w:val="21"/>
                <w:lang w:val="zh-CN"/>
              </w:rPr>
              <w:t>。暂存间平时保持关闭状态，避免无关人员随意进出。</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③管理台账：建设单位必须</w:t>
            </w:r>
            <w:r>
              <w:rPr>
                <w:rFonts w:hint="default" w:ascii="Times New Roman" w:hAnsi="Times New Roman" w:cs="Times New Roman"/>
                <w:color w:val="auto"/>
                <w:szCs w:val="21"/>
                <w:lang w:val="zh-CN" w:eastAsia="zh-CN"/>
              </w:rPr>
              <w:t>按照《危险废物管理计划和管理台账制定技术导则》（HJ 1259—2022）</w:t>
            </w:r>
            <w:r>
              <w:rPr>
                <w:rFonts w:hint="default" w:ascii="Times New Roman" w:hAnsi="Times New Roman" w:cs="Times New Roman"/>
                <w:color w:val="auto"/>
                <w:szCs w:val="21"/>
                <w:lang w:val="zh-CN"/>
              </w:rPr>
              <w:t>单独建立危险废物管理台账，记录危废产生量、暂存量、处置量等。危险废物的转运必须按照《危险废物转移管理办法》（2021年11月30日生态环境部、公安部、交通运输部令第23号）实施，并委托具有危险废物处置资质的单位进行处理，并签订委托处置合同，不得擅自倾倒、堆放危险废物。在进行环保竣工验收时，建设单位必须提供与危废处置单位双方签订的回收处置协议。</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项目危险废物储存信息表</w:t>
            </w:r>
          </w:p>
          <w:tbl>
            <w:tblPr>
              <w:tblStyle w:val="17"/>
              <w:tblW w:w="8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523"/>
              <w:gridCol w:w="865"/>
              <w:gridCol w:w="1253"/>
              <w:gridCol w:w="746"/>
              <w:gridCol w:w="626"/>
              <w:gridCol w:w="895"/>
              <w:gridCol w:w="874"/>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blHeader/>
                <w:jc w:val="center"/>
              </w:trPr>
              <w:tc>
                <w:tcPr>
                  <w:tcW w:w="665" w:type="dxa"/>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贮存场</w:t>
                  </w:r>
                </w:p>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所名称</w:t>
                  </w:r>
                </w:p>
              </w:tc>
              <w:tc>
                <w:tcPr>
                  <w:tcW w:w="1523" w:type="dxa"/>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危险废物名称</w:t>
                  </w:r>
                </w:p>
              </w:tc>
              <w:tc>
                <w:tcPr>
                  <w:tcW w:w="865" w:type="dxa"/>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w:t>
                  </w:r>
                </w:p>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类别</w:t>
                  </w:r>
                </w:p>
              </w:tc>
              <w:tc>
                <w:tcPr>
                  <w:tcW w:w="1253" w:type="dxa"/>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危险废物代码</w:t>
                  </w:r>
                </w:p>
              </w:tc>
              <w:tc>
                <w:tcPr>
                  <w:tcW w:w="746" w:type="dxa"/>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位置</w:t>
                  </w:r>
                </w:p>
              </w:tc>
              <w:tc>
                <w:tcPr>
                  <w:tcW w:w="626" w:type="dxa"/>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占地</w:t>
                  </w:r>
                </w:p>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面积</w:t>
                  </w:r>
                </w:p>
              </w:tc>
              <w:tc>
                <w:tcPr>
                  <w:tcW w:w="895" w:type="dxa"/>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贮存</w:t>
                  </w:r>
                </w:p>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方式</w:t>
                  </w:r>
                </w:p>
              </w:tc>
              <w:tc>
                <w:tcPr>
                  <w:tcW w:w="874" w:type="dxa"/>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贮存</w:t>
                  </w:r>
                </w:p>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能力</w:t>
                  </w:r>
                </w:p>
              </w:tc>
              <w:tc>
                <w:tcPr>
                  <w:tcW w:w="668" w:type="dxa"/>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贮存</w:t>
                  </w:r>
                </w:p>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65" w:type="dxa"/>
                  <w:vMerge w:val="restart"/>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危废暂存间</w:t>
                  </w:r>
                </w:p>
              </w:tc>
              <w:tc>
                <w:tcPr>
                  <w:tcW w:w="1523"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油泥</w:t>
                  </w:r>
                </w:p>
              </w:tc>
              <w:tc>
                <w:tcPr>
                  <w:tcW w:w="865" w:type="dxa"/>
                  <w:noWrap w:val="0"/>
                  <w:vAlign w:val="center"/>
                </w:tcPr>
                <w:p>
                  <w:pPr>
                    <w:keepNext w:val="0"/>
                    <w:keepLines w:val="0"/>
                    <w:suppressLineNumbers w:val="0"/>
                    <w:spacing w:before="0" w:beforeAutospacing="0" w:after="0" w:afterAutospacing="0" w:line="280" w:lineRule="exact"/>
                    <w:ind w:left="-90" w:leftChars="-43" w:right="-90" w:rightChars="-43"/>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HW</w:t>
                  </w:r>
                  <w:r>
                    <w:rPr>
                      <w:rFonts w:hint="default" w:ascii="Times New Roman" w:hAnsi="Times New Roman" w:cs="Times New Roman"/>
                      <w:color w:val="auto"/>
                      <w:kern w:val="0"/>
                      <w:sz w:val="18"/>
                      <w:szCs w:val="18"/>
                      <w:lang w:val="en-US" w:eastAsia="zh-CN"/>
                    </w:rPr>
                    <w:t>08</w:t>
                  </w:r>
                </w:p>
              </w:tc>
              <w:tc>
                <w:tcPr>
                  <w:tcW w:w="1253" w:type="dxa"/>
                  <w:noWrap w:val="0"/>
                  <w:vAlign w:val="center"/>
                </w:tcPr>
                <w:p>
                  <w:pPr>
                    <w:keepNext w:val="0"/>
                    <w:keepLines w:val="0"/>
                    <w:suppressLineNumbers w:val="0"/>
                    <w:spacing w:before="0" w:beforeAutospacing="0" w:after="0" w:afterAutospacing="0" w:line="280" w:lineRule="exact"/>
                    <w:ind w:left="-90" w:leftChars="-43" w:right="-90" w:rightChars="-43"/>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900-2</w:t>
                  </w:r>
                  <w:r>
                    <w:rPr>
                      <w:rFonts w:hint="default" w:ascii="Times New Roman" w:hAnsi="Times New Roman" w:cs="Times New Roman"/>
                      <w:color w:val="auto"/>
                      <w:kern w:val="0"/>
                      <w:sz w:val="18"/>
                      <w:szCs w:val="18"/>
                      <w:lang w:val="en-US" w:eastAsia="zh-CN"/>
                    </w:rPr>
                    <w:t>14</w:t>
                  </w:r>
                  <w:r>
                    <w:rPr>
                      <w:rFonts w:hint="default" w:ascii="Times New Roman" w:hAnsi="Times New Roman" w:cs="Times New Roman"/>
                      <w:color w:val="auto"/>
                      <w:kern w:val="0"/>
                      <w:sz w:val="18"/>
                      <w:szCs w:val="18"/>
                    </w:rPr>
                    <w:t>-08</w:t>
                  </w:r>
                </w:p>
              </w:tc>
              <w:tc>
                <w:tcPr>
                  <w:tcW w:w="746" w:type="dxa"/>
                  <w:vMerge w:val="restart"/>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储存间北部的暂存间</w:t>
                  </w:r>
                </w:p>
              </w:tc>
              <w:tc>
                <w:tcPr>
                  <w:tcW w:w="626" w:type="dxa"/>
                  <w:vMerge w:val="restart"/>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p>
              </w:tc>
              <w:tc>
                <w:tcPr>
                  <w:tcW w:w="89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lang w:val="en-US" w:eastAsia="zh-CN"/>
                    </w:rPr>
                    <w:t>油罐</w:t>
                  </w:r>
                </w:p>
              </w:tc>
              <w:tc>
                <w:tcPr>
                  <w:tcW w:w="874"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40t</w:t>
                  </w:r>
                </w:p>
              </w:tc>
              <w:tc>
                <w:tcPr>
                  <w:tcW w:w="668"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65" w:type="dxa"/>
                  <w:vMerge w:val="continue"/>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1523"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滴漏废矿物油</w:t>
                  </w:r>
                </w:p>
              </w:tc>
              <w:tc>
                <w:tcPr>
                  <w:tcW w:w="865" w:type="dxa"/>
                  <w:noWrap w:val="0"/>
                  <w:vAlign w:val="center"/>
                </w:tcPr>
                <w:p>
                  <w:pPr>
                    <w:keepNext w:val="0"/>
                    <w:keepLines w:val="0"/>
                    <w:suppressLineNumbers w:val="0"/>
                    <w:spacing w:before="0" w:beforeAutospacing="0" w:after="0" w:afterAutospacing="0" w:line="280" w:lineRule="exact"/>
                    <w:ind w:left="-90" w:leftChars="-43" w:right="-90" w:rightChars="-43"/>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HW</w:t>
                  </w:r>
                  <w:r>
                    <w:rPr>
                      <w:rFonts w:hint="default" w:ascii="Times New Roman" w:hAnsi="Times New Roman" w:cs="Times New Roman"/>
                      <w:color w:val="auto"/>
                      <w:kern w:val="0"/>
                      <w:sz w:val="18"/>
                      <w:szCs w:val="18"/>
                      <w:lang w:val="en-US" w:eastAsia="zh-CN"/>
                    </w:rPr>
                    <w:t>08</w:t>
                  </w:r>
                </w:p>
              </w:tc>
              <w:tc>
                <w:tcPr>
                  <w:tcW w:w="1253" w:type="dxa"/>
                  <w:noWrap w:val="0"/>
                  <w:vAlign w:val="center"/>
                </w:tcPr>
                <w:p>
                  <w:pPr>
                    <w:keepNext w:val="0"/>
                    <w:keepLines w:val="0"/>
                    <w:suppressLineNumbers w:val="0"/>
                    <w:spacing w:before="0" w:beforeAutospacing="0" w:after="0" w:afterAutospacing="0" w:line="280" w:lineRule="exact"/>
                    <w:ind w:left="-90" w:leftChars="-43" w:right="-90" w:rightChars="-43"/>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900-2</w:t>
                  </w:r>
                  <w:r>
                    <w:rPr>
                      <w:rFonts w:hint="default" w:ascii="Times New Roman" w:hAnsi="Times New Roman" w:cs="Times New Roman"/>
                      <w:color w:val="auto"/>
                      <w:kern w:val="0"/>
                      <w:sz w:val="18"/>
                      <w:szCs w:val="18"/>
                      <w:lang w:val="en-US" w:eastAsia="zh-CN"/>
                    </w:rPr>
                    <w:t>14</w:t>
                  </w:r>
                  <w:r>
                    <w:rPr>
                      <w:rFonts w:hint="default" w:ascii="Times New Roman" w:hAnsi="Times New Roman" w:cs="Times New Roman"/>
                      <w:color w:val="auto"/>
                      <w:kern w:val="0"/>
                      <w:sz w:val="18"/>
                      <w:szCs w:val="18"/>
                    </w:rPr>
                    <w:t>-08</w:t>
                  </w:r>
                </w:p>
              </w:tc>
              <w:tc>
                <w:tcPr>
                  <w:tcW w:w="746" w:type="dxa"/>
                  <w:vMerge w:val="continue"/>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626" w:type="dxa"/>
                  <w:vMerge w:val="continue"/>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89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rPr>
                    <w:t>油罐</w:t>
                  </w:r>
                </w:p>
              </w:tc>
              <w:tc>
                <w:tcPr>
                  <w:tcW w:w="874"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40t</w:t>
                  </w:r>
                </w:p>
              </w:tc>
              <w:tc>
                <w:tcPr>
                  <w:tcW w:w="668"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65" w:type="dxa"/>
                  <w:vMerge w:val="continue"/>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1523"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含油工作服、手套</w:t>
                  </w:r>
                </w:p>
              </w:tc>
              <w:tc>
                <w:tcPr>
                  <w:tcW w:w="865" w:type="dxa"/>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HW49</w:t>
                  </w:r>
                </w:p>
              </w:tc>
              <w:tc>
                <w:tcPr>
                  <w:tcW w:w="1253" w:type="dxa"/>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900-041-49</w:t>
                  </w:r>
                </w:p>
              </w:tc>
              <w:tc>
                <w:tcPr>
                  <w:tcW w:w="746" w:type="dxa"/>
                  <w:vMerge w:val="continue"/>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626" w:type="dxa"/>
                  <w:vMerge w:val="continue"/>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89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lang w:val="en-US" w:eastAsia="zh-CN"/>
                    </w:rPr>
                    <w:t>收集桶</w:t>
                  </w:r>
                </w:p>
              </w:tc>
              <w:tc>
                <w:tcPr>
                  <w:tcW w:w="874"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lang w:val="en-US" w:eastAsia="zh-CN"/>
                    </w:rPr>
                    <w:t>0.02t</w:t>
                  </w:r>
                </w:p>
              </w:tc>
              <w:tc>
                <w:tcPr>
                  <w:tcW w:w="668"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65" w:type="dxa"/>
                  <w:vMerge w:val="continue"/>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1523"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含油锯末、沙、吸油棉</w:t>
                  </w:r>
                </w:p>
              </w:tc>
              <w:tc>
                <w:tcPr>
                  <w:tcW w:w="865" w:type="dxa"/>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HW49</w:t>
                  </w:r>
                </w:p>
              </w:tc>
              <w:tc>
                <w:tcPr>
                  <w:tcW w:w="1253" w:type="dxa"/>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900-041-49</w:t>
                  </w:r>
                </w:p>
              </w:tc>
              <w:tc>
                <w:tcPr>
                  <w:tcW w:w="746" w:type="dxa"/>
                  <w:vMerge w:val="continue"/>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626" w:type="dxa"/>
                  <w:vMerge w:val="continue"/>
                  <w:noWrap w:val="0"/>
                  <w:vAlign w:val="center"/>
                </w:tcPr>
                <w:p>
                  <w:pPr>
                    <w:pStyle w:val="4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89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lang w:val="en-US" w:eastAsia="zh-CN"/>
                    </w:rPr>
                    <w:t>收集桶</w:t>
                  </w:r>
                </w:p>
              </w:tc>
              <w:tc>
                <w:tcPr>
                  <w:tcW w:w="874"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0"/>
                      <w:sz w:val="18"/>
                      <w:szCs w:val="18"/>
                      <w:lang w:val="en-US" w:eastAsia="zh-CN"/>
                    </w:rPr>
                    <w:t>0.02t</w:t>
                  </w:r>
                </w:p>
              </w:tc>
              <w:tc>
                <w:tcPr>
                  <w:tcW w:w="668"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半年</w:t>
                  </w:r>
                </w:p>
              </w:tc>
            </w:tr>
          </w:tbl>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综上所述，本项目固体废物处理处置符合国家《固体废物污染环境防治法》规定的原则，</w:t>
            </w:r>
            <w:r>
              <w:rPr>
                <w:rFonts w:hint="default" w:ascii="Times New Roman" w:hAnsi="Times New Roman" w:cs="Times New Roman"/>
                <w:color w:val="auto"/>
                <w:szCs w:val="21"/>
                <w:lang w:val="zh-CN" w:eastAsia="zh-CN"/>
              </w:rPr>
              <w:t>符合</w:t>
            </w:r>
            <w:r>
              <w:rPr>
                <w:rFonts w:hint="default" w:ascii="Times New Roman" w:hAnsi="Times New Roman" w:cs="Times New Roman"/>
                <w:color w:val="auto"/>
                <w:szCs w:val="21"/>
                <w:lang w:val="zh-CN"/>
              </w:rPr>
              <w:fldChar w:fldCharType="begin"/>
            </w:r>
            <w:r>
              <w:rPr>
                <w:rFonts w:hint="default" w:ascii="Times New Roman" w:hAnsi="Times New Roman" w:cs="Times New Roman"/>
                <w:color w:val="auto"/>
                <w:szCs w:val="21"/>
                <w:lang w:val="zh-CN"/>
              </w:rPr>
              <w:instrText xml:space="preserve"> HYPERLINK "http://www.baidu.com/link?url=KULpBOJhI0uJX65eYwzwoCQ-VgaXxUzEHItb7X5CjEknzyEx5aoNCSuDzldtDgokbdNoXNnPNSgIO0h_2gW42h4Qi8yRaqqoJqbhVY8y9rh3pxL81qNKzPcekUskDjGd" \t "https://www.baidu.com/_blank" </w:instrText>
            </w:r>
            <w:r>
              <w:rPr>
                <w:rFonts w:hint="default" w:ascii="Times New Roman" w:hAnsi="Times New Roman" w:cs="Times New Roman"/>
                <w:color w:val="auto"/>
                <w:szCs w:val="21"/>
                <w:lang w:val="zh-CN"/>
              </w:rPr>
              <w:fldChar w:fldCharType="separate"/>
            </w:r>
            <w:r>
              <w:rPr>
                <w:rFonts w:hint="default" w:ascii="Times New Roman" w:hAnsi="Times New Roman" w:cs="Times New Roman"/>
                <w:color w:val="auto"/>
                <w:szCs w:val="21"/>
                <w:lang w:val="zh-CN"/>
              </w:rPr>
              <w:t>《一般工业固体废物贮存和填埋污染控制标准》</w:t>
            </w:r>
            <w:r>
              <w:rPr>
                <w:rFonts w:hint="default" w:ascii="Times New Roman" w:hAnsi="Times New Roman" w:cs="Times New Roman"/>
                <w:color w:val="auto"/>
                <w:szCs w:val="21"/>
                <w:lang w:val="zh-CN"/>
              </w:rPr>
              <w:fldChar w:fldCharType="end"/>
            </w:r>
            <w:r>
              <w:rPr>
                <w:rFonts w:hint="default" w:ascii="Times New Roman" w:hAnsi="Times New Roman" w:cs="Times New Roman"/>
                <w:color w:val="auto"/>
                <w:szCs w:val="21"/>
                <w:lang w:val="zh-CN"/>
              </w:rPr>
              <w:t>（GB18599-20</w:t>
            </w:r>
            <w:r>
              <w:rPr>
                <w:rFonts w:hint="default" w:ascii="Times New Roman" w:hAnsi="Times New Roman" w:cs="Times New Roman"/>
                <w:color w:val="auto"/>
                <w:szCs w:val="21"/>
                <w:lang w:val="zh-CN" w:eastAsia="zh-CN"/>
              </w:rPr>
              <w:t>20</w:t>
            </w:r>
            <w:r>
              <w:rPr>
                <w:rFonts w:hint="default" w:ascii="Times New Roman" w:hAnsi="Times New Roman" w:cs="Times New Roman"/>
                <w:color w:val="auto"/>
                <w:szCs w:val="21"/>
                <w:lang w:val="zh-CN"/>
              </w:rPr>
              <w:t>）</w:t>
            </w:r>
            <w:r>
              <w:rPr>
                <w:rFonts w:hint="default" w:ascii="Times New Roman" w:hAnsi="Times New Roman" w:cs="Times New Roman"/>
                <w:color w:val="auto"/>
                <w:szCs w:val="21"/>
                <w:lang w:val="zh-CN" w:eastAsia="zh-CN"/>
              </w:rPr>
              <w:t>和</w:t>
            </w:r>
            <w:r>
              <w:rPr>
                <w:rFonts w:hint="default" w:ascii="Times New Roman" w:hAnsi="Times New Roman" w:cs="Times New Roman"/>
                <w:color w:val="auto"/>
                <w:szCs w:val="21"/>
                <w:lang w:val="zh-CN" w:eastAsia="zh-CN"/>
              </w:rPr>
              <w:fldChar w:fldCharType="begin"/>
            </w:r>
            <w:r>
              <w:rPr>
                <w:rFonts w:hint="default" w:ascii="Times New Roman" w:hAnsi="Times New Roman" w:cs="Times New Roman"/>
                <w:color w:val="auto"/>
                <w:szCs w:val="21"/>
                <w:lang w:val="zh-CN" w:eastAsia="zh-CN"/>
              </w:rPr>
              <w:instrText xml:space="preserve"> HYPERLINK "https://www.mee.gov.cn/ywgz/fgbz/bz/bzwb/gthw/wxfwjbffbz/202302/t20230224_1017500.shtml" </w:instrText>
            </w:r>
            <w:r>
              <w:rPr>
                <w:rFonts w:hint="default" w:ascii="Times New Roman" w:hAnsi="Times New Roman" w:cs="Times New Roman"/>
                <w:color w:val="auto"/>
                <w:szCs w:val="21"/>
                <w:lang w:val="zh-CN" w:eastAsia="zh-CN"/>
              </w:rPr>
              <w:fldChar w:fldCharType="separate"/>
            </w:r>
            <w:r>
              <w:rPr>
                <w:rFonts w:hint="default" w:ascii="Times New Roman" w:hAnsi="Times New Roman" w:cs="Times New Roman"/>
                <w:color w:val="auto"/>
                <w:szCs w:val="21"/>
                <w:lang w:val="zh-CN" w:eastAsia="zh-CN"/>
              </w:rPr>
              <w:t>《危险废物贮存污染控制标准》（GB18597-2023）</w:t>
            </w:r>
            <w:r>
              <w:rPr>
                <w:rFonts w:hint="default" w:ascii="Times New Roman" w:hAnsi="Times New Roman" w:cs="Times New Roman"/>
                <w:color w:val="auto"/>
                <w:szCs w:val="21"/>
                <w:lang w:val="zh-CN" w:eastAsia="zh-CN"/>
              </w:rPr>
              <w:fldChar w:fldCharType="end"/>
            </w:r>
            <w:r>
              <w:rPr>
                <w:rFonts w:hint="default" w:ascii="Times New Roman" w:hAnsi="Times New Roman" w:cs="Times New Roman"/>
                <w:color w:val="auto"/>
                <w:szCs w:val="21"/>
                <w:lang w:val="zh-CN" w:eastAsia="zh-CN"/>
              </w:rPr>
              <w:t>的规定</w:t>
            </w:r>
            <w:r>
              <w:rPr>
                <w:rFonts w:hint="eastAsia" w:cs="Times New Roman"/>
                <w:color w:val="auto"/>
                <w:szCs w:val="21"/>
                <w:lang w:val="zh-CN" w:eastAsia="zh-CN"/>
              </w:rPr>
              <w:t>。</w:t>
            </w:r>
            <w:r>
              <w:rPr>
                <w:rFonts w:hint="default" w:ascii="Times New Roman" w:hAnsi="Times New Roman" w:cs="Times New Roman"/>
                <w:color w:val="auto"/>
                <w:szCs w:val="21"/>
                <w:lang w:val="zh-CN"/>
              </w:rPr>
              <w:t>采取上述措施后，本工程固体废物可得到妥善的处理，对周围环境造成的影响很小。</w:t>
            </w:r>
          </w:p>
          <w:p>
            <w:pPr>
              <w:keepNext w:val="0"/>
              <w:keepLines w:val="0"/>
              <w:pageBreakBefore w:val="0"/>
              <w:widowControl w:val="0"/>
              <w:kinsoku/>
              <w:wordWrap/>
              <w:overflowPunct/>
              <w:topLinePunct w:val="0"/>
              <w:autoSpaceDE w:val="0"/>
              <w:autoSpaceDN w:val="0"/>
              <w:bidi w:val="0"/>
              <w:adjustRightInd w:val="0"/>
              <w:snapToGrid/>
              <w:spacing w:line="406" w:lineRule="exact"/>
              <w:ind w:firstLine="420" w:firstLineChars="200"/>
              <w:textAlignment w:val="auto"/>
              <w:rPr>
                <w:rFonts w:hint="default" w:ascii="Times New Roman" w:hAnsi="Times New Roman" w:cs="Times New Roman"/>
                <w:color w:val="auto"/>
                <w:kern w:val="0"/>
              </w:rPr>
            </w:pPr>
            <w:r>
              <w:rPr>
                <w:rFonts w:hint="default" w:ascii="Times New Roman" w:hAnsi="Times New Roman" w:cs="Times New Roman"/>
                <w:color w:val="auto"/>
                <w:kern w:val="0"/>
              </w:rPr>
              <w:t>评价认为，通过建设单位采取的上述控制措施，固体废物全部得到妥善处理或综合利用，不会对周围环境造成污染影响。处理措施经济合理、技术可行。</w:t>
            </w:r>
          </w:p>
          <w:p>
            <w:pPr>
              <w:numPr>
                <w:ilvl w:val="0"/>
                <w:numId w:val="19"/>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地下水、土壤</w:t>
            </w:r>
          </w:p>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lang w:val="zh-CN"/>
              </w:rPr>
            </w:pPr>
            <w:r>
              <w:rPr>
                <w:rFonts w:hint="default" w:ascii="Times New Roman" w:hAnsi="Times New Roman" w:cs="Times New Roman"/>
                <w:b/>
                <w:bCs/>
                <w:color w:val="auto"/>
                <w:szCs w:val="21"/>
                <w:lang w:val="zh-CN"/>
              </w:rPr>
              <w:t>（</w:t>
            </w:r>
            <w:r>
              <w:rPr>
                <w:rFonts w:hint="default" w:ascii="Times New Roman" w:hAnsi="Times New Roman" w:cs="Times New Roman"/>
                <w:b/>
                <w:bCs/>
                <w:color w:val="auto"/>
                <w:szCs w:val="21"/>
              </w:rPr>
              <w:t>1</w:t>
            </w:r>
            <w:r>
              <w:rPr>
                <w:rFonts w:hint="default" w:ascii="Times New Roman" w:hAnsi="Times New Roman" w:cs="Times New Roman"/>
                <w:b/>
                <w:bCs/>
                <w:color w:val="auto"/>
                <w:szCs w:val="21"/>
                <w:lang w:val="zh-CN"/>
              </w:rPr>
              <w:t>）污染源、污染物类型、污染途径</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本项目可能存在地下水污染的区域有</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暂存</w:t>
            </w:r>
            <w:r>
              <w:rPr>
                <w:rFonts w:hint="default" w:ascii="Times New Roman" w:hAnsi="Times New Roman" w:cs="Times New Roman"/>
                <w:color w:val="auto"/>
                <w:szCs w:val="21"/>
                <w:lang w:val="en-US" w:eastAsia="zh-CN"/>
              </w:rPr>
              <w:t>区</w:t>
            </w:r>
            <w:r>
              <w:rPr>
                <w:rFonts w:hint="default" w:ascii="Times New Roman" w:hAnsi="Times New Roman" w:cs="Times New Roman"/>
                <w:color w:val="auto"/>
                <w:szCs w:val="21"/>
              </w:rPr>
              <w:t>及装卸</w:t>
            </w:r>
            <w:r>
              <w:rPr>
                <w:rFonts w:hint="default" w:ascii="Times New Roman" w:hAnsi="Times New Roman" w:cs="Times New Roman"/>
                <w:color w:val="auto"/>
                <w:szCs w:val="21"/>
                <w:lang w:val="en-US" w:eastAsia="zh-CN"/>
              </w:rPr>
              <w:t>区</w:t>
            </w:r>
            <w:r>
              <w:rPr>
                <w:rFonts w:hint="default" w:ascii="Times New Roman" w:hAnsi="Times New Roman" w:cs="Times New Roman"/>
                <w:color w:val="auto"/>
                <w:szCs w:val="21"/>
              </w:rPr>
              <w:t>。污染物主要为石油类，污染途径为垂直下渗、地表漫流</w:t>
            </w:r>
            <w:r>
              <w:rPr>
                <w:rFonts w:hint="default" w:ascii="Times New Roman" w:hAnsi="Times New Roman" w:cs="Times New Roman"/>
                <w:color w:val="auto"/>
                <w:szCs w:val="21"/>
                <w:lang w:val="zh-CN"/>
              </w:rPr>
              <w:t>。正常状况下，</w:t>
            </w:r>
            <w:r>
              <w:rPr>
                <w:rFonts w:hint="default" w:ascii="Times New Roman" w:hAnsi="Times New Roman" w:cs="Times New Roman"/>
                <w:color w:val="auto"/>
                <w:szCs w:val="21"/>
              </w:rPr>
              <w:t>项目</w:t>
            </w:r>
            <w:r>
              <w:rPr>
                <w:rFonts w:hint="default" w:ascii="Times New Roman" w:hAnsi="Times New Roman" w:cs="Times New Roman"/>
                <w:color w:val="auto"/>
                <w:szCs w:val="21"/>
                <w:lang w:val="zh-CN"/>
              </w:rPr>
              <w:t>不会造成地下水污染，仅在非正常状况下，</w:t>
            </w:r>
            <w:r>
              <w:rPr>
                <w:rFonts w:hint="default" w:ascii="Times New Roman" w:hAnsi="Times New Roman" w:cs="Times New Roman"/>
                <w:color w:val="auto"/>
                <w:szCs w:val="21"/>
              </w:rPr>
              <w:t>储存间罐“跑、冒、滴、漏”在地面，且</w:t>
            </w:r>
            <w:r>
              <w:rPr>
                <w:rFonts w:hint="default" w:ascii="Times New Roman" w:hAnsi="Times New Roman" w:cs="Times New Roman"/>
                <w:color w:val="auto"/>
                <w:szCs w:val="21"/>
                <w:lang w:val="zh-CN"/>
              </w:rPr>
              <w:t>地面出现裂缝，</w:t>
            </w:r>
            <w:r>
              <w:rPr>
                <w:rFonts w:hint="default" w:ascii="Times New Roman" w:hAnsi="Times New Roman" w:cs="Times New Roman"/>
                <w:color w:val="auto"/>
                <w:szCs w:val="21"/>
              </w:rPr>
              <w:t>才会导致</w:t>
            </w:r>
            <w:r>
              <w:rPr>
                <w:rFonts w:hint="default" w:ascii="Times New Roman" w:hAnsi="Times New Roman" w:cs="Times New Roman"/>
                <w:color w:val="auto"/>
                <w:szCs w:val="21"/>
                <w:lang w:val="zh-CN"/>
              </w:rPr>
              <w:t>油类物质下渗进入地下含水层，造成地下水、</w:t>
            </w:r>
            <w:r>
              <w:rPr>
                <w:rFonts w:hint="default" w:ascii="Times New Roman" w:hAnsi="Times New Roman" w:cs="Times New Roman"/>
                <w:color w:val="auto"/>
                <w:szCs w:val="21"/>
              </w:rPr>
              <w:t>土壤</w:t>
            </w:r>
            <w:r>
              <w:rPr>
                <w:rFonts w:hint="default" w:ascii="Times New Roman" w:hAnsi="Times New Roman" w:cs="Times New Roman"/>
                <w:color w:val="auto"/>
                <w:szCs w:val="21"/>
                <w:lang w:val="zh-CN"/>
              </w:rPr>
              <w:t>。</w:t>
            </w:r>
          </w:p>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lang w:val="zh-CN"/>
              </w:rPr>
            </w:pPr>
            <w:r>
              <w:rPr>
                <w:rFonts w:hint="default" w:ascii="Times New Roman" w:hAnsi="Times New Roman" w:cs="Times New Roman"/>
                <w:b/>
                <w:bCs/>
                <w:color w:val="auto"/>
                <w:szCs w:val="21"/>
                <w:lang w:val="zh-CN"/>
              </w:rPr>
              <w:t>（</w:t>
            </w:r>
            <w:r>
              <w:rPr>
                <w:rFonts w:hint="default" w:ascii="Times New Roman" w:hAnsi="Times New Roman" w:cs="Times New Roman"/>
                <w:b/>
                <w:bCs/>
                <w:color w:val="auto"/>
                <w:szCs w:val="21"/>
              </w:rPr>
              <w:t>2</w:t>
            </w:r>
            <w:r>
              <w:rPr>
                <w:rFonts w:hint="default" w:ascii="Times New Roman" w:hAnsi="Times New Roman" w:cs="Times New Roman"/>
                <w:b/>
                <w:bCs/>
                <w:color w:val="auto"/>
                <w:szCs w:val="21"/>
                <w:lang w:val="zh-CN"/>
              </w:rPr>
              <w:t>）防控措施</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本项目对地下水、</w:t>
            </w:r>
            <w:r>
              <w:rPr>
                <w:rFonts w:hint="default" w:ascii="Times New Roman" w:hAnsi="Times New Roman" w:cs="Times New Roman"/>
                <w:color w:val="auto"/>
                <w:szCs w:val="21"/>
              </w:rPr>
              <w:t>土壤</w:t>
            </w:r>
            <w:r>
              <w:rPr>
                <w:rFonts w:hint="default" w:ascii="Times New Roman" w:hAnsi="Times New Roman" w:cs="Times New Roman"/>
                <w:color w:val="auto"/>
                <w:szCs w:val="21"/>
                <w:lang w:val="zh-CN"/>
              </w:rPr>
              <w:t>的可能影响主要是</w:t>
            </w:r>
            <w:r>
              <w:rPr>
                <w:rFonts w:hint="eastAsia" w:cs="Times New Roman"/>
                <w:color w:val="auto"/>
                <w:szCs w:val="21"/>
                <w:lang w:val="zh-CN"/>
              </w:rPr>
              <w:t>泄漏</w:t>
            </w:r>
            <w:r>
              <w:rPr>
                <w:rFonts w:hint="default" w:ascii="Times New Roman" w:hAnsi="Times New Roman" w:cs="Times New Roman"/>
                <w:color w:val="auto"/>
                <w:szCs w:val="21"/>
                <w:lang w:val="zh-CN"/>
              </w:rPr>
              <w:t>影响。地下水、</w:t>
            </w:r>
            <w:r>
              <w:rPr>
                <w:rFonts w:hint="default" w:ascii="Times New Roman" w:hAnsi="Times New Roman" w:cs="Times New Roman"/>
                <w:color w:val="auto"/>
                <w:szCs w:val="21"/>
              </w:rPr>
              <w:t>土壤</w:t>
            </w:r>
            <w:r>
              <w:rPr>
                <w:rFonts w:hint="default" w:ascii="Times New Roman" w:hAnsi="Times New Roman" w:cs="Times New Roman"/>
                <w:color w:val="auto"/>
                <w:szCs w:val="21"/>
                <w:lang w:val="zh-CN"/>
              </w:rPr>
              <w:t>污染防治措施坚持“源头控制、末端防治、污染监控、应急响应相结合”的原则，即采取主动控制和被动控制相结合的措施。</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rPr>
              <w:t>①</w:t>
            </w:r>
            <w:r>
              <w:rPr>
                <w:rFonts w:hint="default" w:ascii="Times New Roman" w:hAnsi="Times New Roman" w:cs="Times New Roman"/>
                <w:color w:val="auto"/>
                <w:szCs w:val="21"/>
                <w:lang w:val="zh-CN"/>
              </w:rPr>
              <w:t>针对本工程可能造成的地下水、土壤污染，</w:t>
            </w:r>
            <w:r>
              <w:rPr>
                <w:rFonts w:hint="default" w:ascii="Times New Roman" w:hAnsi="Times New Roman" w:cs="Times New Roman"/>
                <w:color w:val="auto"/>
                <w:szCs w:val="21"/>
              </w:rPr>
              <w:t>其</w:t>
            </w:r>
            <w:r>
              <w:rPr>
                <w:rFonts w:hint="default" w:ascii="Times New Roman" w:hAnsi="Times New Roman" w:cs="Times New Roman"/>
                <w:color w:val="auto"/>
                <w:szCs w:val="21"/>
                <w:lang w:val="zh-CN"/>
              </w:rPr>
              <w:t>防治措施按照“源头控制、分区防治、污染监控、应急响应”相结合的原则，从污染物的产生、入渗、扩散、应急响应全方位进行控制。</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本</w:t>
            </w:r>
            <w:r>
              <w:rPr>
                <w:rFonts w:hint="default" w:ascii="Times New Roman" w:hAnsi="Times New Roman" w:cs="Times New Roman"/>
                <w:color w:val="auto"/>
                <w:szCs w:val="21"/>
              </w:rPr>
              <w:t>项目</w:t>
            </w:r>
            <w:r>
              <w:rPr>
                <w:rFonts w:hint="default" w:ascii="Times New Roman" w:hAnsi="Times New Roman" w:cs="Times New Roman"/>
                <w:color w:val="auto"/>
                <w:szCs w:val="21"/>
                <w:lang w:val="zh-CN"/>
              </w:rPr>
              <w:t>严格按照国家相关规范要求，对</w:t>
            </w:r>
            <w:r>
              <w:rPr>
                <w:rFonts w:hint="default" w:ascii="Times New Roman" w:hAnsi="Times New Roman" w:cs="Times New Roman"/>
                <w:color w:val="auto"/>
                <w:szCs w:val="21"/>
              </w:rPr>
              <w:t>储存</w:t>
            </w:r>
            <w:r>
              <w:rPr>
                <w:rFonts w:hint="default" w:ascii="Times New Roman" w:hAnsi="Times New Roman" w:cs="Times New Roman"/>
                <w:color w:val="auto"/>
                <w:szCs w:val="21"/>
                <w:lang w:val="en-US" w:eastAsia="zh-CN"/>
              </w:rPr>
              <w:t>间采取防渗措施</w:t>
            </w:r>
            <w:r>
              <w:rPr>
                <w:rFonts w:hint="default" w:ascii="Times New Roman" w:hAnsi="Times New Roman" w:cs="Times New Roman"/>
                <w:color w:val="auto"/>
                <w:szCs w:val="21"/>
                <w:lang w:val="zh-CN"/>
              </w:rPr>
              <w:t>，防止和降低污染物的跑、冒、滴、漏，将污染物泄漏的环境风险事故降低到最低程度；</w:t>
            </w:r>
            <w:r>
              <w:rPr>
                <w:rFonts w:hint="default" w:ascii="Times New Roman" w:hAnsi="Times New Roman" w:cs="Times New Roman"/>
                <w:color w:val="auto"/>
                <w:szCs w:val="21"/>
                <w:lang w:val="zh-CN" w:eastAsia="zh-CN"/>
              </w:rPr>
              <w:t>配备移动式的接油托盘（或接油桶等其他容器），装卸作业时，放置于输送管道出油口下方，收集滴漏的废矿物油，然后回收进入储油罐</w:t>
            </w:r>
            <w:r>
              <w:rPr>
                <w:rFonts w:hint="eastAsia" w:cs="Times New Roman"/>
                <w:color w:val="auto"/>
                <w:szCs w:val="21"/>
                <w:lang w:val="zh-CN" w:eastAsia="zh-CN"/>
              </w:rPr>
              <w:t>，</w:t>
            </w:r>
            <w:r>
              <w:rPr>
                <w:rFonts w:hint="eastAsia" w:cs="Times New Roman"/>
                <w:color w:val="auto"/>
                <w:szCs w:val="21"/>
                <w:lang w:val="en-US" w:eastAsia="zh-CN"/>
              </w:rPr>
              <w:t>可防止滴漏在地面</w:t>
            </w:r>
            <w:r>
              <w:rPr>
                <w:rFonts w:hint="eastAsia" w:cs="Times New Roman"/>
                <w:color w:val="auto"/>
                <w:szCs w:val="21"/>
                <w:lang w:val="zh-CN" w:eastAsia="zh-CN"/>
              </w:rPr>
              <w:t>。</w:t>
            </w:r>
            <w:r>
              <w:rPr>
                <w:rFonts w:hint="default" w:ascii="Times New Roman" w:hAnsi="Times New Roman" w:cs="Times New Roman"/>
                <w:color w:val="auto"/>
                <w:szCs w:val="21"/>
                <w:lang w:val="zh-CN"/>
              </w:rPr>
              <w:t>优化排水系统设计，</w:t>
            </w:r>
            <w:r>
              <w:rPr>
                <w:rFonts w:hint="default" w:ascii="Times New Roman" w:hAnsi="Times New Roman" w:cs="Times New Roman"/>
                <w:color w:val="auto"/>
                <w:szCs w:val="21"/>
              </w:rPr>
              <w:t>场外</w:t>
            </w:r>
            <w:r>
              <w:rPr>
                <w:rFonts w:hint="default" w:ascii="Times New Roman" w:hAnsi="Times New Roman" w:cs="Times New Roman"/>
                <w:color w:val="auto"/>
                <w:szCs w:val="21"/>
                <w:lang w:val="zh-CN"/>
              </w:rPr>
              <w:t>水</w:t>
            </w:r>
            <w:r>
              <w:rPr>
                <w:rFonts w:hint="default" w:ascii="Times New Roman" w:hAnsi="Times New Roman" w:cs="Times New Roman"/>
                <w:color w:val="auto"/>
                <w:szCs w:val="21"/>
              </w:rPr>
              <w:t>不进入场内，场内地面雨水</w:t>
            </w:r>
            <w:r>
              <w:rPr>
                <w:rFonts w:hint="default" w:ascii="Times New Roman" w:hAnsi="Times New Roman" w:cs="Times New Roman"/>
                <w:color w:val="auto"/>
                <w:szCs w:val="21"/>
                <w:lang w:val="zh-CN"/>
              </w:rPr>
              <w:t>沟渠采用“可视化”原则，即明沟，做到污染物“早发现、早处理”，以减少泄漏而可能造成的地下水污染。</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暂存间</w:t>
            </w:r>
            <w:r>
              <w:rPr>
                <w:rFonts w:hint="default" w:ascii="Times New Roman" w:hAnsi="Times New Roman" w:cs="Times New Roman"/>
                <w:color w:val="auto"/>
                <w:szCs w:val="21"/>
                <w:lang w:val="zh-CN"/>
              </w:rPr>
              <w:t>严格执行</w:t>
            </w:r>
            <w:r>
              <w:rPr>
                <w:rFonts w:hint="default" w:ascii="Times New Roman" w:hAnsi="Times New Roman" w:cs="Times New Roman"/>
                <w:color w:val="auto"/>
                <w:szCs w:val="21"/>
                <w:lang w:val="zh-CN" w:eastAsia="zh-CN"/>
              </w:rPr>
              <w:fldChar w:fldCharType="begin"/>
            </w:r>
            <w:r>
              <w:rPr>
                <w:rFonts w:hint="default" w:ascii="Times New Roman" w:hAnsi="Times New Roman" w:cs="Times New Roman"/>
                <w:color w:val="auto"/>
                <w:szCs w:val="21"/>
                <w:lang w:val="zh-CN" w:eastAsia="zh-CN"/>
              </w:rPr>
              <w:instrText xml:space="preserve"> HYPERLINK "https://www.mee.gov.cn/ywgz/fgbz/bz/bzwb/gthw/wxfwjbffbz/202302/t20230224_1017500.shtml" </w:instrText>
            </w:r>
            <w:r>
              <w:rPr>
                <w:rFonts w:hint="default" w:ascii="Times New Roman" w:hAnsi="Times New Roman" w:cs="Times New Roman"/>
                <w:color w:val="auto"/>
                <w:szCs w:val="21"/>
                <w:lang w:val="zh-CN" w:eastAsia="zh-CN"/>
              </w:rPr>
              <w:fldChar w:fldCharType="separate"/>
            </w:r>
            <w:r>
              <w:rPr>
                <w:rFonts w:hint="default" w:ascii="Times New Roman" w:hAnsi="Times New Roman" w:cs="Times New Roman"/>
                <w:color w:val="auto"/>
                <w:szCs w:val="21"/>
                <w:lang w:val="zh-CN" w:eastAsia="zh-CN"/>
              </w:rPr>
              <w:t>《危险废物贮存污染控制标准》（GB18597-2023）</w:t>
            </w:r>
            <w:r>
              <w:rPr>
                <w:rFonts w:hint="default" w:ascii="Times New Roman" w:hAnsi="Times New Roman" w:cs="Times New Roman"/>
                <w:color w:val="auto"/>
                <w:szCs w:val="21"/>
                <w:lang w:val="zh-CN" w:eastAsia="zh-CN"/>
              </w:rPr>
              <w:fldChar w:fldCharType="end"/>
            </w:r>
            <w:r>
              <w:rPr>
                <w:rFonts w:hint="default" w:ascii="Times New Roman" w:hAnsi="Times New Roman" w:cs="Times New Roman"/>
                <w:color w:val="auto"/>
                <w:szCs w:val="21"/>
                <w:lang w:val="zh-CN"/>
              </w:rPr>
              <w:t>的有关要求做好防腐防渗措施，以降低渗滤液渗入地下污染地下水的环境风险。</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rPr>
              <w:t>②</w:t>
            </w:r>
            <w:r>
              <w:rPr>
                <w:rFonts w:hint="default" w:ascii="Times New Roman" w:hAnsi="Times New Roman" w:cs="Times New Roman"/>
                <w:color w:val="auto"/>
                <w:szCs w:val="21"/>
                <w:lang w:val="zh-CN"/>
              </w:rPr>
              <w:t>对</w:t>
            </w:r>
            <w:r>
              <w:rPr>
                <w:rFonts w:hint="default" w:ascii="Times New Roman" w:hAnsi="Times New Roman" w:cs="Times New Roman"/>
                <w:color w:val="auto"/>
                <w:szCs w:val="21"/>
              </w:rPr>
              <w:t>储存</w:t>
            </w:r>
            <w:r>
              <w:rPr>
                <w:rFonts w:hint="default" w:ascii="Times New Roman" w:hAnsi="Times New Roman" w:cs="Times New Roman"/>
                <w:color w:val="auto"/>
                <w:szCs w:val="21"/>
                <w:lang w:val="en-US" w:eastAsia="zh-CN"/>
              </w:rPr>
              <w:t>区</w:t>
            </w:r>
            <w:r>
              <w:rPr>
                <w:rFonts w:hint="default" w:ascii="Times New Roman" w:hAnsi="Times New Roman" w:cs="Times New Roman"/>
                <w:color w:val="auto"/>
                <w:szCs w:val="21"/>
              </w:rPr>
              <w:t>、装卸</w:t>
            </w:r>
            <w:r>
              <w:rPr>
                <w:rFonts w:hint="default" w:ascii="Times New Roman" w:hAnsi="Times New Roman" w:cs="Times New Roman"/>
                <w:color w:val="auto"/>
                <w:szCs w:val="21"/>
                <w:lang w:val="en-US" w:eastAsia="zh-CN"/>
              </w:rPr>
              <w:t>区、事故池</w:t>
            </w:r>
            <w:r>
              <w:rPr>
                <w:rFonts w:hint="default" w:ascii="Times New Roman" w:hAnsi="Times New Roman" w:cs="Times New Roman"/>
                <w:color w:val="auto"/>
                <w:szCs w:val="21"/>
              </w:rPr>
              <w:t>等</w:t>
            </w:r>
            <w:r>
              <w:rPr>
                <w:rFonts w:hint="default" w:ascii="Times New Roman" w:hAnsi="Times New Roman" w:cs="Times New Roman"/>
                <w:color w:val="auto"/>
                <w:szCs w:val="21"/>
                <w:lang w:val="zh-CN"/>
              </w:rPr>
              <w:t>可能泄漏污染物的地面进行</w:t>
            </w:r>
            <w:r>
              <w:rPr>
                <w:rFonts w:hint="default" w:ascii="Times New Roman" w:hAnsi="Times New Roman" w:cs="Times New Roman"/>
                <w:color w:val="auto"/>
                <w:szCs w:val="21"/>
                <w:lang w:val="en-US" w:eastAsia="zh-CN"/>
              </w:rPr>
              <w:t>重点</w:t>
            </w:r>
            <w:r>
              <w:rPr>
                <w:rFonts w:hint="default" w:ascii="Times New Roman" w:hAnsi="Times New Roman" w:cs="Times New Roman"/>
                <w:color w:val="auto"/>
                <w:szCs w:val="21"/>
                <w:lang w:val="zh-CN"/>
              </w:rPr>
              <w:t>防渗处理，并</w:t>
            </w:r>
            <w:r>
              <w:rPr>
                <w:rFonts w:hint="default" w:ascii="Times New Roman" w:hAnsi="Times New Roman" w:cs="Times New Roman"/>
                <w:color w:val="auto"/>
                <w:szCs w:val="21"/>
              </w:rPr>
              <w:t>在储油罐区四周建设</w:t>
            </w:r>
            <w:r>
              <w:rPr>
                <w:rFonts w:hint="eastAsia" w:cs="Times New Roman"/>
                <w:color w:val="auto"/>
                <w:szCs w:val="21"/>
                <w:highlight w:val="none"/>
                <w:lang w:val="en-US" w:eastAsia="zh-CN"/>
              </w:rPr>
              <w:t>80cm</w:t>
            </w:r>
            <w:r>
              <w:rPr>
                <w:rFonts w:hint="default" w:ascii="Times New Roman" w:hAnsi="Times New Roman" w:cs="Times New Roman"/>
                <w:color w:val="auto"/>
                <w:szCs w:val="21"/>
                <w:highlight w:val="none"/>
                <w:lang w:val="en-US" w:eastAsia="zh-CN"/>
              </w:rPr>
              <w:t>的</w:t>
            </w:r>
            <w:r>
              <w:rPr>
                <w:rFonts w:hint="default" w:ascii="Times New Roman" w:hAnsi="Times New Roman" w:cs="Times New Roman"/>
                <w:color w:val="auto"/>
                <w:szCs w:val="21"/>
                <w:highlight w:val="none"/>
              </w:rPr>
              <w:t>防溢流围堰</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扣除储油罐底部占的空间约</w:t>
            </w: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lang w:val="en-US" w:eastAsia="zh-CN"/>
              </w:rPr>
              <w:t>m</w:t>
            </w:r>
            <w:r>
              <w:rPr>
                <w:rFonts w:hint="eastAsia" w:cs="Times New Roman"/>
                <w:color w:val="auto"/>
                <w:szCs w:val="21"/>
                <w:highlight w:val="none"/>
                <w:lang w:val="en-US" w:eastAsia="zh-CN"/>
              </w:rPr>
              <w:t>³后有效</w:t>
            </w:r>
            <w:r>
              <w:rPr>
                <w:rFonts w:hint="default" w:ascii="Times New Roman" w:hAnsi="Times New Roman" w:cs="Times New Roman"/>
                <w:color w:val="auto"/>
                <w:szCs w:val="21"/>
                <w:highlight w:val="none"/>
                <w:lang w:val="en-US" w:eastAsia="zh-CN"/>
              </w:rPr>
              <w:t>容积约</w:t>
            </w:r>
            <w:r>
              <w:rPr>
                <w:rFonts w:hint="eastAsia" w:cs="Times New Roman"/>
                <w:color w:val="auto"/>
                <w:szCs w:val="21"/>
                <w:highlight w:val="none"/>
                <w:lang w:val="en-US" w:eastAsia="zh-CN"/>
              </w:rPr>
              <w:t>45</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装卸区四周建设5cm的围堰</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容积约</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6m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rPr>
              <w:t>，防止泄漏后外溢</w:t>
            </w:r>
            <w:r>
              <w:rPr>
                <w:rFonts w:hint="eastAsia" w:cs="Times New Roman"/>
                <w:color w:val="auto"/>
                <w:szCs w:val="21"/>
                <w:lang w:val="en-US" w:eastAsia="zh-CN"/>
              </w:rPr>
              <w:t>，</w:t>
            </w:r>
            <w:r>
              <w:rPr>
                <w:rFonts w:hint="default" w:ascii="Times New Roman" w:hAnsi="Times New Roman" w:cs="Times New Roman"/>
                <w:color w:val="auto"/>
                <w:szCs w:val="21"/>
                <w:lang w:val="zh-CN"/>
              </w:rPr>
              <w:t>可有效</w:t>
            </w:r>
            <w:r>
              <w:rPr>
                <w:rFonts w:hint="default" w:ascii="Times New Roman" w:hAnsi="Times New Roman" w:cs="Times New Roman"/>
                <w:color w:val="auto"/>
                <w:szCs w:val="21"/>
                <w:lang w:val="en-US" w:eastAsia="zh-CN"/>
              </w:rPr>
              <w:t>防止</w:t>
            </w:r>
            <w:r>
              <w:rPr>
                <w:rFonts w:hint="default" w:ascii="Times New Roman" w:hAnsi="Times New Roman" w:cs="Times New Roman"/>
                <w:color w:val="auto"/>
                <w:szCs w:val="21"/>
                <w:lang w:val="zh-CN"/>
              </w:rPr>
              <w:t>渗漏</w:t>
            </w:r>
            <w:r>
              <w:rPr>
                <w:rFonts w:hint="default" w:ascii="Times New Roman" w:hAnsi="Times New Roman" w:cs="Times New Roman"/>
                <w:color w:val="auto"/>
                <w:szCs w:val="21"/>
                <w:lang w:val="en-US" w:eastAsia="zh-CN"/>
              </w:rPr>
              <w:t>在</w:t>
            </w:r>
            <w:r>
              <w:rPr>
                <w:rFonts w:hint="default" w:ascii="Times New Roman" w:hAnsi="Times New Roman" w:cs="Times New Roman"/>
                <w:color w:val="auto"/>
                <w:szCs w:val="21"/>
                <w:lang w:val="zh-CN"/>
              </w:rPr>
              <w:t>地面的</w:t>
            </w:r>
            <w:r>
              <w:rPr>
                <w:rFonts w:hint="default" w:ascii="Times New Roman" w:hAnsi="Times New Roman" w:cs="Times New Roman"/>
                <w:color w:val="auto"/>
                <w:szCs w:val="21"/>
                <w:lang w:val="en-US" w:eastAsia="zh-CN"/>
              </w:rPr>
              <w:t>废矿物油</w:t>
            </w:r>
            <w:r>
              <w:rPr>
                <w:rFonts w:hint="default" w:ascii="Times New Roman" w:hAnsi="Times New Roman" w:cs="Times New Roman"/>
                <w:color w:val="auto"/>
                <w:szCs w:val="21"/>
                <w:lang w:val="zh-CN"/>
              </w:rPr>
              <w:t>渗入地下，污染土壤</w:t>
            </w:r>
            <w:r>
              <w:rPr>
                <w:rFonts w:hint="default" w:ascii="Times New Roman" w:hAnsi="Times New Roman" w:cs="Times New Roman"/>
                <w:color w:val="auto"/>
                <w:szCs w:val="21"/>
                <w:lang w:val="en-US" w:eastAsia="zh-CN"/>
              </w:rPr>
              <w:t>和地下水</w:t>
            </w:r>
            <w:r>
              <w:rPr>
                <w:rFonts w:hint="default" w:ascii="Times New Roman" w:hAnsi="Times New Roman" w:cs="Times New Roman"/>
                <w:color w:val="auto"/>
                <w:szCs w:val="21"/>
                <w:lang w:val="zh-CN"/>
              </w:rPr>
              <w:t>。</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③收集、运输采用封闭式的油罐车，可避免收集运输过程中废矿物油洒落出来。另外要求运输车辆的驾驶人员安全、平稳驾驶，减少沿途颠簸等情况出现，降低运输环节的环境风险。</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lang w:val="zh-CN"/>
              </w:rPr>
              <w:t>根据建设项目场地天然包气带防污性能、污染物控制难易程度和污染物特性，参照《环境影响评价技术导则 地下水环境》（HJ610-2016），将本项目防渗区分为重点防渗区、一般防渗区和简单防渗区。</w:t>
            </w:r>
            <w:r>
              <w:rPr>
                <w:rFonts w:hint="default" w:ascii="Times New Roman" w:hAnsi="Times New Roman" w:cs="Times New Roman"/>
                <w:color w:val="auto"/>
                <w:szCs w:val="21"/>
              </w:rPr>
              <w:t xml:space="preserve"> </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地下水污染防渗分区</w:t>
            </w:r>
          </w:p>
          <w:tbl>
            <w:tblPr>
              <w:tblStyle w:val="17"/>
              <w:tblW w:w="7957"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937"/>
              <w:gridCol w:w="1386"/>
              <w:gridCol w:w="3241"/>
              <w:gridCol w:w="239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35" w:hRule="atLeast"/>
                <w:jc w:val="center"/>
              </w:trPr>
              <w:tc>
                <w:tcPr>
                  <w:tcW w:w="937" w:type="dxa"/>
                  <w:tcBorders>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防渗分区</w:t>
                  </w:r>
                </w:p>
              </w:tc>
              <w:tc>
                <w:tcPr>
                  <w:tcW w:w="1386" w:type="dxa"/>
                  <w:tcBorders>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构筑物</w:t>
                  </w:r>
                </w:p>
              </w:tc>
              <w:tc>
                <w:tcPr>
                  <w:tcW w:w="3241" w:type="dxa"/>
                  <w:tcBorders>
                    <w:left w:val="single" w:color="auto" w:sz="4" w:space="0"/>
                    <w:bottom w:val="single" w:color="auto" w:sz="4" w:space="0"/>
                    <w:right w:val="single" w:color="000000" w:sz="6"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防渗技术要求</w:t>
                  </w:r>
                </w:p>
              </w:tc>
              <w:tc>
                <w:tcPr>
                  <w:tcW w:w="2393" w:type="dxa"/>
                  <w:tcBorders>
                    <w:left w:val="single" w:color="000000" w:sz="6" w:space="0"/>
                    <w:bottom w:val="single" w:color="auto" w:sz="4" w:space="0"/>
                  </w:tcBorders>
                  <w:noWrap w:val="0"/>
                  <w:vAlign w:val="center"/>
                </w:tcPr>
                <w:p>
                  <w:pPr>
                    <w:adjustRightInd w:val="0"/>
                    <w:snapToGrid w:val="0"/>
                    <w:spacing w:line="28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防渗措施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25" w:hRule="atLeast"/>
                <w:jc w:val="center"/>
              </w:trPr>
              <w:tc>
                <w:tcPr>
                  <w:tcW w:w="937" w:type="dxa"/>
                  <w:vMerge w:val="restart"/>
                  <w:tcBorders>
                    <w:top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w:t>
                  </w:r>
                </w:p>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防渗区</w:t>
                  </w:r>
                </w:p>
              </w:tc>
              <w:tc>
                <w:tcPr>
                  <w:tcW w:w="138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储油罐区</w:t>
                  </w:r>
                </w:p>
              </w:tc>
              <w:tc>
                <w:tcPr>
                  <w:tcW w:w="3241" w:type="dxa"/>
                  <w:vMerge w:val="restart"/>
                  <w:tcBorders>
                    <w:top w:val="single" w:color="auto" w:sz="4" w:space="0"/>
                    <w:left w:val="single" w:color="auto" w:sz="4" w:space="0"/>
                    <w:right w:val="single" w:color="000000" w:sz="6" w:space="0"/>
                  </w:tcBorders>
                  <w:noWrap w:val="0"/>
                  <w:vAlign w:val="center"/>
                </w:tcPr>
                <w:p>
                  <w:pPr>
                    <w:adjustRightInd w:val="0"/>
                    <w:snapToGrid w:val="0"/>
                    <w:spacing w:line="280" w:lineRule="exact"/>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按照</w:t>
                  </w:r>
                  <w:r>
                    <w:rPr>
                      <w:rFonts w:hint="default" w:ascii="Times New Roman" w:hAnsi="Times New Roman" w:cs="Times New Roman"/>
                      <w:color w:val="auto"/>
                      <w:sz w:val="18"/>
                      <w:szCs w:val="18"/>
                      <w:lang w:eastAsia="zh-CN"/>
                    </w:rPr>
                    <w:fldChar w:fldCharType="begin"/>
                  </w:r>
                  <w:r>
                    <w:rPr>
                      <w:rFonts w:hint="default" w:ascii="Times New Roman" w:hAnsi="Times New Roman" w:cs="Times New Roman"/>
                      <w:color w:val="auto"/>
                      <w:sz w:val="18"/>
                      <w:szCs w:val="18"/>
                      <w:lang w:eastAsia="zh-CN"/>
                    </w:rPr>
                    <w:instrText xml:space="preserve"> HYPERLINK "https://www.mee.gov.cn/ywgz/fgbz/bz/bzwb/gthw/wxfwjbffbz/202302/t20230224_1017500.shtml" </w:instrText>
                  </w:r>
                  <w:r>
                    <w:rPr>
                      <w:rFonts w:hint="default" w:ascii="Times New Roman" w:hAnsi="Times New Roman" w:cs="Times New Roman"/>
                      <w:color w:val="auto"/>
                      <w:sz w:val="18"/>
                      <w:szCs w:val="18"/>
                      <w:lang w:eastAsia="zh-CN"/>
                    </w:rPr>
                    <w:fldChar w:fldCharType="separate"/>
                  </w:r>
                  <w:r>
                    <w:rPr>
                      <w:rFonts w:hint="default" w:ascii="Times New Roman" w:hAnsi="Times New Roman" w:cs="Times New Roman"/>
                      <w:color w:val="auto"/>
                      <w:sz w:val="18"/>
                      <w:szCs w:val="18"/>
                      <w:lang w:eastAsia="zh-CN"/>
                    </w:rPr>
                    <w:t>《危险废物贮存污染控制标准》（GB18597-2023）</w:t>
                  </w:r>
                  <w:r>
                    <w:rPr>
                      <w:rFonts w:hint="default" w:ascii="Times New Roman" w:hAnsi="Times New Roman" w:cs="Times New Roman"/>
                      <w:color w:val="auto"/>
                      <w:sz w:val="18"/>
                      <w:szCs w:val="18"/>
                      <w:lang w:eastAsia="zh-CN"/>
                    </w:rPr>
                    <w:fldChar w:fldCharType="end"/>
                  </w:r>
                  <w:r>
                    <w:rPr>
                      <w:rFonts w:hint="default" w:ascii="Times New Roman" w:hAnsi="Times New Roman" w:cs="Times New Roman"/>
                      <w:color w:val="auto"/>
                      <w:sz w:val="18"/>
                      <w:szCs w:val="18"/>
                    </w:rPr>
                    <w:t>中相关要求，防渗层至少为1m厚粘土层（渗透系数≤10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cm/s），或2mm厚高密度聚乙烯，或至少2mm厚的其他人工材料，渗透系数≤10</w:t>
                  </w:r>
                  <w:r>
                    <w:rPr>
                      <w:rFonts w:hint="default" w:ascii="Times New Roman" w:hAnsi="Times New Roman" w:cs="Times New Roman"/>
                      <w:color w:val="auto"/>
                      <w:sz w:val="18"/>
                      <w:szCs w:val="18"/>
                      <w:vertAlign w:val="superscript"/>
                    </w:rPr>
                    <w:t>-10</w:t>
                  </w:r>
                  <w:r>
                    <w:rPr>
                      <w:rFonts w:hint="default" w:ascii="Times New Roman" w:hAnsi="Times New Roman" w:cs="Times New Roman"/>
                      <w:color w:val="auto"/>
                      <w:sz w:val="18"/>
                      <w:szCs w:val="18"/>
                    </w:rPr>
                    <w:t>cm/s。</w:t>
                  </w:r>
                </w:p>
              </w:tc>
              <w:tc>
                <w:tcPr>
                  <w:tcW w:w="2393" w:type="dxa"/>
                  <w:vMerge w:val="restart"/>
                  <w:tcBorders>
                    <w:top w:val="single" w:color="auto" w:sz="4" w:space="0"/>
                    <w:left w:val="single" w:color="000000" w:sz="6"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eastAsia" w:cs="Times New Roman"/>
                      <w:color w:val="auto"/>
                      <w:spacing w:val="-1"/>
                      <w:sz w:val="18"/>
                      <w:szCs w:val="18"/>
                      <w:lang w:val="en-US" w:eastAsia="zh-CN"/>
                    </w:rPr>
                    <w:t>20cm混凝土硬化+5mm防渗砂浆+2mm高密度聚乙烯地坪漆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9" w:hRule="atLeast"/>
                <w:jc w:val="center"/>
              </w:trPr>
              <w:tc>
                <w:tcPr>
                  <w:tcW w:w="937" w:type="dxa"/>
                  <w:vMerge w:val="continue"/>
                  <w:tcBorders>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装卸</w:t>
                  </w:r>
                  <w:r>
                    <w:rPr>
                      <w:rFonts w:hint="default" w:ascii="Times New Roman" w:hAnsi="Times New Roman" w:cs="Times New Roman"/>
                      <w:color w:val="auto"/>
                      <w:sz w:val="18"/>
                      <w:szCs w:val="18"/>
                      <w:lang w:val="en-US" w:eastAsia="zh-CN"/>
                    </w:rPr>
                    <w:t>区</w:t>
                  </w:r>
                </w:p>
              </w:tc>
              <w:tc>
                <w:tcPr>
                  <w:tcW w:w="3241" w:type="dxa"/>
                  <w:vMerge w:val="continue"/>
                  <w:tcBorders>
                    <w:left w:val="single" w:color="auto" w:sz="4" w:space="0"/>
                    <w:right w:val="single" w:color="000000" w:sz="6"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p>
              </w:tc>
              <w:tc>
                <w:tcPr>
                  <w:tcW w:w="2393" w:type="dxa"/>
                  <w:vMerge w:val="continue"/>
                  <w:tcBorders>
                    <w:left w:val="single" w:color="000000" w:sz="6"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44" w:hRule="atLeast"/>
                <w:jc w:val="center"/>
              </w:trPr>
              <w:tc>
                <w:tcPr>
                  <w:tcW w:w="937" w:type="dxa"/>
                  <w:vMerge w:val="continue"/>
                  <w:tcBorders>
                    <w:bottom w:val="single" w:color="000000" w:sz="6"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危废暂存间</w:t>
                  </w:r>
                </w:p>
              </w:tc>
              <w:tc>
                <w:tcPr>
                  <w:tcW w:w="3241" w:type="dxa"/>
                  <w:vMerge w:val="continue"/>
                  <w:tcBorders>
                    <w:left w:val="single" w:color="auto" w:sz="4" w:space="0"/>
                    <w:bottom w:val="single" w:color="000000" w:sz="6" w:space="0"/>
                    <w:right w:val="single" w:color="000000" w:sz="6"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p>
              </w:tc>
              <w:tc>
                <w:tcPr>
                  <w:tcW w:w="2393" w:type="dxa"/>
                  <w:vMerge w:val="continue"/>
                  <w:tcBorders>
                    <w:left w:val="single" w:color="000000" w:sz="6" w:space="0"/>
                    <w:bottom w:val="single" w:color="000000" w:sz="6"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3" w:hRule="atLeast"/>
                <w:jc w:val="center"/>
              </w:trPr>
              <w:tc>
                <w:tcPr>
                  <w:tcW w:w="937" w:type="dxa"/>
                  <w:vMerge w:val="continue"/>
                  <w:tcBorders>
                    <w:bottom w:val="single" w:color="000000" w:sz="6"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事故池</w:t>
                  </w:r>
                </w:p>
              </w:tc>
              <w:tc>
                <w:tcPr>
                  <w:tcW w:w="3241" w:type="dxa"/>
                  <w:vMerge w:val="continue"/>
                  <w:tcBorders>
                    <w:left w:val="single" w:color="auto" w:sz="4" w:space="0"/>
                    <w:bottom w:val="single" w:color="000000" w:sz="6" w:space="0"/>
                    <w:right w:val="single" w:color="000000" w:sz="6"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p>
              </w:tc>
              <w:tc>
                <w:tcPr>
                  <w:tcW w:w="2393" w:type="dxa"/>
                  <w:vMerge w:val="continue"/>
                  <w:tcBorders>
                    <w:left w:val="single" w:color="000000" w:sz="6" w:space="0"/>
                    <w:bottom w:val="single" w:color="000000" w:sz="6"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61" w:hRule="atLeast"/>
                <w:jc w:val="center"/>
              </w:trPr>
              <w:tc>
                <w:tcPr>
                  <w:tcW w:w="937" w:type="dxa"/>
                  <w:tcBorders>
                    <w:top w:val="single" w:color="000000" w:sz="6"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w:t>
                  </w:r>
                </w:p>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防渗区</w:t>
                  </w:r>
                </w:p>
              </w:tc>
              <w:tc>
                <w:tcPr>
                  <w:tcW w:w="138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停车</w:t>
                  </w:r>
                  <w:r>
                    <w:rPr>
                      <w:rFonts w:hint="default" w:ascii="Times New Roman" w:hAnsi="Times New Roman" w:cs="Times New Roman"/>
                      <w:color w:val="auto"/>
                      <w:sz w:val="18"/>
                      <w:szCs w:val="18"/>
                      <w:lang w:val="en-US" w:eastAsia="zh-CN"/>
                    </w:rPr>
                    <w:t>区、消防水池</w:t>
                  </w:r>
                </w:p>
              </w:tc>
              <w:tc>
                <w:tcPr>
                  <w:tcW w:w="3241" w:type="dxa"/>
                  <w:tcBorders>
                    <w:top w:val="single" w:color="000000" w:sz="6" w:space="0"/>
                    <w:left w:val="single" w:color="auto" w:sz="4" w:space="0"/>
                    <w:right w:val="single" w:color="000000" w:sz="6"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等效黏土防渗层Mb≥1.5m，K≤1×10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w:t>
                  </w:r>
                </w:p>
              </w:tc>
              <w:tc>
                <w:tcPr>
                  <w:tcW w:w="2393" w:type="dxa"/>
                  <w:tcBorders>
                    <w:top w:val="single" w:color="000000" w:sz="6" w:space="0"/>
                    <w:left w:val="single" w:color="000000" w:sz="6" w:space="0"/>
                    <w:bottom w:val="single" w:color="000000" w:sz="6" w:space="0"/>
                  </w:tcBorders>
                  <w:noWrap w:val="0"/>
                  <w:vAlign w:val="center"/>
                </w:tcPr>
                <w:p>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20cm混凝土硬化</w:t>
                  </w:r>
                </w:p>
              </w:tc>
            </w:tr>
          </w:tbl>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采取上述措施后，</w:t>
            </w:r>
            <w:r>
              <w:rPr>
                <w:rFonts w:hint="default" w:ascii="Times New Roman" w:hAnsi="Times New Roman" w:cs="Times New Roman"/>
                <w:color w:val="auto"/>
                <w:szCs w:val="21"/>
              </w:rPr>
              <w:t>可有效预防项目运行过程对地下水、土壤造成污染。</w:t>
            </w:r>
            <w:r>
              <w:rPr>
                <w:rFonts w:hint="default" w:ascii="Times New Roman" w:hAnsi="Times New Roman" w:cs="Times New Roman"/>
                <w:color w:val="auto"/>
                <w:szCs w:val="21"/>
                <w:lang w:val="zh-CN"/>
              </w:rPr>
              <w:t>其处理措施技术可行、经济合理。</w:t>
            </w:r>
          </w:p>
          <w:p>
            <w:pPr>
              <w:numPr>
                <w:ilvl w:val="0"/>
                <w:numId w:val="19"/>
              </w:numPr>
              <w:autoSpaceDE w:val="0"/>
              <w:autoSpaceDN w:val="0"/>
              <w:adjustRightInd w:val="0"/>
              <w:snapToGrid w:val="0"/>
              <w:spacing w:line="400" w:lineRule="exact"/>
              <w:ind w:right="-31" w:rightChars="-15"/>
              <w:rPr>
                <w:rFonts w:hint="default" w:ascii="Times New Roman" w:hAnsi="Times New Roman" w:eastAsia="黑体" w:cs="Times New Roman"/>
                <w:color w:val="0000FF"/>
                <w:kern w:val="0"/>
                <w:sz w:val="22"/>
                <w:szCs w:val="22"/>
              </w:rPr>
            </w:pPr>
            <w:r>
              <w:rPr>
                <w:rFonts w:hint="default" w:ascii="Times New Roman" w:hAnsi="Times New Roman" w:eastAsia="黑体" w:cs="Times New Roman"/>
                <w:color w:val="auto"/>
                <w:kern w:val="0"/>
                <w:sz w:val="22"/>
                <w:szCs w:val="22"/>
              </w:rPr>
              <w:t>生态</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val="en-US" w:eastAsia="zh-CN"/>
              </w:rPr>
              <w:t>不新增占地，不会对地表造成扰动，因此</w:t>
            </w:r>
            <w:r>
              <w:rPr>
                <w:rFonts w:hint="default" w:ascii="Times New Roman" w:hAnsi="Times New Roman" w:cs="Times New Roman"/>
                <w:color w:val="auto"/>
                <w:szCs w:val="21"/>
              </w:rPr>
              <w:t>对生态环境无影响。</w:t>
            </w:r>
          </w:p>
          <w:p>
            <w:pPr>
              <w:numPr>
                <w:ilvl w:val="0"/>
                <w:numId w:val="19"/>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环境风险</w:t>
            </w:r>
          </w:p>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（1）危险物质</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本项目涉及的化学物质为废矿物油，查阅《危险化学品目录》（2018版），废矿物油不属于危险化学品</w:t>
            </w:r>
            <w:r>
              <w:rPr>
                <w:rFonts w:hint="default" w:ascii="Times New Roman" w:hAnsi="Times New Roman" w:cs="Times New Roman"/>
                <w:color w:val="auto"/>
                <w:szCs w:val="21"/>
              </w:rPr>
              <w:t>。</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本项目风险物质一览表</w:t>
            </w:r>
          </w:p>
          <w:tbl>
            <w:tblPr>
              <w:tblStyle w:val="17"/>
              <w:tblW w:w="7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93"/>
              <w:gridCol w:w="1294"/>
              <w:gridCol w:w="1352"/>
              <w:gridCol w:w="1211"/>
              <w:gridCol w:w="1352"/>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8" w:hRule="atLeast"/>
                <w:jc w:val="center"/>
              </w:trPr>
              <w:tc>
                <w:tcPr>
                  <w:tcW w:w="1293"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类别</w:t>
                  </w:r>
                </w:p>
              </w:tc>
              <w:tc>
                <w:tcPr>
                  <w:tcW w:w="1294"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名称</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形态</w:t>
                  </w:r>
                </w:p>
              </w:tc>
              <w:tc>
                <w:tcPr>
                  <w:tcW w:w="1211"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储存方式</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运输方式</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最大储存量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8" w:hRule="atLeast"/>
                <w:jc w:val="center"/>
              </w:trPr>
              <w:tc>
                <w:tcPr>
                  <w:tcW w:w="1293"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收集储存罐</w:t>
                  </w:r>
                </w:p>
              </w:tc>
              <w:tc>
                <w:tcPr>
                  <w:tcW w:w="1294"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废矿物油</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液</w:t>
                  </w:r>
                </w:p>
              </w:tc>
              <w:tc>
                <w:tcPr>
                  <w:tcW w:w="1211"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罐装</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汽车</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35</w:t>
                  </w:r>
                  <w:r>
                    <w:rPr>
                      <w:rFonts w:hint="default" w:ascii="Times New Roman" w:hAnsi="Times New Roman" w:eastAsia="宋体" w:cs="Times New Roman"/>
                      <w:color w:val="auto"/>
                      <w:sz w:val="18"/>
                      <w:szCs w:val="18"/>
                    </w:rPr>
                    <w:t>t</w:t>
                  </w:r>
                </w:p>
              </w:tc>
            </w:tr>
          </w:tbl>
          <w:p>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firstLine="420" w:firstLineChars="200"/>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根据</w:t>
            </w:r>
            <w:r>
              <w:rPr>
                <w:rFonts w:hint="default" w:ascii="Times New Roman" w:hAnsi="Times New Roman" w:eastAsia="宋体" w:cs="Times New Roman"/>
                <w:color w:val="auto"/>
                <w:szCs w:val="21"/>
                <w:lang w:val="en-US" w:eastAsia="zh-CN"/>
              </w:rPr>
              <w:t>《危险化学品重大危险源辨识》（GB 18218-2018），</w:t>
            </w:r>
            <w:r>
              <w:rPr>
                <w:rFonts w:hint="default" w:ascii="Times New Roman" w:hAnsi="Times New Roman" w:cs="Times New Roman"/>
                <w:color w:val="auto"/>
                <w:szCs w:val="21"/>
                <w:lang w:val="en-US" w:eastAsia="zh-CN"/>
              </w:rPr>
              <w:t>本项目废矿物油的储存量不构成重大危险源。</w:t>
            </w:r>
          </w:p>
          <w:p>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firstLine="420" w:firstLineChars="200"/>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项目涉及的废矿物油理化性质及危险特性如下。</w:t>
            </w:r>
          </w:p>
          <w:p>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firstLine="420" w:firstLineChars="200"/>
              <w:textAlignment w:val="auto"/>
              <w:rPr>
                <w:rFonts w:hint="default" w:ascii="Times New Roman" w:hAnsi="Times New Roman" w:eastAsia="黑体" w:cs="Times New Roman"/>
                <w:color w:val="auto"/>
                <w:kern w:val="0"/>
                <w:sz w:val="20"/>
                <w:szCs w:val="20"/>
                <w:lang w:val="en-US" w:eastAsia="zh-CN"/>
              </w:rPr>
            </w:pPr>
            <w:r>
              <w:rPr>
                <w:rFonts w:hint="eastAsia" w:cs="Times New Roman"/>
                <w:color w:val="auto"/>
                <w:szCs w:val="21"/>
                <w:lang w:val="en-US" w:eastAsia="zh-CN"/>
              </w:rPr>
              <w:t xml:space="preserve"> </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废矿物油的理化性质及危险特性表</w:t>
            </w:r>
          </w:p>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color w:val="0000FF"/>
                <w:szCs w:val="21"/>
                <w:lang w:val="en-US" w:eastAsia="zh-CN"/>
              </w:rPr>
            </w:pPr>
            <w:r>
              <w:rPr>
                <w:rFonts w:hint="default" w:ascii="Times New Roman" w:hAnsi="Times New Roman" w:cs="Times New Roman"/>
                <w:color w:val="0000FF"/>
                <w:szCs w:val="21"/>
                <w:lang w:val="en-US" w:eastAsia="zh-CN"/>
              </w:rPr>
              <w:drawing>
                <wp:inline distT="0" distB="0" distL="114300" distR="114300">
                  <wp:extent cx="4862830" cy="6383655"/>
                  <wp:effectExtent l="0" t="0" r="13970" b="17145"/>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18"/>
                          <a:stretch>
                            <a:fillRect/>
                          </a:stretch>
                        </pic:blipFill>
                        <pic:spPr>
                          <a:xfrm>
                            <a:off x="0" y="0"/>
                            <a:ext cx="4862830" cy="63836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firstLine="420" w:firstLineChars="200"/>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对照</w:t>
            </w:r>
            <w:r>
              <w:rPr>
                <w:rFonts w:hint="default" w:ascii="Times New Roman" w:hAnsi="Times New Roman" w:cs="Times New Roman"/>
                <w:color w:val="auto"/>
                <w:szCs w:val="21"/>
              </w:rPr>
              <w:t>《建设项目环境风险评价技术导则》</w:t>
            </w:r>
            <w:r>
              <w:rPr>
                <w:rFonts w:hint="eastAsia" w:cs="Times New Roman"/>
                <w:color w:val="auto"/>
                <w:szCs w:val="21"/>
                <w:lang w:eastAsia="zh-CN"/>
              </w:rPr>
              <w:t>（</w:t>
            </w:r>
            <w:r>
              <w:rPr>
                <w:rFonts w:hint="default" w:ascii="Times New Roman" w:hAnsi="Times New Roman" w:cs="Times New Roman"/>
                <w:color w:val="auto"/>
                <w:szCs w:val="21"/>
              </w:rPr>
              <w:t>HJ169-2018）附录B</w:t>
            </w:r>
            <w:r>
              <w:rPr>
                <w:rFonts w:hint="default" w:ascii="Times New Roman" w:hAnsi="Times New Roman" w:eastAsia="宋体" w:cs="Times New Roman"/>
                <w:color w:val="auto"/>
                <w:szCs w:val="21"/>
                <w:lang w:eastAsia="zh-CN"/>
              </w:rPr>
              <w:t>，</w:t>
            </w:r>
            <w:r>
              <w:rPr>
                <w:rFonts w:hint="default" w:ascii="Times New Roman" w:hAnsi="Times New Roman" w:cs="Times New Roman"/>
                <w:color w:val="auto"/>
                <w:szCs w:val="21"/>
                <w:lang w:val="en-US" w:eastAsia="zh-CN"/>
              </w:rPr>
              <w:t>本项目运营期涉及的</w:t>
            </w:r>
            <w:r>
              <w:rPr>
                <w:rFonts w:hint="default" w:ascii="Times New Roman" w:hAnsi="Times New Roman" w:eastAsia="宋体" w:cs="Times New Roman"/>
                <w:color w:val="auto"/>
                <w:szCs w:val="21"/>
                <w:lang w:val="en-US" w:eastAsia="zh-CN"/>
              </w:rPr>
              <w:t>环境</w:t>
            </w:r>
            <w:r>
              <w:rPr>
                <w:rFonts w:hint="default" w:ascii="Times New Roman" w:hAnsi="Times New Roman" w:cs="Times New Roman"/>
                <w:color w:val="auto"/>
                <w:szCs w:val="21"/>
              </w:rPr>
              <w:t>风险物质</w:t>
            </w:r>
            <w:r>
              <w:rPr>
                <w:rFonts w:hint="default" w:ascii="Times New Roman" w:hAnsi="Times New Roman" w:cs="Times New Roman"/>
                <w:color w:val="auto"/>
                <w:szCs w:val="21"/>
                <w:lang w:val="en-US" w:eastAsia="zh-CN"/>
              </w:rPr>
              <w:t>为</w:t>
            </w:r>
            <w:r>
              <w:rPr>
                <w:rFonts w:hint="default" w:ascii="Times New Roman" w:hAnsi="Times New Roman" w:eastAsia="宋体" w:cs="Times New Roman"/>
                <w:color w:val="auto"/>
                <w:szCs w:val="21"/>
                <w:lang w:eastAsia="zh-CN"/>
              </w:rPr>
              <w:t>废矿物油。</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危险物质名称及临界量</w:t>
            </w:r>
          </w:p>
          <w:tbl>
            <w:tblPr>
              <w:tblStyle w:val="17"/>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243"/>
              <w:gridCol w:w="1083"/>
              <w:gridCol w:w="1097"/>
              <w:gridCol w:w="1022"/>
              <w:gridCol w:w="1130"/>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24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物质名称</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临界量（t）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本项目（t）</w:t>
                  </w:r>
                </w:p>
              </w:tc>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Q值</w:t>
                  </w:r>
                </w:p>
              </w:tc>
              <w:tc>
                <w:tcPr>
                  <w:tcW w:w="113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储存位置</w:t>
                  </w:r>
                </w:p>
              </w:tc>
              <w:tc>
                <w:tcPr>
                  <w:tcW w:w="1896" w:type="dxa"/>
                  <w:noWrap w:val="0"/>
                  <w:vAlign w:val="center"/>
                </w:tcPr>
                <w:p>
                  <w:pPr>
                    <w:pStyle w:val="14"/>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adjustRightInd/>
                    <w:snapToGrid/>
                    <w:spacing w:line="280" w:lineRule="exact"/>
                    <w:textAlignment w:val="auto"/>
                    <w:rPr>
                      <w:rFonts w:hint="default" w:ascii="Times New Roman" w:hAnsi="Times New Roman" w:cs="Times New Roman"/>
                      <w:b/>
                      <w:bCs/>
                      <w:color w:val="auto"/>
                    </w:rPr>
                  </w:pPr>
                  <w:r>
                    <w:rPr>
                      <w:rFonts w:hint="default" w:ascii="Times New Roman" w:hAnsi="Times New Roman" w:cs="Times New Roman"/>
                      <w:b/>
                      <w:bCs/>
                      <w:color w:val="auto"/>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24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废矿物油</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r>
                    <w:rPr>
                      <w:rFonts w:hint="default" w:ascii="Times New Roman" w:hAnsi="Times New Roman" w:eastAsia="宋体" w:cs="Times New Roman"/>
                      <w:color w:val="auto"/>
                      <w:sz w:val="18"/>
                      <w:szCs w:val="18"/>
                    </w:rPr>
                    <w:t>5</w:t>
                  </w:r>
                  <w:r>
                    <w:rPr>
                      <w:rFonts w:hint="default" w:ascii="Times New Roman" w:hAnsi="Times New Roman" w:cs="Times New Roman"/>
                      <w:color w:val="auto"/>
                      <w:sz w:val="18"/>
                      <w:szCs w:val="18"/>
                      <w:lang w:val="en-US" w:eastAsia="zh-CN"/>
                    </w:rPr>
                    <w:t>0</w:t>
                  </w:r>
                  <w:r>
                    <w:rPr>
                      <w:rFonts w:hint="default" w:ascii="Times New Roman" w:hAnsi="Times New Roman" w:eastAsia="宋体" w:cs="Times New Roman"/>
                      <w:color w:val="auto"/>
                      <w:sz w:val="18"/>
                      <w:szCs w:val="18"/>
                    </w:rPr>
                    <w:t>0</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35</w:t>
                  </w:r>
                </w:p>
              </w:tc>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w:t>
                  </w: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14</w:t>
                  </w:r>
                </w:p>
              </w:tc>
              <w:tc>
                <w:tcPr>
                  <w:tcW w:w="113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储油罐区</w:t>
                  </w:r>
                </w:p>
              </w:tc>
              <w:tc>
                <w:tcPr>
                  <w:tcW w:w="189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否</w:t>
                  </w:r>
                </w:p>
              </w:tc>
            </w:tr>
          </w:tbl>
          <w:p>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val="en-US" w:eastAsia="zh-CN"/>
              </w:rPr>
              <w:t>涉及的风险物质</w:t>
            </w:r>
            <w:r>
              <w:rPr>
                <w:rFonts w:hint="default" w:ascii="Times New Roman" w:hAnsi="Times New Roman" w:cs="Times New Roman"/>
                <w:color w:val="auto"/>
                <w:szCs w:val="21"/>
              </w:rPr>
              <w:t>贮存场所的最大量均远小于临界量，</w:t>
            </w:r>
            <w:r>
              <w:rPr>
                <w:rFonts w:hint="default" w:ascii="Times New Roman" w:hAnsi="Times New Roman" w:cs="Times New Roman"/>
                <w:color w:val="auto"/>
                <w:szCs w:val="21"/>
                <w:lang w:eastAsia="zh-CN"/>
              </w:rPr>
              <w:t>根据《建设项目环境风险评价技术导则》（HJ 169-2018）附录C，当Q&lt;1时，项目风险潜势为I。</w:t>
            </w:r>
            <w:r>
              <w:rPr>
                <w:rFonts w:hint="default" w:ascii="Times New Roman" w:hAnsi="Times New Roman" w:cs="Times New Roman"/>
                <w:color w:val="auto"/>
                <w:szCs w:val="21"/>
              </w:rPr>
              <w:t>因此以上危险物质不构成重大危险源。</w:t>
            </w:r>
          </w:p>
          <w:p>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firstLine="422" w:firstLineChars="200"/>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（2）风险源分布情况</w:t>
            </w: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本项目风险物质主要分布在</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暂存间，最大储存量为</w:t>
            </w:r>
            <w:r>
              <w:rPr>
                <w:rFonts w:hint="eastAsia" w:cs="Times New Roman"/>
                <w:color w:val="auto"/>
                <w:szCs w:val="21"/>
                <w:lang w:val="en-US" w:eastAsia="zh-CN"/>
              </w:rPr>
              <w:t>35</w:t>
            </w:r>
            <w:r>
              <w:rPr>
                <w:rFonts w:hint="default" w:ascii="Times New Roman" w:hAnsi="Times New Roman" w:cs="Times New Roman"/>
                <w:color w:val="auto"/>
                <w:szCs w:val="21"/>
              </w:rPr>
              <w:t>t，机油的临界量为2500t，不构成重大危险源。</w:t>
            </w:r>
          </w:p>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（3）可能影响途径</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风险可能影响途径包括泄漏以及火灾、爆炸等引发的伴生/次生污染物排放。</w:t>
            </w:r>
          </w:p>
          <w:p>
            <w:p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（4）环境风险防范措施</w:t>
            </w:r>
          </w:p>
          <w:p>
            <w:pPr>
              <w:adjustRightInd w:val="0"/>
              <w:snapToGrid w:val="0"/>
              <w:spacing w:line="400" w:lineRule="exact"/>
              <w:ind w:left="-53" w:leftChars="-25" w:right="-53" w:rightChars="-25" w:firstLine="420" w:firstLineChars="200"/>
              <w:jc w:val="left"/>
              <w:rPr>
                <w:rFonts w:hint="default" w:ascii="Times New Roman" w:hAnsi="Times New Roman" w:eastAsia="黑体" w:cs="Times New Roman"/>
                <w:color w:val="auto"/>
                <w:szCs w:val="21"/>
                <w:lang w:val="zh-CN"/>
              </w:rPr>
            </w:pPr>
            <w:r>
              <w:rPr>
                <w:rFonts w:hint="default" w:ascii="Times New Roman" w:hAnsi="Times New Roman" w:eastAsia="黑体" w:cs="Times New Roman"/>
                <w:color w:val="auto"/>
                <w:szCs w:val="21"/>
                <w:lang w:val="zh-CN"/>
              </w:rPr>
              <w:t>泄漏防范措施：</w:t>
            </w:r>
          </w:p>
          <w:p>
            <w:pPr>
              <w:numPr>
                <w:ilvl w:val="0"/>
                <w:numId w:val="20"/>
              </w:numPr>
              <w:adjustRightInd w:val="0"/>
              <w:snapToGrid w:val="0"/>
              <w:spacing w:line="400" w:lineRule="exact"/>
              <w:ind w:left="0" w:leftChars="0" w:right="-53" w:rightChars="-25" w:firstLine="420" w:firstLineChars="200"/>
              <w:jc w:val="left"/>
              <w:rPr>
                <w:rFonts w:hint="eastAsia" w:cs="Times New Roman"/>
                <w:color w:val="auto"/>
                <w:szCs w:val="21"/>
                <w:lang w:val="en-US" w:eastAsia="zh-CN"/>
              </w:rPr>
            </w:pPr>
            <w:r>
              <w:rPr>
                <w:rFonts w:hint="default" w:ascii="Times New Roman" w:hAnsi="Times New Roman" w:cs="Times New Roman"/>
                <w:color w:val="auto"/>
                <w:szCs w:val="21"/>
                <w:lang w:val="zh-CN"/>
              </w:rPr>
              <w:t>废矿物油</w:t>
            </w:r>
            <w:r>
              <w:rPr>
                <w:rFonts w:hint="default" w:ascii="Times New Roman" w:hAnsi="Times New Roman" w:cs="Times New Roman"/>
                <w:color w:val="auto"/>
                <w:szCs w:val="21"/>
              </w:rPr>
              <w:t>采用卧式</w:t>
            </w:r>
            <w:r>
              <w:rPr>
                <w:rFonts w:hint="default" w:ascii="Times New Roman" w:hAnsi="Times New Roman" w:cs="Times New Roman"/>
                <w:color w:val="auto"/>
                <w:szCs w:val="21"/>
                <w:lang w:val="en-US" w:eastAsia="zh-CN"/>
              </w:rPr>
              <w:t>双层储油</w:t>
            </w:r>
            <w:r>
              <w:rPr>
                <w:rFonts w:hint="default" w:ascii="Times New Roman" w:hAnsi="Times New Roman" w:cs="Times New Roman"/>
                <w:color w:val="auto"/>
                <w:szCs w:val="21"/>
                <w:lang w:val="zh-CN"/>
              </w:rPr>
              <w:t>罐暂存，</w:t>
            </w:r>
            <w:r>
              <w:rPr>
                <w:rFonts w:hint="default" w:ascii="Times New Roman" w:hAnsi="Times New Roman" w:cs="Times New Roman"/>
                <w:color w:val="auto"/>
                <w:szCs w:val="21"/>
              </w:rPr>
              <w:t>储存间、装卸</w:t>
            </w:r>
            <w:r>
              <w:rPr>
                <w:rFonts w:hint="default" w:ascii="Times New Roman" w:hAnsi="Times New Roman" w:cs="Times New Roman"/>
                <w:color w:val="auto"/>
                <w:szCs w:val="21"/>
                <w:lang w:val="en-US" w:eastAsia="zh-CN"/>
              </w:rPr>
              <w:t>区</w:t>
            </w:r>
            <w:r>
              <w:rPr>
                <w:rFonts w:hint="default" w:ascii="Times New Roman" w:hAnsi="Times New Roman" w:cs="Times New Roman"/>
                <w:color w:val="auto"/>
                <w:szCs w:val="21"/>
              </w:rPr>
              <w:t>设置在密闭的房间内</w:t>
            </w:r>
            <w:r>
              <w:rPr>
                <w:rFonts w:hint="default" w:ascii="Times New Roman" w:hAnsi="Times New Roman" w:cs="Times New Roman"/>
                <w:color w:val="auto"/>
                <w:szCs w:val="21"/>
                <w:lang w:val="zh-CN"/>
              </w:rPr>
              <w:t>。</w:t>
            </w:r>
            <w:r>
              <w:rPr>
                <w:rFonts w:hint="default" w:ascii="Times New Roman" w:hAnsi="Times New Roman" w:cs="Times New Roman"/>
                <w:color w:val="auto"/>
                <w:szCs w:val="21"/>
              </w:rPr>
              <w:t>罐区四周</w:t>
            </w:r>
            <w:r>
              <w:rPr>
                <w:rFonts w:hint="default" w:ascii="Times New Roman" w:hAnsi="Times New Roman" w:cs="Times New Roman"/>
                <w:color w:val="auto"/>
                <w:szCs w:val="21"/>
                <w:lang w:val="zh-CN"/>
              </w:rPr>
              <w:t>建设围</w:t>
            </w:r>
            <w:r>
              <w:rPr>
                <w:rFonts w:hint="default" w:ascii="Times New Roman" w:hAnsi="Times New Roman" w:cs="Times New Roman"/>
                <w:color w:val="auto"/>
                <w:szCs w:val="21"/>
                <w:highlight w:val="none"/>
                <w:lang w:val="zh-CN"/>
              </w:rPr>
              <w:t>堰（</w:t>
            </w:r>
            <w:r>
              <w:rPr>
                <w:rFonts w:hint="eastAsia" w:cs="Times New Roman"/>
                <w:color w:val="auto"/>
                <w:szCs w:val="21"/>
                <w:highlight w:val="none"/>
                <w:lang w:val="en-US" w:eastAsia="zh-CN"/>
              </w:rPr>
              <w:t>80cm</w:t>
            </w:r>
            <w:r>
              <w:rPr>
                <w:rFonts w:hint="default" w:ascii="Times New Roman" w:hAnsi="Times New Roman" w:cs="Times New Roman"/>
                <w:color w:val="auto"/>
                <w:szCs w:val="21"/>
                <w:highlight w:val="none"/>
                <w:lang w:val="en-US" w:eastAsia="zh-CN"/>
              </w:rPr>
              <w:t>高</w:t>
            </w:r>
            <w:r>
              <w:rPr>
                <w:rFonts w:hint="default" w:ascii="Times New Roman" w:hAnsi="Times New Roman" w:cs="Times New Roman"/>
                <w:color w:val="auto"/>
                <w:szCs w:val="21"/>
                <w:highlight w:val="none"/>
                <w:lang w:val="zh-CN"/>
              </w:rPr>
              <w:t>），</w:t>
            </w:r>
            <w:r>
              <w:rPr>
                <w:rFonts w:hint="default" w:ascii="Times New Roman" w:hAnsi="Times New Roman" w:cs="Times New Roman"/>
                <w:color w:val="auto"/>
                <w:szCs w:val="21"/>
                <w:highlight w:val="none"/>
                <w:lang w:val="zh-CN" w:eastAsia="zh-CN"/>
              </w:rPr>
              <w:t>扣除储油罐底部占的空间</w:t>
            </w:r>
            <w:r>
              <w:rPr>
                <w:rFonts w:hint="default" w:ascii="Times New Roman" w:hAnsi="Times New Roman" w:cs="Times New Roman"/>
                <w:color w:val="auto"/>
                <w:szCs w:val="21"/>
                <w:highlight w:val="none"/>
                <w:lang w:val="en-US" w:eastAsia="zh-CN"/>
              </w:rPr>
              <w:t>约</w:t>
            </w:r>
            <w:r>
              <w:rPr>
                <w:rFonts w:hint="eastAsia" w:cs="Times New Roman"/>
                <w:color w:val="auto"/>
                <w:szCs w:val="21"/>
                <w:highlight w:val="none"/>
                <w:lang w:val="en-US" w:eastAsia="zh-CN"/>
              </w:rPr>
              <w:t>6.0</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zh-CN" w:eastAsia="zh-CN"/>
              </w:rPr>
              <w:t>，</w:t>
            </w:r>
            <w:r>
              <w:rPr>
                <w:rFonts w:hint="default" w:ascii="Times New Roman" w:hAnsi="Times New Roman" w:cs="Times New Roman"/>
                <w:color w:val="auto"/>
                <w:szCs w:val="21"/>
                <w:highlight w:val="none"/>
                <w:lang w:val="zh-CN"/>
              </w:rPr>
              <w:t>围堰形成的有效容积</w:t>
            </w:r>
            <w:r>
              <w:rPr>
                <w:rFonts w:hint="default" w:ascii="Times New Roman" w:hAnsi="Times New Roman" w:cs="Times New Roman"/>
                <w:color w:val="auto"/>
                <w:szCs w:val="21"/>
                <w:highlight w:val="none"/>
                <w:lang w:val="en-US" w:eastAsia="zh-CN"/>
              </w:rPr>
              <w:t>约</w:t>
            </w:r>
            <w:r>
              <w:rPr>
                <w:rFonts w:hint="eastAsia" w:cs="Times New Roman"/>
                <w:color w:val="auto"/>
                <w:szCs w:val="21"/>
                <w:highlight w:val="none"/>
                <w:lang w:val="en-US" w:eastAsia="zh-CN"/>
              </w:rPr>
              <w:t>45</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zh-CN"/>
              </w:rPr>
              <w:t>，大于</w:t>
            </w:r>
            <w:r>
              <w:rPr>
                <w:rFonts w:hint="default" w:ascii="Times New Roman" w:hAnsi="Times New Roman" w:cs="Times New Roman"/>
                <w:color w:val="auto"/>
                <w:szCs w:val="21"/>
                <w:highlight w:val="none"/>
                <w:lang w:val="en-US" w:eastAsia="zh-CN"/>
              </w:rPr>
              <w:t>储</w:t>
            </w:r>
            <w:r>
              <w:rPr>
                <w:rFonts w:hint="default" w:ascii="Times New Roman" w:hAnsi="Times New Roman" w:cs="Times New Roman"/>
                <w:color w:val="auto"/>
                <w:szCs w:val="21"/>
                <w:highlight w:val="none"/>
              </w:rPr>
              <w:t>罐</w:t>
            </w:r>
            <w:r>
              <w:rPr>
                <w:rFonts w:hint="default" w:ascii="Times New Roman" w:hAnsi="Times New Roman" w:cs="Times New Roman"/>
                <w:color w:val="auto"/>
                <w:szCs w:val="21"/>
                <w:highlight w:val="none"/>
                <w:lang w:val="zh-CN"/>
              </w:rPr>
              <w:t>最大储存量（</w:t>
            </w:r>
            <w:r>
              <w:rPr>
                <w:rFonts w:hint="default" w:ascii="Times New Roman" w:hAnsi="Times New Roman" w:cs="Times New Roman"/>
                <w:color w:val="auto"/>
                <w:szCs w:val="21"/>
                <w:highlight w:val="none"/>
                <w:lang w:val="en-US" w:eastAsia="zh-CN"/>
              </w:rPr>
              <w:t>最大储存80%，约</w:t>
            </w:r>
            <w:r>
              <w:rPr>
                <w:rFonts w:hint="eastAsia" w:cs="Times New Roman"/>
                <w:color w:val="auto"/>
                <w:szCs w:val="21"/>
                <w:highlight w:val="none"/>
                <w:lang w:val="en-US" w:eastAsia="zh-CN"/>
              </w:rPr>
              <w:t>4</w:t>
            </w:r>
            <w:r>
              <w:rPr>
                <w:rFonts w:hint="default" w:ascii="Times New Roman" w:hAnsi="Times New Roman" w:cs="Times New Roman"/>
                <w:color w:val="auto"/>
                <w:szCs w:val="21"/>
                <w:highlight w:val="none"/>
                <w:lang w:val="en-US" w:eastAsia="zh-CN"/>
              </w:rPr>
              <w:t>0m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zh-CN"/>
              </w:rPr>
              <w:t>）</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lang w:val="zh-CN"/>
              </w:rPr>
              <w:t>可将泄漏的油液截留在围堰内；</w:t>
            </w:r>
            <w:r>
              <w:rPr>
                <w:rFonts w:hint="default" w:ascii="Times New Roman" w:hAnsi="Times New Roman" w:cs="Times New Roman"/>
                <w:color w:val="auto"/>
                <w:szCs w:val="21"/>
              </w:rPr>
              <w:t>同时</w:t>
            </w:r>
            <w:r>
              <w:rPr>
                <w:rFonts w:hint="default" w:ascii="Times New Roman" w:hAnsi="Times New Roman" w:cs="Times New Roman"/>
                <w:color w:val="auto"/>
                <w:szCs w:val="21"/>
                <w:lang w:val="en-US" w:eastAsia="zh-CN"/>
              </w:rPr>
              <w:t>利用储油</w:t>
            </w:r>
            <w:r>
              <w:rPr>
                <w:rFonts w:hint="eastAsia" w:cs="Times New Roman"/>
                <w:color w:val="auto"/>
                <w:szCs w:val="21"/>
                <w:lang w:val="en-US" w:eastAsia="zh-CN"/>
              </w:rPr>
              <w:t>罐区西南</w:t>
            </w:r>
            <w:r>
              <w:rPr>
                <w:rFonts w:hint="default" w:ascii="Times New Roman" w:hAnsi="Times New Roman" w:cs="Times New Roman"/>
                <w:color w:val="auto"/>
                <w:szCs w:val="21"/>
                <w:lang w:val="en-US" w:eastAsia="zh-CN"/>
              </w:rPr>
              <w:t>面的水池</w:t>
            </w:r>
            <w:r>
              <w:rPr>
                <w:rFonts w:hint="eastAsia" w:cs="Times New Roman"/>
                <w:color w:val="auto"/>
                <w:szCs w:val="21"/>
                <w:lang w:val="en-US" w:eastAsia="zh-CN"/>
              </w:rPr>
              <w:t>（2个，总容积52.8m³）</w:t>
            </w:r>
            <w:r>
              <w:rPr>
                <w:rFonts w:hint="default" w:ascii="Times New Roman" w:hAnsi="Times New Roman" w:cs="Times New Roman"/>
                <w:color w:val="auto"/>
                <w:szCs w:val="21"/>
                <w:lang w:val="en-US" w:eastAsia="zh-CN"/>
              </w:rPr>
              <w:t>改造为消防废水收集用</w:t>
            </w:r>
            <w:r>
              <w:rPr>
                <w:rFonts w:hint="default" w:ascii="Times New Roman" w:hAnsi="Times New Roman" w:cs="Times New Roman"/>
                <w:color w:val="auto"/>
                <w:szCs w:val="21"/>
              </w:rPr>
              <w:t>事故池</w:t>
            </w:r>
            <w:r>
              <w:rPr>
                <w:rFonts w:hint="eastAsia" w:cs="Times New Roman"/>
                <w:color w:val="auto"/>
                <w:szCs w:val="21"/>
                <w:lang w:eastAsia="zh-CN"/>
              </w:rPr>
              <w:t>。</w:t>
            </w:r>
            <w:r>
              <w:rPr>
                <w:rFonts w:hint="eastAsia" w:cs="Times New Roman"/>
                <w:color w:val="auto"/>
                <w:szCs w:val="21"/>
                <w:lang w:val="en-US" w:eastAsia="zh-CN"/>
              </w:rPr>
              <w:t>参考《建设项目环境风险评价技术导则》（HJ169-2018）、《化工建设项目环境保护设计规范》（GB50483-2019）、《石化企业水体环境风险防控技术要求》（Q/SH 0729-2018）、《事故状态下水体污染的预防与控制技术要求》（Q/SY1190-2013）等规范，项目事故应急池应综合考虑任意一个环境风险单元（储罐区）的物料贮存量、贮罐区发生火灾爆炸及泄漏时的最大消防用水量、储罐罐区围堰净空容量等因素，在最不利的情况下，能够收集所有事故状态情况下的废水，且有一定的裕量，确保事故状态下废水能够全部收集。</w:t>
            </w:r>
          </w:p>
          <w:p>
            <w:pPr>
              <w:numPr>
                <w:ilvl w:val="0"/>
                <w:numId w:val="20"/>
              </w:numPr>
              <w:adjustRightInd w:val="0"/>
              <w:snapToGrid w:val="0"/>
              <w:spacing w:line="400" w:lineRule="exact"/>
              <w:ind w:left="0" w:leftChars="0" w:right="-53" w:rightChars="-25" w:firstLine="420" w:firstLineChars="200"/>
              <w:jc w:val="left"/>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卸油</w:t>
            </w:r>
            <w:r>
              <w:rPr>
                <w:rFonts w:hint="default" w:ascii="Times New Roman" w:hAnsi="Times New Roman" w:cs="Times New Roman"/>
                <w:color w:val="auto"/>
                <w:szCs w:val="21"/>
                <w:lang w:val="en-US" w:eastAsia="zh-CN"/>
              </w:rPr>
              <w:t>区</w:t>
            </w:r>
            <w:r>
              <w:rPr>
                <w:rFonts w:hint="default" w:ascii="Times New Roman" w:hAnsi="Times New Roman" w:cs="Times New Roman"/>
                <w:color w:val="auto"/>
                <w:szCs w:val="21"/>
              </w:rPr>
              <w:t>四周设防溢流围堰</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5cm高</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，同时，卸油区</w:t>
            </w:r>
            <w:r>
              <w:rPr>
                <w:rFonts w:hint="default" w:ascii="Times New Roman" w:hAnsi="Times New Roman" w:cs="Times New Roman"/>
                <w:color w:val="auto"/>
                <w:szCs w:val="21"/>
              </w:rPr>
              <w:t>配置移动式接油托盘</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或接油桶等其他容器</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储油区、卸油区、事故池及围堰均按重点防渗要求建设。</w:t>
            </w:r>
          </w:p>
          <w:p>
            <w:pPr>
              <w:numPr>
                <w:ilvl w:val="0"/>
                <w:numId w:val="20"/>
              </w:numPr>
              <w:adjustRightInd w:val="0"/>
              <w:snapToGrid w:val="0"/>
              <w:spacing w:line="400" w:lineRule="exact"/>
              <w:ind w:left="0" w:leftChars="0"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设置专人看管，厂区设置视频监控系统，防止危废流失进入外环境。暂存间设置警示标志，无关人员不得入内，建立危废台账，加强危险废物管理。严格控制厂区内废油液等危险废物的储存量，达到一定量时立即通知资质单位转移处置。</w:t>
            </w:r>
          </w:p>
          <w:p>
            <w:pPr>
              <w:numPr>
                <w:ilvl w:val="0"/>
                <w:numId w:val="20"/>
              </w:numPr>
              <w:adjustRightInd w:val="0"/>
              <w:snapToGrid w:val="0"/>
              <w:spacing w:line="400" w:lineRule="exact"/>
              <w:ind w:left="0" w:leftChars="0"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储存间</w:t>
            </w:r>
            <w:r>
              <w:rPr>
                <w:rFonts w:hint="default" w:ascii="Times New Roman" w:hAnsi="Times New Roman" w:cs="Times New Roman"/>
                <w:color w:val="auto"/>
                <w:szCs w:val="21"/>
                <w:lang w:val="zh-CN"/>
              </w:rPr>
              <w:t>地面及墙裙均防渗处理，</w:t>
            </w:r>
            <w:r>
              <w:rPr>
                <w:rFonts w:hint="default" w:ascii="Times New Roman" w:hAnsi="Times New Roman" w:cs="Times New Roman"/>
                <w:color w:val="auto"/>
                <w:szCs w:val="21"/>
              </w:rPr>
              <w:t>储存</w:t>
            </w:r>
            <w:r>
              <w:rPr>
                <w:rFonts w:hint="default" w:ascii="Times New Roman" w:hAnsi="Times New Roman" w:cs="Times New Roman"/>
                <w:color w:val="auto"/>
                <w:szCs w:val="21"/>
                <w:lang w:val="zh-CN"/>
              </w:rPr>
              <w:t>间、</w:t>
            </w:r>
            <w:r>
              <w:rPr>
                <w:rFonts w:hint="default" w:ascii="Times New Roman" w:hAnsi="Times New Roman" w:cs="Times New Roman"/>
                <w:color w:val="auto"/>
                <w:szCs w:val="21"/>
              </w:rPr>
              <w:t>装卸</w:t>
            </w:r>
            <w:r>
              <w:rPr>
                <w:rFonts w:hint="default" w:ascii="Times New Roman" w:hAnsi="Times New Roman" w:cs="Times New Roman"/>
                <w:color w:val="auto"/>
                <w:szCs w:val="21"/>
                <w:lang w:eastAsia="zh-CN"/>
              </w:rPr>
              <w:t>区</w:t>
            </w:r>
            <w:r>
              <w:rPr>
                <w:rFonts w:hint="default" w:ascii="Times New Roman" w:hAnsi="Times New Roman" w:cs="Times New Roman"/>
                <w:color w:val="auto"/>
                <w:szCs w:val="21"/>
                <w:lang w:val="zh-CN"/>
              </w:rPr>
              <w:t>按</w:t>
            </w:r>
            <w:r>
              <w:rPr>
                <w:rFonts w:hint="default" w:ascii="Times New Roman" w:hAnsi="Times New Roman" w:cs="Times New Roman"/>
                <w:color w:val="auto"/>
                <w:szCs w:val="21"/>
                <w:lang w:val="zh-CN" w:eastAsia="zh-CN"/>
              </w:rPr>
              <w:fldChar w:fldCharType="begin"/>
            </w:r>
            <w:r>
              <w:rPr>
                <w:rFonts w:hint="default" w:ascii="Times New Roman" w:hAnsi="Times New Roman" w:cs="Times New Roman"/>
                <w:color w:val="auto"/>
                <w:szCs w:val="21"/>
                <w:lang w:val="zh-CN" w:eastAsia="zh-CN"/>
              </w:rPr>
              <w:instrText xml:space="preserve"> HYPERLINK "https://www.mee.gov.cn/ywgz/fgbz/bz/bzwb/gthw/wxfwjbffbz/202302/t20230224_1017500.shtml" </w:instrText>
            </w:r>
            <w:r>
              <w:rPr>
                <w:rFonts w:hint="default" w:ascii="Times New Roman" w:hAnsi="Times New Roman" w:cs="Times New Roman"/>
                <w:color w:val="auto"/>
                <w:szCs w:val="21"/>
                <w:lang w:val="zh-CN" w:eastAsia="zh-CN"/>
              </w:rPr>
              <w:fldChar w:fldCharType="separate"/>
            </w:r>
            <w:r>
              <w:rPr>
                <w:rFonts w:hint="default" w:ascii="Times New Roman" w:hAnsi="Times New Roman" w:cs="Times New Roman"/>
                <w:color w:val="auto"/>
                <w:szCs w:val="21"/>
                <w:lang w:val="zh-CN" w:eastAsia="zh-CN"/>
              </w:rPr>
              <w:t>《危险废物贮存污染控制标准》（GB18597-2023）</w:t>
            </w:r>
            <w:r>
              <w:rPr>
                <w:rFonts w:hint="default" w:ascii="Times New Roman" w:hAnsi="Times New Roman" w:cs="Times New Roman"/>
                <w:color w:val="auto"/>
                <w:szCs w:val="21"/>
                <w:lang w:val="zh-CN" w:eastAsia="zh-CN"/>
              </w:rPr>
              <w:fldChar w:fldCharType="end"/>
            </w:r>
            <w:r>
              <w:rPr>
                <w:rFonts w:hint="default" w:ascii="Times New Roman" w:hAnsi="Times New Roman" w:cs="Times New Roman"/>
                <w:color w:val="auto"/>
                <w:szCs w:val="21"/>
                <w:lang w:val="zh-CN"/>
              </w:rPr>
              <w:t>中相关要求进行建设。</w:t>
            </w:r>
          </w:p>
          <w:p>
            <w:pPr>
              <w:numPr>
                <w:ilvl w:val="0"/>
                <w:numId w:val="20"/>
              </w:numPr>
              <w:adjustRightInd w:val="0"/>
              <w:snapToGrid w:val="0"/>
              <w:spacing w:line="400" w:lineRule="exact"/>
              <w:ind w:left="0" w:leftChars="0"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废油液泄漏时，迅速撤离泄漏污染区人员至安全区，并进行隔离，严格限制出入，同时切断火源，避免泄漏后的废油液与明火接触。同时应急处理人员应穿戴呼吸器和消防防护服等装备，尽可能短时间内切断泄漏源。</w:t>
            </w:r>
          </w:p>
          <w:p>
            <w:pPr>
              <w:numPr>
                <w:ilvl w:val="0"/>
                <w:numId w:val="20"/>
              </w:numPr>
              <w:adjustRightInd w:val="0"/>
              <w:snapToGrid w:val="0"/>
              <w:spacing w:line="400" w:lineRule="exact"/>
              <w:ind w:left="0" w:leftChars="0"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厂界外建设雨水沟，杜绝场外雨水进入场内；场内作业区四周建雨水沟，收集排入雨水池。</w:t>
            </w:r>
          </w:p>
          <w:p>
            <w:pPr>
              <w:adjustRightInd w:val="0"/>
              <w:snapToGrid w:val="0"/>
              <w:spacing w:line="400" w:lineRule="exact"/>
              <w:ind w:left="-53" w:leftChars="-25" w:right="-53" w:rightChars="-25" w:firstLine="420" w:firstLineChars="200"/>
              <w:jc w:val="left"/>
              <w:rPr>
                <w:rFonts w:hint="default" w:ascii="Times New Roman" w:hAnsi="Times New Roman" w:eastAsia="黑体" w:cs="Times New Roman"/>
                <w:color w:val="auto"/>
                <w:szCs w:val="21"/>
                <w:lang w:val="zh-CN"/>
              </w:rPr>
            </w:pPr>
            <w:r>
              <w:rPr>
                <w:rFonts w:hint="default" w:ascii="Times New Roman" w:hAnsi="Times New Roman" w:eastAsia="黑体" w:cs="Times New Roman"/>
                <w:color w:val="auto"/>
                <w:szCs w:val="21"/>
                <w:lang w:val="zh-CN"/>
              </w:rPr>
              <w:t>火灾、爆炸防范措施：</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①控制与消除火源：</w:t>
            </w:r>
            <w:r>
              <w:rPr>
                <w:rFonts w:hint="default" w:ascii="Times New Roman" w:hAnsi="Times New Roman" w:cs="Times New Roman"/>
                <w:color w:val="auto"/>
                <w:szCs w:val="21"/>
              </w:rPr>
              <w:t>建设单位</w:t>
            </w:r>
            <w:r>
              <w:rPr>
                <w:rFonts w:hint="default" w:ascii="Times New Roman" w:hAnsi="Times New Roman" w:cs="Times New Roman"/>
                <w:color w:val="auto"/>
                <w:szCs w:val="21"/>
                <w:lang w:val="zh-CN"/>
              </w:rPr>
              <w:t>必须划定禁火、防爆区域，并制定影响的管理制度。严禁在易燃易爆区吸烟、携带火种、穿带钉皮鞋、穿化纤衣服等。严禁钢制工具的敲打、撞击、抛掷</w:t>
            </w:r>
            <w:r>
              <w:rPr>
                <w:rFonts w:hint="default" w:ascii="Times New Roman" w:hAnsi="Times New Roman" w:cs="Times New Roman"/>
                <w:color w:val="auto"/>
                <w:szCs w:val="21"/>
              </w:rPr>
              <w:t>储油罐；储存间内尽量不拉接电线电缆</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储存间照明全部选用防爆灯</w:t>
            </w:r>
            <w:r>
              <w:rPr>
                <w:rFonts w:hint="default" w:ascii="Times New Roman" w:hAnsi="Times New Roman" w:cs="Times New Roman"/>
                <w:color w:val="auto"/>
                <w:szCs w:val="21"/>
                <w:lang w:val="zh-CN"/>
              </w:rPr>
              <w:t>。</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②严格控制设备质量及安装质量：罐、器、泵、管线等设备及其配套仪表选用合格产品。对设备、管线、泵等定期检查、保养、维修，及时处理不安全因素，将其消灭在萌芽状态。各项应急处理器材与设施必须经常保持处于完好状态。</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③严格按防火、防爆设计规范的要求进行设计，按规范设置消防系统，配置相应的灭火装置和设施，如灭火器、消防砂、消防水池、消火栓等，并定期检查维护，保持完好。设置火灾报警系统，该系统由火灾报警控制器、火灾探测器、手动报警按钮等组成，以利于自动预警和及时组织灭火扑救。对于因超温、超压可能引起火灾爆炸危险的设备，都设置自控检测仪表、报警信号及紧急泄压排放设施，以防止操作失灵和紧急事故带来的设备超压。搬运时轻装轻卸，防止包装破损。</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④</w:t>
            </w:r>
            <w:r>
              <w:rPr>
                <w:rFonts w:hint="eastAsia" w:cs="Times New Roman"/>
                <w:color w:val="auto"/>
                <w:szCs w:val="21"/>
                <w:lang w:val="zh-CN"/>
              </w:rPr>
              <w:t>加强</w:t>
            </w:r>
            <w:r>
              <w:rPr>
                <w:rFonts w:hint="default" w:ascii="Times New Roman" w:hAnsi="Times New Roman" w:cs="Times New Roman"/>
                <w:color w:val="auto"/>
                <w:szCs w:val="21"/>
                <w:lang w:val="zh-CN"/>
              </w:rPr>
              <w:t>管理是防范风险事故最有效途径。从发生事故原因来看，事故的发生多为违反操作规程，疏于管理所致。因此本项目建设及生产运行过程中，必须加强对全体职工的安全和技术的定期培训，在项目进行的各个环节均采取有效的安全监控措施，使出现事故的概率降至最低。</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en-US" w:eastAsia="zh-CN"/>
              </w:rPr>
              <w:t>⑤</w:t>
            </w:r>
            <w:r>
              <w:rPr>
                <w:rFonts w:hint="eastAsia" w:cs="Times New Roman"/>
                <w:color w:val="auto"/>
                <w:szCs w:val="21"/>
                <w:lang w:val="en-US" w:eastAsia="zh-CN"/>
              </w:rPr>
              <w:t>健全</w:t>
            </w:r>
            <w:r>
              <w:rPr>
                <w:rFonts w:hint="default" w:ascii="Times New Roman" w:hAnsi="Times New Roman" w:cs="Times New Roman"/>
                <w:color w:val="auto"/>
                <w:szCs w:val="21"/>
                <w:lang w:val="zh-CN"/>
              </w:rPr>
              <w:t>事故风险应急管理体系，制定安全规程、事故防范措施及</w:t>
            </w:r>
            <w:r>
              <w:rPr>
                <w:rFonts w:hint="default" w:ascii="Times New Roman" w:hAnsi="Times New Roman" w:cs="Times New Roman"/>
                <w:color w:val="auto"/>
                <w:szCs w:val="21"/>
                <w:lang w:val="zh-CN" w:eastAsia="zh-CN"/>
              </w:rPr>
              <w:t>编制《突发环境事件应急预案》</w:t>
            </w:r>
            <w:r>
              <w:rPr>
                <w:rFonts w:hint="default" w:ascii="Times New Roman" w:hAnsi="Times New Roman" w:cs="Times New Roman"/>
                <w:color w:val="auto"/>
                <w:szCs w:val="21"/>
                <w:lang w:val="zh-CN"/>
              </w:rPr>
              <w:t>，并定期组织员工培训和演练。管理人员应职责、权限分明，清楚生产工艺技术和事故风险发生后果，具备解除事故和减缓事故的能力。</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en-US" w:eastAsia="zh-CN"/>
              </w:rPr>
              <w:t>⑥一旦</w:t>
            </w:r>
            <w:r>
              <w:rPr>
                <w:rFonts w:hint="default" w:ascii="Times New Roman" w:hAnsi="Times New Roman" w:cs="Times New Roman"/>
                <w:color w:val="auto"/>
                <w:szCs w:val="21"/>
                <w:lang w:val="zh-CN"/>
              </w:rPr>
              <w:t>发生突发事故，应及时发生报警信号，设立事故警戒线，启动应急预案，并按要求进行报告，请有关部门</w:t>
            </w:r>
            <w:r>
              <w:rPr>
                <w:rFonts w:hint="eastAsia" w:cs="Times New Roman"/>
                <w:color w:val="auto"/>
                <w:szCs w:val="21"/>
                <w:lang w:val="zh-CN"/>
              </w:rPr>
              <w:t>（</w:t>
            </w:r>
            <w:r>
              <w:rPr>
                <w:rFonts w:hint="default" w:ascii="Times New Roman" w:hAnsi="Times New Roman" w:cs="Times New Roman"/>
                <w:color w:val="auto"/>
                <w:szCs w:val="21"/>
                <w:lang w:val="zh-CN"/>
              </w:rPr>
              <w:t>消防队、急救中心、环保监测站等</w:t>
            </w:r>
            <w:r>
              <w:rPr>
                <w:rFonts w:hint="eastAsia" w:cs="Times New Roman"/>
                <w:color w:val="auto"/>
                <w:szCs w:val="21"/>
                <w:lang w:val="zh-CN"/>
              </w:rPr>
              <w:t>）</w:t>
            </w:r>
            <w:r>
              <w:rPr>
                <w:rFonts w:hint="default" w:ascii="Times New Roman" w:hAnsi="Times New Roman" w:cs="Times New Roman"/>
                <w:color w:val="auto"/>
                <w:szCs w:val="21"/>
                <w:lang w:val="zh-CN"/>
              </w:rPr>
              <w:t>前来救援、救护和监测。事故如可能波及周围环境时，应及时通知影响区域的群众撤离到安全地带或采取有效的保护措施</w:t>
            </w:r>
            <w:r>
              <w:rPr>
                <w:rFonts w:hint="eastAsia" w:cs="Times New Roman"/>
                <w:color w:val="auto"/>
                <w:szCs w:val="21"/>
                <w:lang w:val="zh-CN"/>
              </w:rPr>
              <w:t>，</w:t>
            </w:r>
            <w:r>
              <w:rPr>
                <w:rFonts w:hint="default" w:ascii="Times New Roman" w:hAnsi="Times New Roman" w:cs="Times New Roman"/>
                <w:color w:val="auto"/>
                <w:szCs w:val="21"/>
                <w:lang w:val="zh-CN"/>
              </w:rPr>
              <w:t>使事故的危害和影响降到最低限度。</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en-US" w:eastAsia="zh-CN"/>
              </w:rPr>
              <w:t>⑦</w:t>
            </w:r>
            <w:r>
              <w:rPr>
                <w:rFonts w:hint="default" w:ascii="Times New Roman" w:hAnsi="Times New Roman" w:cs="Times New Roman"/>
                <w:color w:val="auto"/>
                <w:szCs w:val="21"/>
                <w:lang w:val="zh-CN"/>
              </w:rPr>
              <w:t>事故一旦得到控制，要对事故的原因进行详细分析，对涉及的各种因素的影响进行评价，并对今后消除和最大限度地减少这些因素提出建议。</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建设项目环境风险简单分析内容表</w:t>
            </w:r>
          </w:p>
          <w:tbl>
            <w:tblPr>
              <w:tblStyle w:val="17"/>
              <w:tblW w:w="8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2"/>
              <w:gridCol w:w="1080"/>
              <w:gridCol w:w="1014"/>
              <w:gridCol w:w="923"/>
              <w:gridCol w:w="1187"/>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242"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建设项目名称</w:t>
                  </w:r>
                </w:p>
              </w:tc>
              <w:tc>
                <w:tcPr>
                  <w:tcW w:w="5817" w:type="dxa"/>
                  <w:gridSpan w:val="5"/>
                  <w:noWrap w:val="0"/>
                  <w:vAlign w:val="bottom"/>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42"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建设地点</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（四川）省</w:t>
                  </w:r>
                </w:p>
              </w:tc>
              <w:tc>
                <w:tcPr>
                  <w:tcW w:w="101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（达州）市</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w:t>
                  </w:r>
                  <w:r>
                    <w:rPr>
                      <w:rFonts w:hint="eastAsia" w:cs="Times New Roman"/>
                      <w:color w:val="auto"/>
                      <w:sz w:val="18"/>
                      <w:szCs w:val="18"/>
                      <w:lang w:val="en-US" w:eastAsia="zh-CN"/>
                    </w:rPr>
                    <w:t>宣汉</w:t>
                  </w:r>
                  <w:r>
                    <w:rPr>
                      <w:rFonts w:hint="default" w:ascii="Times New Roman" w:hAnsi="Times New Roman" w:cs="Times New Roman"/>
                      <w:color w:val="auto"/>
                      <w:sz w:val="18"/>
                      <w:szCs w:val="18"/>
                      <w:lang w:val="zh-CN" w:eastAsia="zh-CN"/>
                    </w:rPr>
                    <w:t>）</w:t>
                  </w:r>
                  <w:r>
                    <w:rPr>
                      <w:rFonts w:hint="eastAsia" w:cs="Times New Roman"/>
                      <w:color w:val="auto"/>
                      <w:sz w:val="18"/>
                      <w:szCs w:val="18"/>
                      <w:lang w:val="en-US" w:eastAsia="zh-CN"/>
                    </w:rPr>
                    <w:t>县</w:t>
                  </w:r>
                </w:p>
              </w:tc>
              <w:tc>
                <w:tcPr>
                  <w:tcW w:w="1187"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（普光经济开发）区</w:t>
                  </w:r>
                </w:p>
              </w:tc>
              <w:tc>
                <w:tcPr>
                  <w:tcW w:w="1613"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柳池工业园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242"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地理坐标</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经度</w:t>
                  </w:r>
                </w:p>
              </w:tc>
              <w:tc>
                <w:tcPr>
                  <w:tcW w:w="101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纬度</w:t>
                  </w:r>
                </w:p>
              </w:tc>
              <w:tc>
                <w:tcPr>
                  <w:tcW w:w="28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242"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主要危险物质及分布</w:t>
                  </w:r>
                </w:p>
              </w:tc>
              <w:tc>
                <w:tcPr>
                  <w:tcW w:w="5817"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废矿物油（</w:t>
                  </w:r>
                  <w:r>
                    <w:rPr>
                      <w:rFonts w:hint="eastAsia" w:cs="Times New Roman"/>
                      <w:color w:val="auto"/>
                      <w:sz w:val="18"/>
                      <w:szCs w:val="18"/>
                      <w:lang w:val="en-US" w:eastAsia="zh-CN"/>
                    </w:rPr>
                    <w:t>废矿物油储存间</w:t>
                  </w:r>
                  <w:r>
                    <w:rPr>
                      <w:rFonts w:hint="default" w:ascii="Times New Roman" w:hAnsi="Times New Roman" w:cs="Times New Roman"/>
                      <w:color w:val="auto"/>
                      <w:sz w:val="18"/>
                      <w:szCs w:val="18"/>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242"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环境影响途径及危害后果（大气、地表水、地下水等）</w:t>
                  </w:r>
                </w:p>
              </w:tc>
              <w:tc>
                <w:tcPr>
                  <w:tcW w:w="5817"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废矿物油泄漏可能污染地下水、地表水、土壤环境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2242"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风险防范措施要求</w:t>
                  </w:r>
                </w:p>
              </w:tc>
              <w:tc>
                <w:tcPr>
                  <w:tcW w:w="5817"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both"/>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（1）规范建设危废暂存间，严把施工材料和工程质量关</w:t>
                  </w:r>
                  <w:r>
                    <w:rPr>
                      <w:rFonts w:hint="eastAsia" w:cs="Times New Roman"/>
                      <w:color w:val="auto"/>
                      <w:sz w:val="18"/>
                      <w:szCs w:val="18"/>
                      <w:lang w:val="zh-CN" w:eastAsia="zh-CN"/>
                    </w:rPr>
                    <w:t>；</w:t>
                  </w:r>
                  <w:r>
                    <w:rPr>
                      <w:rFonts w:hint="default" w:ascii="Times New Roman" w:hAnsi="Times New Roman" w:cs="Times New Roman"/>
                      <w:color w:val="auto"/>
                      <w:sz w:val="18"/>
                      <w:szCs w:val="18"/>
                      <w:lang w:val="zh-CN" w:eastAsia="zh-CN"/>
                    </w:rPr>
                    <w:t>（2）防渗要求：地面防渗层为至少1米厚粘土层(渗透系数≤10</w:t>
                  </w:r>
                  <w:r>
                    <w:rPr>
                      <w:rFonts w:hint="default" w:ascii="Times New Roman" w:hAnsi="Times New Roman" w:cs="Times New Roman"/>
                      <w:color w:val="auto"/>
                      <w:sz w:val="18"/>
                      <w:szCs w:val="18"/>
                      <w:vertAlign w:val="superscript"/>
                      <w:lang w:val="zh-CN" w:eastAsia="zh-CN"/>
                    </w:rPr>
                    <w:t>-7</w:t>
                  </w:r>
                  <w:r>
                    <w:rPr>
                      <w:rFonts w:hint="default" w:ascii="Times New Roman" w:hAnsi="Times New Roman" w:cs="Times New Roman"/>
                      <w:color w:val="auto"/>
                      <w:sz w:val="18"/>
                      <w:szCs w:val="18"/>
                      <w:lang w:val="zh-CN" w:eastAsia="zh-CN"/>
                    </w:rPr>
                    <w:t>厘米/秒)，或2毫米厚</w:t>
                  </w:r>
                  <w:r>
                    <w:rPr>
                      <w:rFonts w:hint="default" w:ascii="Times New Roman" w:hAnsi="Times New Roman" w:cs="Times New Roman"/>
                      <w:color w:val="auto"/>
                      <w:sz w:val="18"/>
                      <w:szCs w:val="18"/>
                      <w:lang w:val="zh-CN" w:eastAsia="zh-CN"/>
                    </w:rPr>
                    <w:fldChar w:fldCharType="begin"/>
                  </w:r>
                  <w:r>
                    <w:rPr>
                      <w:rFonts w:hint="default" w:ascii="Times New Roman" w:hAnsi="Times New Roman" w:cs="Times New Roman"/>
                      <w:color w:val="auto"/>
                      <w:sz w:val="18"/>
                      <w:szCs w:val="18"/>
                      <w:lang w:val="zh-CN" w:eastAsia="zh-CN"/>
                    </w:rPr>
                    <w:instrText xml:space="preserve"> HYPERLINK "https://baike.so.com/doc/6184927-6398177.html" \t "https://baike.so.com/doc/_blank" </w:instrText>
                  </w:r>
                  <w:r>
                    <w:rPr>
                      <w:rFonts w:hint="default" w:ascii="Times New Roman" w:hAnsi="Times New Roman" w:cs="Times New Roman"/>
                      <w:color w:val="auto"/>
                      <w:sz w:val="18"/>
                      <w:szCs w:val="18"/>
                      <w:lang w:val="zh-CN" w:eastAsia="zh-CN"/>
                    </w:rPr>
                    <w:fldChar w:fldCharType="separate"/>
                  </w:r>
                  <w:r>
                    <w:rPr>
                      <w:rFonts w:hint="default" w:ascii="Times New Roman" w:hAnsi="Times New Roman" w:cs="Times New Roman"/>
                      <w:color w:val="auto"/>
                      <w:sz w:val="18"/>
                      <w:szCs w:val="18"/>
                      <w:lang w:val="zh-CN" w:eastAsia="zh-CN"/>
                    </w:rPr>
                    <w:t>高密度聚乙烯</w:t>
                  </w:r>
                  <w:r>
                    <w:rPr>
                      <w:rFonts w:hint="default" w:ascii="Times New Roman" w:hAnsi="Times New Roman" w:cs="Times New Roman"/>
                      <w:color w:val="auto"/>
                      <w:sz w:val="18"/>
                      <w:szCs w:val="18"/>
                      <w:lang w:val="zh-CN" w:eastAsia="zh-CN"/>
                    </w:rPr>
                    <w:fldChar w:fldCharType="end"/>
                  </w:r>
                  <w:r>
                    <w:rPr>
                      <w:rFonts w:hint="default" w:ascii="Times New Roman" w:hAnsi="Times New Roman" w:cs="Times New Roman"/>
                      <w:color w:val="auto"/>
                      <w:sz w:val="18"/>
                      <w:szCs w:val="18"/>
                      <w:lang w:val="zh-CN" w:eastAsia="zh-CN"/>
                    </w:rPr>
                    <w:t>，或至少2毫米厚的其它人工材料，渗透系数≤10</w:t>
                  </w:r>
                  <w:r>
                    <w:rPr>
                      <w:rFonts w:hint="default" w:ascii="Times New Roman" w:hAnsi="Times New Roman" w:cs="Times New Roman"/>
                      <w:color w:val="auto"/>
                      <w:sz w:val="18"/>
                      <w:szCs w:val="18"/>
                      <w:vertAlign w:val="superscript"/>
                      <w:lang w:val="zh-CN" w:eastAsia="zh-CN"/>
                    </w:rPr>
                    <w:t>-10</w:t>
                  </w:r>
                  <w:r>
                    <w:rPr>
                      <w:rFonts w:hint="default" w:ascii="Times New Roman" w:hAnsi="Times New Roman" w:cs="Times New Roman"/>
                      <w:color w:val="auto"/>
                      <w:sz w:val="18"/>
                      <w:szCs w:val="18"/>
                      <w:lang w:val="zh-CN" w:eastAsia="zh-CN"/>
                    </w:rPr>
                    <w:t>厘米/秒</w:t>
                  </w:r>
                  <w:r>
                    <w:rPr>
                      <w:rFonts w:hint="eastAsia" w:cs="Times New Roman"/>
                      <w:color w:val="auto"/>
                      <w:sz w:val="18"/>
                      <w:szCs w:val="18"/>
                      <w:lang w:val="zh-CN" w:eastAsia="zh-CN"/>
                    </w:rPr>
                    <w:t>；</w:t>
                  </w:r>
                  <w:r>
                    <w:rPr>
                      <w:rFonts w:hint="default" w:ascii="Times New Roman" w:hAnsi="Times New Roman" w:cs="Times New Roman"/>
                      <w:color w:val="auto"/>
                      <w:sz w:val="18"/>
                      <w:szCs w:val="18"/>
                      <w:lang w:val="zh-CN" w:eastAsia="zh-CN"/>
                    </w:rPr>
                    <w:t>（3）加强管理，制定应急预案</w:t>
                  </w:r>
                  <w:r>
                    <w:rPr>
                      <w:rFonts w:hint="eastAsia" w:cs="Times New Roman"/>
                      <w:color w:val="auto"/>
                      <w:sz w:val="18"/>
                      <w:szCs w:val="18"/>
                      <w:lang w:val="zh-CN" w:eastAsia="zh-CN"/>
                    </w:rPr>
                    <w:t>；</w:t>
                  </w:r>
                  <w:r>
                    <w:rPr>
                      <w:rFonts w:hint="default" w:ascii="Times New Roman" w:hAnsi="Times New Roman" w:cs="Times New Roman"/>
                      <w:color w:val="auto"/>
                      <w:sz w:val="18"/>
                      <w:szCs w:val="18"/>
                      <w:lang w:val="zh-CN" w:eastAsia="zh-CN"/>
                    </w:rPr>
                    <w:t>（4）委托有资质单位处理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059"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both"/>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填表说明（列出项目相关信息及评价说明）：无</w:t>
                  </w:r>
                </w:p>
              </w:tc>
            </w:tr>
          </w:tbl>
          <w:p>
            <w:pPr>
              <w:numPr>
                <w:ilvl w:val="0"/>
                <w:numId w:val="19"/>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en-US" w:eastAsia="zh-CN"/>
              </w:rPr>
            </w:pPr>
            <w:r>
              <w:rPr>
                <w:rFonts w:hint="default" w:ascii="Times New Roman" w:hAnsi="Times New Roman" w:eastAsia="黑体" w:cs="Times New Roman"/>
                <w:color w:val="auto"/>
                <w:kern w:val="0"/>
                <w:sz w:val="22"/>
                <w:szCs w:val="22"/>
                <w:lang w:val="en-US" w:eastAsia="zh-CN"/>
              </w:rPr>
              <w:t>环保投资一览表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环保投资估算一览表</w:t>
            </w:r>
          </w:p>
          <w:tbl>
            <w:tblPr>
              <w:tblStyle w:val="17"/>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08"/>
              <w:gridCol w:w="325"/>
              <w:gridCol w:w="82"/>
              <w:gridCol w:w="1202"/>
              <w:gridCol w:w="4759"/>
              <w:gridCol w:w="624"/>
              <w:gridCol w:w="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50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w:t>
                  </w:r>
                </w:p>
              </w:tc>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治理措施</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投资</w:t>
                  </w:r>
                </w:p>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(万元)</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3" w:hRule="atLeast"/>
                <w:jc w:val="center"/>
              </w:trPr>
              <w:tc>
                <w:tcPr>
                  <w:tcW w:w="5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废气治理</w:t>
                  </w:r>
                </w:p>
              </w:tc>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施工扬尘</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采取洒水抑尘；</w:t>
                  </w:r>
                  <w:r>
                    <w:rPr>
                      <w:rFonts w:hint="default" w:ascii="Times New Roman" w:hAnsi="Times New Roman" w:cs="Times New Roman"/>
                      <w:color w:val="auto"/>
                      <w:sz w:val="18"/>
                      <w:szCs w:val="18"/>
                      <w:lang w:val="en-US" w:eastAsia="zh-CN"/>
                    </w:rPr>
                    <w:t>建渣及时清运，</w:t>
                  </w:r>
                  <w:r>
                    <w:rPr>
                      <w:rFonts w:hint="default" w:ascii="Times New Roman" w:hAnsi="Times New Roman" w:eastAsia="宋体" w:cs="Times New Roman"/>
                      <w:color w:val="auto"/>
                      <w:sz w:val="18"/>
                      <w:szCs w:val="18"/>
                      <w:lang w:val="en-US" w:eastAsia="zh-CN"/>
                    </w:rPr>
                    <w:t>运输车辆覆盖，密闭运输、限制车速</w:t>
                  </w:r>
                  <w:r>
                    <w:rPr>
                      <w:rFonts w:hint="default" w:ascii="Times New Roman" w:hAnsi="Times New Roman" w:cs="Times New Roman"/>
                      <w:color w:val="auto"/>
                      <w:sz w:val="18"/>
                      <w:szCs w:val="18"/>
                      <w:lang w:val="en-US" w:eastAsia="zh-CN"/>
                    </w:rPr>
                    <w:t>；选用环保型防渗材料，尽量选用水性防渗材料，减少装修过程中挥发性有机气体的产生量</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407"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cs="Times New Roman"/>
                      <w:color w:val="auto"/>
                      <w:sz w:val="18"/>
                      <w:szCs w:val="18"/>
                      <w:lang w:val="en-US" w:eastAsia="zh-CN"/>
                    </w:rPr>
                    <w:t>营运期</w:t>
                  </w: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储罐呼吸废气</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产生量及速率均很小，通过加强通风，废气无组织排放厂界浓度很低</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0.20</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407"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装卸废气</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废气（以非甲烷总烃计）量极小，通过</w:t>
                  </w:r>
                  <w:r>
                    <w:rPr>
                      <w:rFonts w:hint="default" w:ascii="Times New Roman" w:hAnsi="Times New Roman" w:cs="Times New Roman"/>
                      <w:color w:val="auto"/>
                      <w:sz w:val="18"/>
                      <w:szCs w:val="18"/>
                      <w:lang w:val="en-US" w:eastAsia="zh-CN"/>
                    </w:rPr>
                    <w:t>设置密闭的储存间、</w:t>
                  </w:r>
                  <w:r>
                    <w:rPr>
                      <w:rFonts w:hint="default" w:ascii="Times New Roman" w:hAnsi="Times New Roman" w:eastAsia="宋体" w:cs="Times New Roman"/>
                      <w:color w:val="auto"/>
                      <w:sz w:val="18"/>
                      <w:szCs w:val="18"/>
                      <w:lang w:val="en-US" w:eastAsia="zh-CN"/>
                    </w:rPr>
                    <w:t>加强通风，规范操作，废气无组织排放厂界浓度</w:t>
                  </w:r>
                  <w:r>
                    <w:rPr>
                      <w:rFonts w:hint="default" w:ascii="Times New Roman" w:hAnsi="Times New Roman" w:cs="Times New Roman"/>
                      <w:color w:val="auto"/>
                      <w:sz w:val="18"/>
                      <w:szCs w:val="18"/>
                      <w:lang w:val="en-US" w:eastAsia="zh-CN"/>
                    </w:rPr>
                    <w:t>很低</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0.20</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407"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rPr>
                  </w:pPr>
                </w:p>
              </w:tc>
              <w:tc>
                <w:tcPr>
                  <w:tcW w:w="1202"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汽车尾气</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加强进出车辆管理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3" w:hRule="atLeast"/>
                <w:jc w:val="center"/>
              </w:trPr>
              <w:tc>
                <w:tcPr>
                  <w:tcW w:w="5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废水</w:t>
                  </w:r>
                </w:p>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治理</w:t>
                  </w:r>
                </w:p>
              </w:tc>
              <w:tc>
                <w:tcPr>
                  <w:tcW w:w="1609" w:type="dxa"/>
                  <w:gridSpan w:val="3"/>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施工废水</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在施工废水</w:t>
                  </w:r>
                  <w:r>
                    <w:rPr>
                      <w:rFonts w:hint="default" w:ascii="Times New Roman" w:hAnsi="Times New Roman" w:cs="Times New Roman"/>
                      <w:color w:val="auto"/>
                      <w:sz w:val="18"/>
                      <w:szCs w:val="18"/>
                      <w:lang w:val="en-US" w:eastAsia="zh-CN"/>
                    </w:rPr>
                    <w:t>设置</w:t>
                  </w:r>
                  <w:r>
                    <w:rPr>
                      <w:rFonts w:hint="default" w:ascii="Times New Roman" w:hAnsi="Times New Roman" w:eastAsia="宋体" w:cs="Times New Roman"/>
                      <w:color w:val="auto"/>
                      <w:sz w:val="18"/>
                      <w:szCs w:val="18"/>
                      <w:lang w:val="en-US" w:eastAsia="zh-CN"/>
                    </w:rPr>
                    <w:t>沉淀</w:t>
                  </w:r>
                  <w:r>
                    <w:rPr>
                      <w:rFonts w:hint="default" w:ascii="Times New Roman" w:hAnsi="Times New Roman" w:cs="Times New Roman"/>
                      <w:color w:val="auto"/>
                      <w:sz w:val="18"/>
                      <w:szCs w:val="18"/>
                      <w:lang w:val="en-US" w:eastAsia="zh-CN"/>
                    </w:rPr>
                    <w:t>池，废水收集</w:t>
                  </w:r>
                  <w:r>
                    <w:rPr>
                      <w:rFonts w:hint="default" w:ascii="Times New Roman" w:hAnsi="Times New Roman" w:eastAsia="宋体" w:cs="Times New Roman"/>
                      <w:color w:val="auto"/>
                      <w:sz w:val="18"/>
                      <w:szCs w:val="18"/>
                      <w:lang w:val="en-US" w:eastAsia="zh-CN"/>
                    </w:rPr>
                    <w:t>后全部回用</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0.30</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4"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1609" w:type="dxa"/>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少量生活污水</w:t>
                  </w:r>
                  <w:r>
                    <w:rPr>
                      <w:rFonts w:hint="default" w:ascii="Times New Roman" w:hAnsi="Times New Roman" w:eastAsia="宋体" w:cs="Times New Roman"/>
                      <w:color w:val="auto"/>
                      <w:sz w:val="18"/>
                      <w:szCs w:val="18"/>
                    </w:rPr>
                    <w:t>依托</w:t>
                  </w:r>
                  <w:r>
                    <w:rPr>
                      <w:rFonts w:hint="default" w:ascii="Times New Roman" w:hAnsi="Times New Roman" w:cs="Times New Roman"/>
                      <w:color w:val="auto"/>
                      <w:sz w:val="18"/>
                      <w:szCs w:val="18"/>
                      <w:lang w:val="en-US" w:eastAsia="zh-CN"/>
                    </w:rPr>
                    <w:t>公司</w:t>
                  </w:r>
                  <w:r>
                    <w:rPr>
                      <w:rFonts w:hint="default" w:ascii="Times New Roman" w:hAnsi="Times New Roman" w:eastAsia="宋体" w:cs="Times New Roman"/>
                      <w:color w:val="auto"/>
                      <w:sz w:val="18"/>
                      <w:szCs w:val="18"/>
                    </w:rPr>
                    <w:t>既有设施</w:t>
                  </w:r>
                  <w:r>
                    <w:rPr>
                      <w:rFonts w:hint="default" w:ascii="Times New Roman" w:hAnsi="Times New Roman" w:cs="Times New Roman"/>
                      <w:color w:val="auto"/>
                      <w:sz w:val="18"/>
                      <w:szCs w:val="18"/>
                      <w:lang w:val="en-US" w:eastAsia="zh-CN"/>
                    </w:rPr>
                    <w:t>收集</w:t>
                  </w:r>
                  <w:r>
                    <w:rPr>
                      <w:rFonts w:hint="default" w:ascii="Times New Roman" w:hAnsi="Times New Roman" w:eastAsia="宋体" w:cs="Times New Roman"/>
                      <w:color w:val="auto"/>
                      <w:sz w:val="18"/>
                      <w:szCs w:val="18"/>
                    </w:rPr>
                    <w:t>处理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5"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营运期</w:t>
                  </w:r>
                  <w:r>
                    <w:rPr>
                      <w:rFonts w:hint="default" w:ascii="Times New Roman" w:hAnsi="Times New Roman" w:eastAsia="宋体" w:cs="Times New Roman"/>
                      <w:color w:val="auto"/>
                      <w:sz w:val="18"/>
                      <w:szCs w:val="18"/>
                    </w:rPr>
                    <w:t>生活污水</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依托公司已有</w:t>
                  </w:r>
                  <w:r>
                    <w:rPr>
                      <w:rFonts w:hint="default" w:ascii="Times New Roman" w:hAnsi="Times New Roman" w:eastAsia="宋体" w:cs="Times New Roman"/>
                      <w:color w:val="auto"/>
                      <w:sz w:val="18"/>
                      <w:szCs w:val="18"/>
                    </w:rPr>
                    <w:t>化粪池</w:t>
                  </w:r>
                  <w:r>
                    <w:rPr>
                      <w:rFonts w:hint="default" w:ascii="Times New Roman" w:hAnsi="Times New Roman" w:eastAsia="宋体" w:cs="Times New Roman"/>
                      <w:color w:val="auto"/>
                      <w:sz w:val="18"/>
                      <w:szCs w:val="18"/>
                      <w:lang w:val="en-US" w:eastAsia="zh-CN"/>
                    </w:rPr>
                    <w:t>收集后</w:t>
                  </w:r>
                  <w:r>
                    <w:rPr>
                      <w:rFonts w:hint="default" w:ascii="Times New Roman" w:hAnsi="Times New Roman" w:cs="Times New Roman"/>
                      <w:color w:val="auto"/>
                      <w:sz w:val="18"/>
                      <w:szCs w:val="18"/>
                      <w:lang w:val="en-US" w:eastAsia="zh-CN"/>
                    </w:rPr>
                    <w:t>，经管网排至园区</w:t>
                  </w:r>
                  <w:r>
                    <w:rPr>
                      <w:rFonts w:hint="eastAsia" w:cs="Times New Roman"/>
                      <w:color w:val="auto"/>
                      <w:sz w:val="18"/>
                      <w:szCs w:val="18"/>
                      <w:lang w:val="en-US" w:eastAsia="zh-CN"/>
                    </w:rPr>
                    <w:t>污水处理厂</w:t>
                  </w:r>
                  <w:r>
                    <w:rPr>
                      <w:rFonts w:hint="default" w:ascii="Times New Roman" w:hAnsi="Times New Roman" w:cs="Times New Roman"/>
                      <w:color w:val="auto"/>
                      <w:sz w:val="18"/>
                      <w:szCs w:val="18"/>
                      <w:lang w:val="en-US" w:eastAsia="zh-CN"/>
                    </w:rPr>
                    <w:t>处理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3" w:hRule="atLeast"/>
                <w:jc w:val="center"/>
              </w:trPr>
              <w:tc>
                <w:tcPr>
                  <w:tcW w:w="5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噪声</w:t>
                  </w:r>
                </w:p>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治理</w:t>
                  </w:r>
                </w:p>
              </w:tc>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92" w:leftChars="-44" w:right="-92" w:rightChars="-4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施工机械噪声</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选用先进的、噪声低的环保型设备</w:t>
                  </w:r>
                  <w:r>
                    <w:rPr>
                      <w:rFonts w:hint="default" w:ascii="Times New Roman" w:hAnsi="Times New Roman" w:cs="Times New Roman"/>
                      <w:color w:val="auto"/>
                      <w:sz w:val="18"/>
                      <w:szCs w:val="18"/>
                      <w:lang w:val="en-US" w:eastAsia="zh-CN"/>
                    </w:rPr>
                    <w:t>，并加强维修管理</w:t>
                  </w:r>
                  <w:r>
                    <w:rPr>
                      <w:rFonts w:hint="default" w:ascii="Times New Roman" w:hAnsi="Times New Roman" w:eastAsia="宋体" w:cs="Times New Roman"/>
                      <w:color w:val="auto"/>
                      <w:sz w:val="18"/>
                      <w:szCs w:val="18"/>
                      <w:lang w:val="en-US" w:eastAsia="zh-CN"/>
                    </w:rPr>
                    <w:t>；合理安排工期；文明施工，合理布局施工场地；运输车辆进入施工现场应减速行驶、并禁止鸣笛</w:t>
                  </w:r>
                  <w:r>
                    <w:rPr>
                      <w:rFonts w:hint="default" w:ascii="Times New Roman" w:hAnsi="Times New Roman" w:cs="Times New Roman"/>
                      <w:color w:val="auto"/>
                      <w:sz w:val="18"/>
                      <w:szCs w:val="18"/>
                      <w:lang w:val="en-US" w:eastAsia="zh-CN"/>
                    </w:rPr>
                    <w:t>；施工场地四周</w:t>
                  </w:r>
                  <w:r>
                    <w:rPr>
                      <w:rFonts w:hint="default" w:ascii="Times New Roman" w:hAnsi="Times New Roman" w:eastAsia="宋体" w:cs="Times New Roman"/>
                      <w:color w:val="auto"/>
                      <w:sz w:val="18"/>
                      <w:szCs w:val="18"/>
                    </w:rPr>
                    <w:t>设置围挡</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0.20</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3"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营运期</w:t>
                  </w:r>
                </w:p>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卸油</w:t>
                  </w:r>
                  <w:r>
                    <w:rPr>
                      <w:rFonts w:hint="default" w:ascii="Times New Roman" w:hAnsi="Times New Roman" w:eastAsia="宋体" w:cs="Times New Roman"/>
                      <w:color w:val="auto"/>
                      <w:sz w:val="18"/>
                      <w:szCs w:val="18"/>
                    </w:rPr>
                    <w:t>设备</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运输车辆</w:t>
                  </w:r>
                  <w:r>
                    <w:rPr>
                      <w:rFonts w:hint="default" w:ascii="Times New Roman" w:hAnsi="Times New Roman" w:eastAsia="宋体" w:cs="Times New Roman"/>
                      <w:color w:val="auto"/>
                      <w:sz w:val="18"/>
                      <w:szCs w:val="18"/>
                    </w:rPr>
                    <w:t>噪声</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选用先进的、噪声低的环保型</w:t>
                  </w:r>
                  <w:r>
                    <w:rPr>
                      <w:rFonts w:hint="default" w:ascii="Times New Roman" w:hAnsi="Times New Roman" w:cs="Times New Roman"/>
                      <w:color w:val="auto"/>
                      <w:sz w:val="18"/>
                      <w:szCs w:val="18"/>
                      <w:lang w:val="en-US" w:eastAsia="zh-CN"/>
                    </w:rPr>
                    <w:t>卸油</w:t>
                  </w:r>
                  <w:r>
                    <w:rPr>
                      <w:rFonts w:hint="default" w:ascii="Times New Roman" w:hAnsi="Times New Roman" w:eastAsia="宋体" w:cs="Times New Roman"/>
                      <w:color w:val="auto"/>
                      <w:sz w:val="18"/>
                      <w:szCs w:val="18"/>
                      <w:lang w:val="en-US" w:eastAsia="zh-CN"/>
                    </w:rPr>
                    <w:t>设备，并加强维修管理；</w:t>
                  </w:r>
                  <w:r>
                    <w:rPr>
                      <w:rFonts w:hint="default" w:ascii="Times New Roman" w:hAnsi="Times New Roman" w:cs="Times New Roman"/>
                      <w:color w:val="auto"/>
                      <w:sz w:val="18"/>
                      <w:szCs w:val="18"/>
                      <w:lang w:val="en-US" w:eastAsia="zh-CN"/>
                    </w:rPr>
                    <w:t>卸油作业在封闭的</w:t>
                  </w:r>
                  <w:r>
                    <w:rPr>
                      <w:rFonts w:hint="default" w:ascii="Times New Roman" w:hAnsi="Times New Roman" w:eastAsia="宋体" w:cs="Times New Roman"/>
                      <w:color w:val="auto"/>
                      <w:sz w:val="18"/>
                      <w:szCs w:val="18"/>
                    </w:rPr>
                    <w:t>车间</w:t>
                  </w:r>
                  <w:r>
                    <w:rPr>
                      <w:rFonts w:hint="default" w:ascii="Times New Roman" w:hAnsi="Times New Roman" w:cs="Times New Roman"/>
                      <w:color w:val="auto"/>
                      <w:sz w:val="18"/>
                      <w:szCs w:val="18"/>
                      <w:lang w:val="en-US" w:eastAsia="zh-CN"/>
                    </w:rPr>
                    <w:t>内；及时更换老化设备；厂内设置减速、禁鸣等标识等</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1</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3" w:hRule="atLeast"/>
                <w:jc w:val="center"/>
              </w:trPr>
              <w:tc>
                <w:tcPr>
                  <w:tcW w:w="5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固废</w:t>
                  </w:r>
                </w:p>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治理</w:t>
                  </w:r>
                </w:p>
              </w:tc>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施工期</w:t>
                  </w:r>
                </w:p>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弃渣、生活垃圾</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尽量回收可利用的材料，不能利用的和建筑</w:t>
                  </w:r>
                  <w:r>
                    <w:rPr>
                      <w:rFonts w:hint="default" w:ascii="Times New Roman" w:hAnsi="Times New Roman" w:eastAsia="宋体" w:cs="Times New Roman"/>
                      <w:color w:val="auto"/>
                      <w:sz w:val="18"/>
                      <w:szCs w:val="18"/>
                    </w:rPr>
                    <w:t>弃渣按当地有关部门要求及时清运至指定的建渣堆放场地，临时堆</w:t>
                  </w:r>
                  <w:r>
                    <w:rPr>
                      <w:rFonts w:hint="default" w:ascii="Times New Roman" w:hAnsi="Times New Roman" w:cs="Times New Roman"/>
                      <w:color w:val="auto"/>
                      <w:sz w:val="18"/>
                      <w:szCs w:val="18"/>
                      <w:lang w:val="en-US" w:eastAsia="zh-CN"/>
                    </w:rPr>
                    <w:t>放需</w:t>
                  </w:r>
                  <w:r>
                    <w:rPr>
                      <w:rFonts w:hint="default" w:ascii="Times New Roman" w:hAnsi="Times New Roman" w:eastAsia="宋体" w:cs="Times New Roman"/>
                      <w:color w:val="auto"/>
                      <w:sz w:val="18"/>
                      <w:szCs w:val="18"/>
                    </w:rPr>
                    <w:t>遮盖；生活垃圾由环卫收集清运</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0.50</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3"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32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营运期</w:t>
                  </w:r>
                </w:p>
              </w:tc>
              <w:tc>
                <w:tcPr>
                  <w:tcW w:w="128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滴漏废油</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装卸</w:t>
                  </w:r>
                  <w:r>
                    <w:rPr>
                      <w:rFonts w:hint="default" w:ascii="Times New Roman" w:hAnsi="Times New Roman" w:cs="Times New Roman"/>
                      <w:color w:val="auto"/>
                      <w:sz w:val="18"/>
                      <w:szCs w:val="18"/>
                      <w:lang w:val="en-US" w:eastAsia="zh-CN"/>
                    </w:rPr>
                    <w:t>区</w:t>
                  </w:r>
                  <w:r>
                    <w:rPr>
                      <w:rFonts w:hint="default" w:ascii="Times New Roman" w:hAnsi="Times New Roman" w:eastAsia="宋体" w:cs="Times New Roman"/>
                      <w:color w:val="auto"/>
                      <w:sz w:val="18"/>
                      <w:szCs w:val="18"/>
                      <w:lang w:val="en-US" w:eastAsia="zh-CN"/>
                    </w:rPr>
                    <w:t>四周建5cm的防溢流围堰，另外配备移动式的接油托盘（或接油桶等其他容器），装卸作业时，放置于出油口下方，收集滴漏的废矿物油</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2</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3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p>
              </w:tc>
              <w:tc>
                <w:tcPr>
                  <w:tcW w:w="128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废弃吸油棉、含油锯末</w:t>
                  </w:r>
                  <w:r>
                    <w:rPr>
                      <w:rFonts w:hint="default" w:ascii="Times New Roman" w:hAnsi="Times New Roman" w:cs="Times New Roman"/>
                      <w:color w:val="auto"/>
                      <w:sz w:val="18"/>
                      <w:szCs w:val="18"/>
                      <w:lang w:val="en-US" w:eastAsia="zh-CN"/>
                    </w:rPr>
                    <w:t>、含油沙</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设置危废间集中收集，定期交由有资质的单位处理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2</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3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eastAsia="zh-CN"/>
                    </w:rPr>
                  </w:pPr>
                </w:p>
              </w:tc>
              <w:tc>
                <w:tcPr>
                  <w:tcW w:w="128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sz w:val="18"/>
                      <w:szCs w:val="18"/>
                      <w:lang w:val="zh-CN"/>
                    </w:rPr>
                    <w:t>含油工作服、手套</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设置危废间集中收集，定期</w:t>
                  </w:r>
                  <w:r>
                    <w:rPr>
                      <w:rFonts w:hint="default" w:ascii="Times New Roman" w:hAnsi="Times New Roman" w:eastAsia="宋体" w:cs="Times New Roman"/>
                      <w:b w:val="0"/>
                      <w:bCs w:val="0"/>
                      <w:color w:val="auto"/>
                      <w:sz w:val="18"/>
                      <w:szCs w:val="18"/>
                      <w:lang w:val="zh-CN" w:eastAsia="zh-CN"/>
                    </w:rPr>
                    <w:t>交由</w:t>
                  </w:r>
                  <w:r>
                    <w:rPr>
                      <w:rFonts w:hint="default" w:ascii="Times New Roman" w:hAnsi="Times New Roman" w:eastAsia="宋体" w:cs="Times New Roman"/>
                      <w:b w:val="0"/>
                      <w:bCs w:val="0"/>
                      <w:color w:val="auto"/>
                      <w:sz w:val="18"/>
                      <w:szCs w:val="18"/>
                      <w:lang w:eastAsia="zh-CN"/>
                    </w:rPr>
                    <w:t>有资质的单位处理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3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p>
              </w:tc>
              <w:tc>
                <w:tcPr>
                  <w:tcW w:w="128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罐底油泥</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val="0"/>
                      <w:bCs w:val="0"/>
                      <w:color w:val="auto"/>
                      <w:sz w:val="18"/>
                      <w:szCs w:val="18"/>
                      <w:lang w:val="en-US" w:eastAsia="zh-CN"/>
                    </w:rPr>
                    <w:t>定期</w:t>
                  </w:r>
                  <w:r>
                    <w:rPr>
                      <w:rFonts w:hint="default" w:ascii="Times New Roman" w:hAnsi="Times New Roman" w:eastAsia="宋体" w:cs="Times New Roman"/>
                      <w:b w:val="0"/>
                      <w:bCs w:val="0"/>
                      <w:color w:val="auto"/>
                      <w:sz w:val="18"/>
                      <w:szCs w:val="18"/>
                      <w:lang w:val="zh-CN" w:eastAsia="zh-CN"/>
                    </w:rPr>
                    <w:t>清理出来后交由</w:t>
                  </w:r>
                  <w:r>
                    <w:rPr>
                      <w:rFonts w:hint="default" w:ascii="Times New Roman" w:hAnsi="Times New Roman" w:eastAsia="宋体" w:cs="Times New Roman"/>
                      <w:b w:val="0"/>
                      <w:bCs w:val="0"/>
                      <w:color w:val="auto"/>
                      <w:sz w:val="18"/>
                      <w:szCs w:val="18"/>
                      <w:lang w:eastAsia="zh-CN"/>
                    </w:rPr>
                    <w:t>有资质的单位处理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4" w:hRule="atLeast"/>
                <w:jc w:val="center"/>
              </w:trPr>
              <w:tc>
                <w:tcPr>
                  <w:tcW w:w="5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3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128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生活垃圾</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依托已有</w:t>
                  </w:r>
                  <w:r>
                    <w:rPr>
                      <w:rFonts w:hint="default" w:ascii="Times New Roman" w:hAnsi="Times New Roman" w:cs="Times New Roman"/>
                      <w:color w:val="auto"/>
                      <w:sz w:val="18"/>
                      <w:szCs w:val="18"/>
                      <w:lang w:val="en-US" w:eastAsia="zh-CN"/>
                    </w:rPr>
                    <w:t>的</w:t>
                  </w:r>
                  <w:r>
                    <w:rPr>
                      <w:rFonts w:hint="default" w:ascii="Times New Roman" w:hAnsi="Times New Roman" w:eastAsia="宋体" w:cs="Times New Roman"/>
                      <w:color w:val="auto"/>
                      <w:sz w:val="18"/>
                      <w:szCs w:val="18"/>
                      <w:lang w:val="en-US" w:eastAsia="zh-CN"/>
                    </w:rPr>
                    <w:t>设施集中收集，由环卫部门负责清运处理</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2117" w:type="dxa"/>
                  <w:gridSpan w:val="4"/>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环境管理</w:t>
                  </w: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强化施工管理，防渗施工阶段的每个环节均留取影像资料，以备检查</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9" w:hRule="atLeast"/>
                <w:jc w:val="center"/>
              </w:trPr>
              <w:tc>
                <w:tcPr>
                  <w:tcW w:w="2117" w:type="dxa"/>
                  <w:gridSpan w:val="4"/>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设置环境管理人员，</w:t>
                  </w:r>
                  <w:r>
                    <w:rPr>
                      <w:rFonts w:hint="default" w:ascii="Times New Roman" w:hAnsi="Times New Roman" w:cs="Times New Roman"/>
                      <w:color w:val="auto"/>
                      <w:sz w:val="18"/>
                      <w:szCs w:val="18"/>
                      <w:lang w:val="en-US" w:eastAsia="zh-CN"/>
                    </w:rPr>
                    <w:t>建立环境保护制度、污染物设施运行制度等；厂内</w:t>
                  </w:r>
                  <w:r>
                    <w:rPr>
                      <w:rFonts w:hint="default" w:ascii="Times New Roman" w:hAnsi="Times New Roman" w:eastAsia="宋体" w:cs="Times New Roman"/>
                      <w:color w:val="auto"/>
                      <w:sz w:val="18"/>
                      <w:szCs w:val="18"/>
                    </w:rPr>
                    <w:t>设置</w:t>
                  </w:r>
                  <w:r>
                    <w:rPr>
                      <w:rFonts w:hint="default" w:ascii="Times New Roman" w:hAnsi="Times New Roman" w:cs="Times New Roman"/>
                      <w:color w:val="auto"/>
                      <w:sz w:val="18"/>
                      <w:szCs w:val="18"/>
                      <w:lang w:val="en-US" w:eastAsia="zh-CN"/>
                    </w:rPr>
                    <w:t>各类</w:t>
                  </w:r>
                  <w:r>
                    <w:rPr>
                      <w:rFonts w:hint="default" w:ascii="Times New Roman" w:hAnsi="Times New Roman" w:eastAsia="宋体" w:cs="Times New Roman"/>
                      <w:color w:val="auto"/>
                      <w:sz w:val="18"/>
                      <w:szCs w:val="18"/>
                    </w:rPr>
                    <w:t>标志牌</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jc w:val="center"/>
              </w:trPr>
              <w:tc>
                <w:tcPr>
                  <w:tcW w:w="2117" w:type="dxa"/>
                  <w:gridSpan w:val="4"/>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c>
                <w:tcPr>
                  <w:tcW w:w="4759"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定期</w:t>
                  </w:r>
                  <w:r>
                    <w:rPr>
                      <w:rFonts w:hint="default" w:ascii="Times New Roman" w:hAnsi="Times New Roman" w:cs="Times New Roman"/>
                      <w:color w:val="auto"/>
                      <w:sz w:val="18"/>
                      <w:szCs w:val="18"/>
                      <w:lang w:val="en-US" w:eastAsia="zh-CN"/>
                    </w:rPr>
                    <w:t>进行环境</w:t>
                  </w:r>
                  <w:r>
                    <w:rPr>
                      <w:rFonts w:hint="default" w:ascii="Times New Roman" w:hAnsi="Times New Roman" w:eastAsia="宋体" w:cs="Times New Roman"/>
                      <w:color w:val="auto"/>
                      <w:sz w:val="18"/>
                      <w:szCs w:val="18"/>
                    </w:rPr>
                    <w:t>监测</w:t>
                  </w:r>
                  <w:r>
                    <w:rPr>
                      <w:rFonts w:hint="default" w:ascii="Times New Roman" w:hAnsi="Times New Roman" w:cs="Times New Roman"/>
                      <w:color w:val="auto"/>
                      <w:sz w:val="18"/>
                      <w:szCs w:val="18"/>
                      <w:lang w:val="en-US" w:eastAsia="zh-CN"/>
                    </w:rPr>
                    <w:t>和污染物排放监测</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87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w:t>
                  </w:r>
                  <w:r>
                    <w:rPr>
                      <w:rFonts w:hint="default" w:ascii="Times New Roman" w:hAnsi="Times New Roman" w:cs="Times New Roman"/>
                      <w:color w:val="auto"/>
                      <w:sz w:val="18"/>
                      <w:szCs w:val="18"/>
                      <w:lang w:val="en-US" w:eastAsia="zh-CN"/>
                    </w:rPr>
                    <w:t xml:space="preserve"> </w:t>
                  </w:r>
                  <w:r>
                    <w:rPr>
                      <w:rFonts w:hint="default" w:ascii="Times New Roman" w:hAnsi="Times New Roman" w:eastAsia="宋体" w:cs="Times New Roman"/>
                      <w:color w:val="auto"/>
                      <w:sz w:val="18"/>
                      <w:szCs w:val="18"/>
                    </w:rPr>
                    <w:t>计</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9.4</w:t>
                  </w:r>
                </w:p>
              </w:tc>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76" w:lineRule="exact"/>
                    <w:ind w:left="10" w:leftChars="5" w:right="10" w:rightChars="5"/>
                    <w:jc w:val="center"/>
                    <w:textAlignment w:val="auto"/>
                    <w:rPr>
                      <w:rFonts w:hint="default" w:ascii="Times New Roman" w:hAnsi="Times New Roman" w:eastAsia="宋体" w:cs="Times New Roman"/>
                      <w:color w:val="auto"/>
                      <w:sz w:val="18"/>
                      <w:szCs w:val="18"/>
                    </w:rPr>
                  </w:pPr>
                </w:p>
              </w:tc>
            </w:tr>
          </w:tbl>
          <w:p>
            <w:pPr>
              <w:numPr>
                <w:ilvl w:val="0"/>
                <w:numId w:val="19"/>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en-US" w:eastAsia="zh-CN"/>
              </w:rPr>
            </w:pPr>
            <w:r>
              <w:rPr>
                <w:rFonts w:hint="eastAsia" w:ascii="Times New Roman" w:hAnsi="Times New Roman" w:eastAsia="黑体" w:cs="Times New Roman"/>
                <w:color w:val="auto"/>
                <w:kern w:val="0"/>
                <w:sz w:val="22"/>
                <w:szCs w:val="22"/>
                <w:lang w:val="en-US" w:eastAsia="zh-CN"/>
              </w:rPr>
              <w:t>迁建前后“三本帐”</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项目污染物排放“三本帐”</w:t>
            </w:r>
          </w:p>
          <w:tbl>
            <w:tblPr>
              <w:tblStyle w:val="17"/>
              <w:tblW w:w="80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225"/>
              <w:gridCol w:w="1410"/>
              <w:gridCol w:w="1338"/>
              <w:gridCol w:w="1104"/>
              <w:gridCol w:w="1467"/>
              <w:gridCol w:w="6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68" w:type="dxa"/>
                  <w:tcBorders>
                    <w:tl2br w:val="single" w:color="auto" w:sz="4" w:space="0"/>
                  </w:tcBorders>
                  <w:noWrap w:val="0"/>
                  <w:tcMar>
                    <w:left w:w="28" w:type="dxa"/>
                    <w:right w:w="28" w:type="dxa"/>
                  </w:tcMar>
                  <w:vAlign w:val="center"/>
                </w:tcPr>
                <w:p>
                  <w:pPr>
                    <w:keepNext w:val="0"/>
                    <w:keepLines w:val="0"/>
                    <w:pageBreakBefore w:val="0"/>
                    <w:widowControl w:val="0"/>
                    <w:kinsoku/>
                    <w:wordWrap w:val="0"/>
                    <w:overflowPunct/>
                    <w:topLinePunct w:val="0"/>
                    <w:autoSpaceDE w:val="0"/>
                    <w:autoSpaceDN w:val="0"/>
                    <w:bidi w:val="0"/>
                    <w:adjustRightInd w:val="0"/>
                    <w:snapToGrid/>
                    <w:spacing w:line="280" w:lineRule="exact"/>
                    <w:ind w:left="-53" w:leftChars="-25" w:right="-53" w:rightChars="-25" w:firstLine="0" w:firstLineChars="0"/>
                    <w:jc w:val="right"/>
                    <w:textAlignment w:val="auto"/>
                    <w:rPr>
                      <w:rFonts w:hint="eastAsia" w:ascii="Times New Roman" w:hAnsi="Times New Roman" w:eastAsia="宋体" w:cs="Times New Roman"/>
                      <w:b/>
                      <w:bCs/>
                      <w:color w:val="auto"/>
                      <w:kern w:val="0"/>
                      <w:sz w:val="18"/>
                      <w:szCs w:val="18"/>
                      <w:lang w:val="en-US" w:eastAsia="zh-CN"/>
                    </w:rPr>
                  </w:pPr>
                  <w:r>
                    <w:rPr>
                      <w:rFonts w:hint="default" w:ascii="Times New Roman" w:hAnsi="Times New Roman" w:cs="Times New Roman"/>
                      <w:b/>
                      <w:bCs/>
                      <w:color w:val="auto"/>
                      <w:kern w:val="0"/>
                      <w:sz w:val="18"/>
                      <w:szCs w:val="18"/>
                    </w:rPr>
                    <w:t>项目</w:t>
                  </w:r>
                  <w:r>
                    <w:rPr>
                      <w:rFonts w:hint="eastAsia" w:cs="Times New Roman"/>
                      <w:b/>
                      <w:bCs/>
                      <w:color w:val="auto"/>
                      <w:kern w:val="0"/>
                      <w:sz w:val="18"/>
                      <w:szCs w:val="18"/>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280" w:lineRule="exact"/>
                    <w:ind w:right="-53" w:rightChars="-25"/>
                    <w:jc w:val="left"/>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分类</w:t>
                  </w:r>
                </w:p>
              </w:tc>
              <w:tc>
                <w:tcPr>
                  <w:tcW w:w="1225"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污染物名称</w:t>
                  </w:r>
                </w:p>
              </w:tc>
              <w:tc>
                <w:tcPr>
                  <w:tcW w:w="1410"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现有工程排放量</w:t>
                  </w:r>
                </w:p>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（固体废物产生量）</w:t>
                  </w:r>
                </w:p>
              </w:tc>
              <w:tc>
                <w:tcPr>
                  <w:tcW w:w="1338"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本项目排放量</w:t>
                  </w:r>
                </w:p>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（固体废物产生量）</w:t>
                  </w:r>
                </w:p>
              </w:tc>
              <w:tc>
                <w:tcPr>
                  <w:tcW w:w="1104"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以新带老削减量（新建项目不填）</w:t>
                  </w:r>
                </w:p>
              </w:tc>
              <w:tc>
                <w:tcPr>
                  <w:tcW w:w="1467"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本项目建成后全厂排放量（固体废物产生量）</w:t>
                  </w:r>
                </w:p>
              </w:tc>
              <w:tc>
                <w:tcPr>
                  <w:tcW w:w="625"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变化量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废气</w:t>
                  </w:r>
                </w:p>
              </w:tc>
              <w:tc>
                <w:tcPr>
                  <w:tcW w:w="12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非甲烷总烃</w:t>
                  </w:r>
                </w:p>
              </w:tc>
              <w:tc>
                <w:tcPr>
                  <w:tcW w:w="141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0.2t/a</w:t>
                  </w:r>
                </w:p>
              </w:tc>
              <w:tc>
                <w:tcPr>
                  <w:tcW w:w="133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0.2t/a</w:t>
                  </w:r>
                </w:p>
              </w:tc>
              <w:tc>
                <w:tcPr>
                  <w:tcW w:w="110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0.2t/a</w:t>
                  </w:r>
                </w:p>
              </w:tc>
              <w:tc>
                <w:tcPr>
                  <w:tcW w:w="1467"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0.2t/a</w:t>
                  </w:r>
                </w:p>
              </w:tc>
              <w:tc>
                <w:tcPr>
                  <w:tcW w:w="625"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废水</w:t>
                  </w:r>
                </w:p>
              </w:tc>
              <w:tc>
                <w:tcPr>
                  <w:tcW w:w="12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生活污水</w:t>
                  </w:r>
                </w:p>
              </w:tc>
              <w:tc>
                <w:tcPr>
                  <w:tcW w:w="141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151.2</w:t>
                  </w:r>
                  <w:r>
                    <w:rPr>
                      <w:rFonts w:hint="default" w:ascii="Times New Roman" w:hAnsi="Times New Roman" w:eastAsia="宋体" w:cs="Times New Roman"/>
                      <w:color w:val="auto"/>
                      <w:sz w:val="18"/>
                      <w:szCs w:val="18"/>
                      <w:lang w:val="zh-CN" w:eastAsia="zh-CN"/>
                    </w:rPr>
                    <w:t>m</w:t>
                  </w:r>
                  <w:r>
                    <w:rPr>
                      <w:rFonts w:hint="eastAsia" w:ascii="Times New Roman" w:hAnsi="Times New Roman" w:eastAsia="宋体" w:cs="Times New Roman"/>
                      <w:color w:val="auto"/>
                      <w:sz w:val="18"/>
                      <w:szCs w:val="18"/>
                      <w:lang w:val="en-US" w:eastAsia="zh-CN"/>
                    </w:rPr>
                    <w:t>³</w:t>
                  </w:r>
                  <w:r>
                    <w:rPr>
                      <w:rFonts w:hint="default" w:ascii="Times New Roman" w:hAnsi="Times New Roman" w:eastAsia="宋体" w:cs="Times New Roman"/>
                      <w:color w:val="auto"/>
                      <w:sz w:val="18"/>
                      <w:szCs w:val="18"/>
                      <w:lang w:val="zh-CN" w:eastAsia="zh-CN"/>
                    </w:rPr>
                    <w:t>/a</w:t>
                  </w:r>
                </w:p>
              </w:tc>
              <w:tc>
                <w:tcPr>
                  <w:tcW w:w="133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151.2</w:t>
                  </w:r>
                  <w:r>
                    <w:rPr>
                      <w:rFonts w:hint="default" w:ascii="Times New Roman" w:hAnsi="Times New Roman" w:eastAsia="宋体" w:cs="Times New Roman"/>
                      <w:color w:val="auto"/>
                      <w:sz w:val="18"/>
                      <w:szCs w:val="18"/>
                      <w:lang w:val="zh-CN" w:eastAsia="zh-CN"/>
                    </w:rPr>
                    <w:t>m</w:t>
                  </w:r>
                  <w:r>
                    <w:rPr>
                      <w:rFonts w:hint="eastAsia" w:ascii="Times New Roman" w:hAnsi="Times New Roman" w:eastAsia="宋体" w:cs="Times New Roman"/>
                      <w:color w:val="auto"/>
                      <w:sz w:val="18"/>
                      <w:szCs w:val="18"/>
                      <w:lang w:val="en-US" w:eastAsia="zh-CN"/>
                    </w:rPr>
                    <w:t>³</w:t>
                  </w:r>
                  <w:r>
                    <w:rPr>
                      <w:rFonts w:hint="default" w:ascii="Times New Roman" w:hAnsi="Times New Roman" w:eastAsia="宋体" w:cs="Times New Roman"/>
                      <w:color w:val="auto"/>
                      <w:sz w:val="18"/>
                      <w:szCs w:val="18"/>
                      <w:lang w:val="zh-CN" w:eastAsia="zh-CN"/>
                    </w:rPr>
                    <w:t>/a</w:t>
                  </w:r>
                </w:p>
              </w:tc>
              <w:tc>
                <w:tcPr>
                  <w:tcW w:w="110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151.2</w:t>
                  </w:r>
                  <w:r>
                    <w:rPr>
                      <w:rFonts w:hint="default" w:ascii="Times New Roman" w:hAnsi="Times New Roman" w:eastAsia="宋体" w:cs="Times New Roman"/>
                      <w:color w:val="auto"/>
                      <w:sz w:val="18"/>
                      <w:szCs w:val="18"/>
                      <w:lang w:val="zh-CN" w:eastAsia="zh-CN"/>
                    </w:rPr>
                    <w:t>m</w:t>
                  </w:r>
                  <w:r>
                    <w:rPr>
                      <w:rFonts w:hint="eastAsia" w:ascii="Times New Roman" w:hAnsi="Times New Roman" w:eastAsia="宋体" w:cs="Times New Roman"/>
                      <w:color w:val="auto"/>
                      <w:sz w:val="18"/>
                      <w:szCs w:val="18"/>
                      <w:lang w:val="en-US" w:eastAsia="zh-CN"/>
                    </w:rPr>
                    <w:t>³</w:t>
                  </w:r>
                  <w:r>
                    <w:rPr>
                      <w:rFonts w:hint="default" w:ascii="Times New Roman" w:hAnsi="Times New Roman" w:eastAsia="宋体" w:cs="Times New Roman"/>
                      <w:color w:val="auto"/>
                      <w:sz w:val="18"/>
                      <w:szCs w:val="18"/>
                      <w:lang w:val="zh-CN" w:eastAsia="zh-CN"/>
                    </w:rPr>
                    <w:t>/a</w:t>
                  </w:r>
                </w:p>
              </w:tc>
              <w:tc>
                <w:tcPr>
                  <w:tcW w:w="1467"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151.2</w:t>
                  </w:r>
                  <w:r>
                    <w:rPr>
                      <w:rFonts w:hint="default" w:ascii="Times New Roman" w:hAnsi="Times New Roman" w:eastAsia="宋体" w:cs="Times New Roman"/>
                      <w:color w:val="auto"/>
                      <w:sz w:val="18"/>
                      <w:szCs w:val="18"/>
                      <w:lang w:val="zh-CN" w:eastAsia="zh-CN"/>
                    </w:rPr>
                    <w:t>m</w:t>
                  </w:r>
                  <w:r>
                    <w:rPr>
                      <w:rFonts w:hint="eastAsia" w:ascii="Times New Roman" w:hAnsi="Times New Roman" w:eastAsia="宋体" w:cs="Times New Roman"/>
                      <w:color w:val="auto"/>
                      <w:sz w:val="18"/>
                      <w:szCs w:val="18"/>
                      <w:lang w:val="en-US" w:eastAsia="zh-CN"/>
                    </w:rPr>
                    <w:t>³</w:t>
                  </w:r>
                  <w:r>
                    <w:rPr>
                      <w:rFonts w:hint="default" w:ascii="Times New Roman" w:hAnsi="Times New Roman" w:eastAsia="宋体" w:cs="Times New Roman"/>
                      <w:color w:val="auto"/>
                      <w:sz w:val="18"/>
                      <w:szCs w:val="18"/>
                      <w:lang w:val="zh-CN" w:eastAsia="zh-CN"/>
                    </w:rPr>
                    <w:t>/a</w:t>
                  </w:r>
                </w:p>
              </w:tc>
              <w:tc>
                <w:tcPr>
                  <w:tcW w:w="625"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一般</w:t>
                  </w:r>
                </w:p>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固体废物</w:t>
                  </w:r>
                </w:p>
              </w:tc>
              <w:tc>
                <w:tcPr>
                  <w:tcW w:w="12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生活垃圾</w:t>
                  </w:r>
                </w:p>
              </w:tc>
              <w:tc>
                <w:tcPr>
                  <w:tcW w:w="141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0.7t/a</w:t>
                  </w:r>
                </w:p>
              </w:tc>
              <w:tc>
                <w:tcPr>
                  <w:tcW w:w="133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0.7t/a</w:t>
                  </w:r>
                </w:p>
              </w:tc>
              <w:tc>
                <w:tcPr>
                  <w:tcW w:w="110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0.7t/a</w:t>
                  </w:r>
                </w:p>
              </w:tc>
              <w:tc>
                <w:tcPr>
                  <w:tcW w:w="1467"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0.7t/a</w:t>
                  </w:r>
                </w:p>
              </w:tc>
              <w:tc>
                <w:tcPr>
                  <w:tcW w:w="625"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68"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危险废物</w:t>
                  </w:r>
                </w:p>
              </w:tc>
              <w:tc>
                <w:tcPr>
                  <w:tcW w:w="1225"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油泥</w:t>
                  </w:r>
                </w:p>
              </w:tc>
              <w:tc>
                <w:tcPr>
                  <w:tcW w:w="141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eastAsia="宋体" w:cs="Times New Roman"/>
                      <w:color w:val="auto"/>
                      <w:sz w:val="18"/>
                      <w:szCs w:val="18"/>
                      <w:lang w:val="en-US" w:eastAsia="zh-CN"/>
                    </w:rPr>
                    <w:t>0.5t/次</w:t>
                  </w:r>
                </w:p>
              </w:tc>
              <w:tc>
                <w:tcPr>
                  <w:tcW w:w="133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0.5t/次</w:t>
                  </w:r>
                </w:p>
              </w:tc>
              <w:tc>
                <w:tcPr>
                  <w:tcW w:w="110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sz w:val="18"/>
                      <w:szCs w:val="18"/>
                      <w:lang w:val="en-US" w:eastAsia="zh-CN"/>
                    </w:rPr>
                    <w:t>0.5t/次</w:t>
                  </w:r>
                </w:p>
              </w:tc>
              <w:tc>
                <w:tcPr>
                  <w:tcW w:w="1467"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lang w:val="en-US" w:eastAsia="zh-CN"/>
                    </w:rPr>
                    <w:t>0.5t/次</w:t>
                  </w:r>
                </w:p>
              </w:tc>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68"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rPr>
                  </w:pPr>
                </w:p>
              </w:tc>
              <w:tc>
                <w:tcPr>
                  <w:tcW w:w="1225"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84" w:leftChars="-40" w:right="-84" w:rightChars="-4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滴漏废矿物油</w:t>
                  </w:r>
                </w:p>
              </w:tc>
              <w:tc>
                <w:tcPr>
                  <w:tcW w:w="141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eastAsia="宋体" w:cs="Times New Roman"/>
                      <w:color w:val="auto"/>
                      <w:sz w:val="18"/>
                      <w:szCs w:val="18"/>
                      <w:lang w:val="en-US" w:eastAsia="zh-CN"/>
                    </w:rPr>
                    <w:t>0.8t/a</w:t>
                  </w:r>
                </w:p>
              </w:tc>
              <w:tc>
                <w:tcPr>
                  <w:tcW w:w="133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0.8t/a</w:t>
                  </w:r>
                </w:p>
              </w:tc>
              <w:tc>
                <w:tcPr>
                  <w:tcW w:w="110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lang w:val="en-US" w:eastAsia="zh-CN"/>
                    </w:rPr>
                    <w:t>0.8t/a</w:t>
                  </w:r>
                </w:p>
              </w:tc>
              <w:tc>
                <w:tcPr>
                  <w:tcW w:w="1467"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0.8t/a</w:t>
                  </w:r>
                </w:p>
              </w:tc>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68"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rPr>
                  </w:pPr>
                </w:p>
              </w:tc>
              <w:tc>
                <w:tcPr>
                  <w:tcW w:w="1225"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含油工作服、手套</w:t>
                  </w:r>
                </w:p>
              </w:tc>
              <w:tc>
                <w:tcPr>
                  <w:tcW w:w="141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eastAsia="宋体" w:cs="Times New Roman"/>
                      <w:color w:val="auto"/>
                      <w:sz w:val="18"/>
                      <w:szCs w:val="18"/>
                      <w:lang w:val="en-US" w:eastAsia="zh-CN"/>
                    </w:rPr>
                    <w:t>0.01t/a</w:t>
                  </w:r>
                </w:p>
              </w:tc>
              <w:tc>
                <w:tcPr>
                  <w:tcW w:w="133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0.01t/a</w:t>
                  </w:r>
                </w:p>
              </w:tc>
              <w:tc>
                <w:tcPr>
                  <w:tcW w:w="110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lang w:val="en-US" w:eastAsia="zh-CN"/>
                    </w:rPr>
                    <w:t>0.01t/a</w:t>
                  </w:r>
                </w:p>
              </w:tc>
              <w:tc>
                <w:tcPr>
                  <w:tcW w:w="1467"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0.01t/a</w:t>
                  </w:r>
                </w:p>
              </w:tc>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68"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rPr>
                  </w:pPr>
                </w:p>
              </w:tc>
              <w:tc>
                <w:tcPr>
                  <w:tcW w:w="1225"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含油锯末、沙、吸油棉</w:t>
                  </w:r>
                </w:p>
              </w:tc>
              <w:tc>
                <w:tcPr>
                  <w:tcW w:w="141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eastAsia="宋体" w:cs="Times New Roman"/>
                      <w:color w:val="auto"/>
                      <w:sz w:val="18"/>
                      <w:szCs w:val="18"/>
                      <w:lang w:val="en-US" w:eastAsia="zh-CN"/>
                    </w:rPr>
                    <w:t>0.01t/a</w:t>
                  </w:r>
                </w:p>
              </w:tc>
              <w:tc>
                <w:tcPr>
                  <w:tcW w:w="133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eastAsia="宋体" w:cs="Times New Roman"/>
                      <w:color w:val="auto"/>
                      <w:sz w:val="18"/>
                      <w:szCs w:val="18"/>
                      <w:lang w:val="en-US" w:eastAsia="zh-CN"/>
                    </w:rPr>
                    <w:t>0.01t/a</w:t>
                  </w:r>
                </w:p>
              </w:tc>
              <w:tc>
                <w:tcPr>
                  <w:tcW w:w="110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0.01t/a</w:t>
                  </w:r>
                </w:p>
              </w:tc>
              <w:tc>
                <w:tcPr>
                  <w:tcW w:w="1467"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0.01t/a</w:t>
                  </w:r>
                </w:p>
              </w:tc>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0</w:t>
                  </w:r>
                </w:p>
              </w:tc>
            </w:tr>
          </w:tbl>
          <w:p>
            <w:pPr>
              <w:numPr>
                <w:ilvl w:val="0"/>
                <w:numId w:val="19"/>
              </w:numPr>
              <w:autoSpaceDE w:val="0"/>
              <w:autoSpaceDN w:val="0"/>
              <w:adjustRightInd w:val="0"/>
              <w:snapToGrid w:val="0"/>
              <w:spacing w:line="400" w:lineRule="exact"/>
              <w:ind w:right="-31" w:rightChars="-15"/>
              <w:rPr>
                <w:rFonts w:hint="default" w:ascii="Times New Roman" w:hAnsi="Times New Roman" w:eastAsia="黑体" w:cs="Times New Roman"/>
                <w:color w:val="auto"/>
                <w:kern w:val="0"/>
                <w:sz w:val="22"/>
                <w:szCs w:val="22"/>
                <w:lang w:val="en-US" w:eastAsia="zh-CN"/>
              </w:rPr>
            </w:pPr>
            <w:r>
              <w:rPr>
                <w:rFonts w:hint="eastAsia" w:ascii="Times New Roman" w:hAnsi="Times New Roman" w:eastAsia="黑体" w:cs="Times New Roman"/>
                <w:color w:val="auto"/>
                <w:kern w:val="0"/>
                <w:sz w:val="22"/>
                <w:szCs w:val="22"/>
                <w:lang w:val="en-US" w:eastAsia="zh-CN"/>
              </w:rPr>
              <w:t>排污口设置要求</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eastAsia" w:ascii="Times New Roman" w:hAnsi="Times New Roman" w:eastAsia="宋体" w:cs="Times New Roman"/>
                <w:color w:val="auto"/>
                <w:kern w:val="0"/>
                <w:highlight w:val="none"/>
                <w:lang w:eastAsia="zh-CN"/>
              </w:rPr>
            </w:pPr>
            <w:r>
              <w:rPr>
                <w:rFonts w:hint="default" w:ascii="Times New Roman" w:hAnsi="Times New Roman" w:eastAsia="宋体" w:cs="Times New Roman"/>
                <w:color w:val="auto"/>
                <w:kern w:val="0"/>
                <w:highlight w:val="none"/>
              </w:rPr>
              <w:t>依照</w:t>
            </w:r>
            <w:r>
              <w:rPr>
                <w:rFonts w:hint="eastAsia" w:ascii="Times New Roman" w:hAnsi="Times New Roman" w:eastAsia="宋体" w:cs="Times New Roman"/>
                <w:color w:val="auto"/>
                <w:kern w:val="0"/>
                <w:highlight w:val="none"/>
                <w:lang w:eastAsia="zh-CN"/>
              </w:rPr>
              <w:t>《排污许可管理条例》（国务院令 第736号），“</w:t>
            </w:r>
            <w:r>
              <w:rPr>
                <w:rFonts w:hint="default" w:ascii="Times New Roman" w:hAnsi="Times New Roman" w:eastAsia="宋体" w:cs="Times New Roman"/>
                <w:color w:val="auto"/>
                <w:kern w:val="0"/>
                <w:highlight w:val="none"/>
              </w:rPr>
              <w:t>实行排污许可管理的企业事业单位和其他生产经营者（以下称排污单位），应当依照本条例规定申请取得排污许可证；未取得排污许可证的，不得排放污染物。</w:t>
            </w:r>
            <w:r>
              <w:rPr>
                <w:rFonts w:hint="eastAsia" w:ascii="Times New Roman" w:hAnsi="Times New Roman" w:eastAsia="宋体" w:cs="Times New Roman"/>
                <w:color w:val="auto"/>
                <w:kern w:val="0"/>
                <w:highlight w:val="none"/>
                <w:lang w:eastAsia="zh-CN"/>
              </w:rPr>
              <w:t>”</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因此，建设单位在项目正式投产前，应按照《排污许可管理条例》（国务院令 第736号）、《排污许可管理办法（试行）》（部令 第48号）、《排污许可证管理暂行规定》《</w:t>
            </w:r>
            <w:r>
              <w:rPr>
                <w:rFonts w:hint="eastAsia" w:ascii="Times New Roman" w:hAnsi="Times New Roman" w:eastAsia="宋体" w:cs="Times New Roman"/>
                <w:color w:val="auto"/>
                <w:kern w:val="0"/>
                <w:highlight w:val="none"/>
                <w:lang w:val="en-US" w:eastAsia="zh-CN"/>
              </w:rPr>
              <w:fldChar w:fldCharType="begin"/>
            </w:r>
            <w:r>
              <w:rPr>
                <w:rFonts w:hint="eastAsia" w:ascii="Times New Roman" w:hAnsi="Times New Roman" w:eastAsia="宋体" w:cs="Times New Roman"/>
                <w:color w:val="auto"/>
                <w:kern w:val="0"/>
                <w:highlight w:val="none"/>
                <w:lang w:val="en-US" w:eastAsia="zh-CN"/>
              </w:rPr>
              <w:instrText xml:space="preserve"> HYPERLINK "http://permit.mee.gov.cn/permitExt/images/20180408135627743.pdf" \t "http://permit.mee.gov.cn/perxxgkinfo/syssb/xkgg/_blank" </w:instrText>
            </w:r>
            <w:r>
              <w:rPr>
                <w:rFonts w:hint="eastAsia" w:ascii="Times New Roman" w:hAnsi="Times New Roman" w:eastAsia="宋体" w:cs="Times New Roman"/>
                <w:color w:val="auto"/>
                <w:kern w:val="0"/>
                <w:highlight w:val="none"/>
                <w:lang w:val="en-US" w:eastAsia="zh-CN"/>
              </w:rPr>
              <w:fldChar w:fldCharType="separate"/>
            </w:r>
            <w:r>
              <w:rPr>
                <w:rFonts w:hint="eastAsia" w:ascii="Times New Roman" w:hAnsi="Times New Roman" w:eastAsia="宋体" w:cs="Times New Roman"/>
                <w:color w:val="auto"/>
                <w:kern w:val="0"/>
                <w:highlight w:val="none"/>
                <w:lang w:val="en-US" w:eastAsia="zh-CN"/>
              </w:rPr>
              <w:t>排污许可证申请与核发技术规范 总则</w:t>
            </w:r>
            <w:r>
              <w:rPr>
                <w:rFonts w:hint="eastAsia" w:ascii="Times New Roman" w:hAnsi="Times New Roman" w:eastAsia="宋体" w:cs="Times New Roman"/>
                <w:color w:val="auto"/>
                <w:kern w:val="0"/>
                <w:highlight w:val="none"/>
                <w:lang w:val="en-US" w:eastAsia="zh-CN"/>
              </w:rPr>
              <w:fldChar w:fldCharType="end"/>
            </w:r>
            <w:r>
              <w:rPr>
                <w:rFonts w:hint="eastAsia" w:ascii="Times New Roman" w:hAnsi="Times New Roman" w:eastAsia="宋体" w:cs="Times New Roman"/>
                <w:color w:val="auto"/>
                <w:kern w:val="0"/>
                <w:highlight w:val="none"/>
                <w:lang w:val="en-US" w:eastAsia="zh-CN"/>
              </w:rPr>
              <w:t>》（HJ942—2018），向当地生态环境主管部门申请变更现有的排污许可手续。</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szCs w:val="21"/>
                <w:lang w:val="zh-CN"/>
              </w:rPr>
            </w:pP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szCs w:val="21"/>
              </w:rPr>
            </w:pP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szCs w:val="21"/>
              </w:rPr>
            </w:pP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szCs w:val="21"/>
              </w:rPr>
            </w:pP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szCs w:val="21"/>
              </w:rPr>
            </w:pP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szCs w:val="21"/>
              </w:rPr>
            </w:pP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szCs w:val="21"/>
              </w:rPr>
            </w:pP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szCs w:val="21"/>
              </w:rPr>
            </w:pP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szCs w:val="21"/>
              </w:rPr>
            </w:pP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szCs w:val="21"/>
              </w:rPr>
            </w:pP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szCs w:val="21"/>
              </w:rPr>
            </w:pP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FF"/>
                <w:szCs w:val="21"/>
              </w:rPr>
            </w:pPr>
          </w:p>
          <w:p>
            <w:pPr>
              <w:adjustRightInd w:val="0"/>
              <w:snapToGrid w:val="0"/>
              <w:spacing w:line="400" w:lineRule="exact"/>
              <w:ind w:left="-53" w:leftChars="-25" w:right="-53" w:rightChars="-25" w:firstLine="420" w:firstLineChars="200"/>
              <w:jc w:val="left"/>
              <w:rPr>
                <w:rFonts w:hint="default" w:ascii="Times New Roman" w:hAnsi="Times New Roman" w:cs="Times New Roman"/>
                <w:bCs/>
                <w:color w:val="0000FF"/>
                <w:spacing w:val="-10"/>
                <w:szCs w:val="21"/>
                <w:lang w:val="zh-CN"/>
              </w:rPr>
            </w:pPr>
            <w:r>
              <w:rPr>
                <w:rFonts w:hint="default" w:ascii="Times New Roman" w:hAnsi="Times New Roman" w:cs="Times New Roman"/>
                <w:color w:val="0000FF"/>
                <w:szCs w:val="21"/>
              </w:rPr>
              <w:t xml:space="preserve"> </w:t>
            </w:r>
          </w:p>
          <w:p>
            <w:pPr>
              <w:adjustRightInd w:val="0"/>
              <w:snapToGrid w:val="0"/>
              <w:rPr>
                <w:rFonts w:hint="default" w:ascii="Times New Roman" w:hAnsi="Times New Roman" w:cs="Times New Roman"/>
                <w:bCs/>
                <w:color w:val="0000FF"/>
                <w:spacing w:val="-10"/>
                <w:szCs w:val="21"/>
              </w:rPr>
            </w:pPr>
          </w:p>
        </w:tc>
      </w:tr>
    </w:tbl>
    <w:p>
      <w:pPr>
        <w:adjustRightInd w:val="0"/>
        <w:snapToGrid w:val="0"/>
        <w:spacing w:line="360" w:lineRule="auto"/>
        <w:rPr>
          <w:rFonts w:hint="default" w:ascii="Times New Roman" w:hAnsi="Times New Roman" w:cs="Times New Roman"/>
          <w:b/>
          <w:color w:val="0000FF"/>
          <w:ker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pgNumType w:fmt="numberInDash"/>
          <w:cols w:space="720" w:num="1"/>
          <w:formProt w:val="1"/>
          <w:docGrid w:linePitch="312" w:charSpace="0"/>
        </w:sectPr>
      </w:pPr>
    </w:p>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eastAsia="黑体" w:cs="Times New Roman"/>
          <w:snapToGrid w:val="0"/>
          <w:color w:val="auto"/>
          <w:kern w:val="0"/>
          <w:sz w:val="30"/>
          <w:szCs w:val="30"/>
        </w:rPr>
        <w:t>五、</w:t>
      </w:r>
      <w:bookmarkStart w:id="5" w:name="_Hlk54167917"/>
      <w:r>
        <w:rPr>
          <w:rFonts w:hint="default" w:ascii="Times New Roman" w:hAnsi="Times New Roman" w:eastAsia="黑体" w:cs="Times New Roman"/>
          <w:snapToGrid w:val="0"/>
          <w:color w:val="auto"/>
          <w:kern w:val="0"/>
          <w:sz w:val="30"/>
          <w:szCs w:val="30"/>
        </w:rPr>
        <w:t>环境保护措施监督检查清单</w:t>
      </w:r>
      <w:bookmarkEnd w:id="5"/>
    </w:p>
    <w:tbl>
      <w:tblPr>
        <w:tblStyle w:val="1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347"/>
        <w:gridCol w:w="1278"/>
        <w:gridCol w:w="2652"/>
        <w:gridCol w:w="24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tcBorders>
              <w:tl2br w:val="single" w:color="auto" w:sz="4" w:space="0"/>
            </w:tcBorders>
            <w:noWrap w:val="0"/>
            <w:vAlign w:val="top"/>
          </w:tcPr>
          <w:p>
            <w:pPr>
              <w:adjustRightInd w:val="0"/>
              <w:snapToGrid w:val="0"/>
              <w:spacing w:line="280" w:lineRule="exact"/>
              <w:ind w:left="-53" w:leftChars="-25" w:right="-53" w:rightChars="-25"/>
              <w:jc w:val="right"/>
              <w:rPr>
                <w:rFonts w:hint="default" w:ascii="Times New Roman" w:hAnsi="Times New Roman" w:cs="Times New Roman"/>
                <w:b/>
                <w:bCs/>
                <w:color w:val="auto"/>
                <w:szCs w:val="21"/>
              </w:rPr>
            </w:pPr>
            <w:r>
              <w:rPr>
                <w:rFonts w:hint="default" w:ascii="Times New Roman" w:hAnsi="Times New Roman" w:cs="Times New Roman"/>
                <w:b/>
                <w:bCs/>
                <w:color w:val="auto"/>
                <w:szCs w:val="21"/>
              </w:rPr>
              <w:t>内容</w:t>
            </w:r>
          </w:p>
          <w:p>
            <w:pPr>
              <w:adjustRightInd w:val="0"/>
              <w:snapToGrid w:val="0"/>
              <w:spacing w:line="280" w:lineRule="exact"/>
              <w:ind w:left="-53" w:leftChars="-25" w:right="-53" w:rightChars="-25"/>
              <w:rPr>
                <w:rFonts w:hint="default" w:ascii="Times New Roman" w:hAnsi="Times New Roman" w:cs="Times New Roman"/>
                <w:b/>
                <w:bCs/>
                <w:color w:val="auto"/>
                <w:szCs w:val="21"/>
              </w:rPr>
            </w:pPr>
            <w:r>
              <w:rPr>
                <w:rFonts w:hint="default" w:ascii="Times New Roman" w:hAnsi="Times New Roman" w:cs="Times New Roman"/>
                <w:b/>
                <w:bCs/>
                <w:color w:val="auto"/>
                <w:szCs w:val="21"/>
              </w:rPr>
              <w:t>要素</w:t>
            </w:r>
          </w:p>
        </w:tc>
        <w:tc>
          <w:tcPr>
            <w:tcW w:w="1347" w:type="dxa"/>
            <w:noWrap w:val="0"/>
            <w:vAlign w:val="center"/>
          </w:tcPr>
          <w:p>
            <w:pPr>
              <w:adjustRightInd w:val="0"/>
              <w:snapToGrid w:val="0"/>
              <w:spacing w:line="280" w:lineRule="exact"/>
              <w:ind w:left="-53" w:leftChars="-25" w:right="-53" w:rightChars="-25"/>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排放口（编号、名称）/污染源</w:t>
            </w:r>
          </w:p>
        </w:tc>
        <w:tc>
          <w:tcPr>
            <w:tcW w:w="1278" w:type="dxa"/>
            <w:noWrap w:val="0"/>
            <w:vAlign w:val="center"/>
          </w:tcPr>
          <w:p>
            <w:pPr>
              <w:adjustRightInd w:val="0"/>
              <w:snapToGrid w:val="0"/>
              <w:spacing w:line="280" w:lineRule="exact"/>
              <w:ind w:left="-53" w:leftChars="-25" w:right="-53" w:rightChars="-25"/>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污染物项目</w:t>
            </w:r>
          </w:p>
        </w:tc>
        <w:tc>
          <w:tcPr>
            <w:tcW w:w="2652" w:type="dxa"/>
            <w:noWrap w:val="0"/>
            <w:vAlign w:val="center"/>
          </w:tcPr>
          <w:p>
            <w:pPr>
              <w:adjustRightInd w:val="0"/>
              <w:snapToGrid w:val="0"/>
              <w:spacing w:line="280" w:lineRule="exact"/>
              <w:ind w:left="-53" w:leftChars="-25" w:right="-53" w:rightChars="-25"/>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环境保护措施</w:t>
            </w:r>
          </w:p>
        </w:tc>
        <w:tc>
          <w:tcPr>
            <w:tcW w:w="2486" w:type="dxa"/>
            <w:noWrap w:val="0"/>
            <w:vAlign w:val="center"/>
          </w:tcPr>
          <w:p>
            <w:pPr>
              <w:adjustRightInd w:val="0"/>
              <w:snapToGrid w:val="0"/>
              <w:spacing w:line="280" w:lineRule="exact"/>
              <w:ind w:left="-53" w:leftChars="-25" w:right="-53" w:rightChars="-25"/>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037" w:type="dxa"/>
            <w:vMerge w:val="restart"/>
            <w:noWrap w:val="0"/>
            <w:vAlign w:val="center"/>
          </w:tcPr>
          <w:p>
            <w:pPr>
              <w:adjustRightInd w:val="0"/>
              <w:snapToGrid w:val="0"/>
              <w:spacing w:line="280" w:lineRule="exact"/>
              <w:ind w:left="-71" w:leftChars="-34" w:right="-71" w:rightChars="-34"/>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大气环境</w:t>
            </w:r>
          </w:p>
        </w:tc>
        <w:tc>
          <w:tcPr>
            <w:tcW w:w="1347" w:type="dxa"/>
            <w:vMerge w:val="restart"/>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施工期</w:t>
            </w:r>
          </w:p>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项目区域</w:t>
            </w:r>
          </w:p>
        </w:tc>
        <w:tc>
          <w:tcPr>
            <w:tcW w:w="1278"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尾气、扬尘</w:t>
            </w:r>
          </w:p>
        </w:tc>
        <w:tc>
          <w:tcPr>
            <w:tcW w:w="2652" w:type="dxa"/>
            <w:noWrap w:val="0"/>
            <w:vAlign w:val="center"/>
          </w:tcPr>
          <w:p>
            <w:pPr>
              <w:adjustRightInd w:val="0"/>
              <w:snapToGrid w:val="0"/>
              <w:spacing w:line="300" w:lineRule="exact"/>
              <w:ind w:left="-71" w:leftChars="-34" w:right="-71" w:rightChars="-34"/>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洒水保湿，及时清扫、限制车速</w:t>
            </w:r>
          </w:p>
        </w:tc>
        <w:tc>
          <w:tcPr>
            <w:tcW w:w="2486"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pacing w:val="1"/>
                <w:sz w:val="18"/>
                <w:szCs w:val="21"/>
              </w:rPr>
              <w:t>《四川省施工场地扬尘排放标准》（DB512682-2020）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037" w:type="dxa"/>
            <w:vMerge w:val="continue"/>
            <w:noWrap w:val="0"/>
            <w:vAlign w:val="center"/>
          </w:tcPr>
          <w:p>
            <w:pPr>
              <w:adjustRightInd w:val="0"/>
              <w:snapToGrid w:val="0"/>
              <w:spacing w:line="280" w:lineRule="exact"/>
              <w:ind w:left="-71" w:leftChars="-34" w:right="-71" w:rightChars="-34"/>
              <w:jc w:val="center"/>
              <w:rPr>
                <w:rFonts w:hint="default" w:ascii="Times New Roman" w:hAnsi="Times New Roman" w:cs="Times New Roman"/>
                <w:color w:val="auto"/>
                <w:sz w:val="20"/>
                <w:szCs w:val="20"/>
              </w:rPr>
            </w:pPr>
          </w:p>
        </w:tc>
        <w:tc>
          <w:tcPr>
            <w:tcW w:w="1347" w:type="dxa"/>
            <w:vMerge w:val="continue"/>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p>
        </w:tc>
        <w:tc>
          <w:tcPr>
            <w:tcW w:w="1278" w:type="dxa"/>
            <w:noWrap w:val="0"/>
            <w:vAlign w:val="center"/>
          </w:tcPr>
          <w:p>
            <w:pPr>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有机废气</w:t>
            </w:r>
          </w:p>
        </w:tc>
        <w:tc>
          <w:tcPr>
            <w:tcW w:w="2652" w:type="dxa"/>
            <w:noWrap w:val="0"/>
            <w:vAlign w:val="center"/>
          </w:tcPr>
          <w:p>
            <w:pPr>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加强通风换气</w:t>
            </w:r>
          </w:p>
        </w:tc>
        <w:tc>
          <w:tcPr>
            <w:tcW w:w="2486"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pacing w:val="1"/>
                <w:sz w:val="18"/>
                <w:szCs w:val="21"/>
              </w:rPr>
              <w:t>《大气污染物综合排放标准》（</w:t>
            </w:r>
            <w:r>
              <w:rPr>
                <w:rFonts w:hint="default" w:ascii="Times New Roman" w:hAnsi="Times New Roman" w:eastAsia="Times New Roman" w:cs="Times New Roman"/>
                <w:color w:val="auto"/>
                <w:spacing w:val="1"/>
                <w:sz w:val="18"/>
                <w:szCs w:val="21"/>
              </w:rPr>
              <w:t>GB16297-1996</w:t>
            </w:r>
            <w:r>
              <w:rPr>
                <w:rFonts w:hint="default" w:ascii="Times New Roman" w:hAnsi="Times New Roman" w:cs="Times New Roman"/>
                <w:color w:val="auto"/>
                <w:spacing w:val="1"/>
                <w:sz w:val="18"/>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vMerge w:val="continue"/>
            <w:noWrap w:val="0"/>
            <w:vAlign w:val="center"/>
          </w:tcPr>
          <w:p>
            <w:pPr>
              <w:adjustRightInd w:val="0"/>
              <w:snapToGrid w:val="0"/>
              <w:spacing w:line="280" w:lineRule="exact"/>
              <w:ind w:left="-71" w:leftChars="-34" w:right="-71" w:rightChars="-34"/>
              <w:jc w:val="center"/>
              <w:rPr>
                <w:rFonts w:hint="default" w:ascii="Times New Roman" w:hAnsi="Times New Roman" w:cs="Times New Roman"/>
                <w:color w:val="auto"/>
                <w:sz w:val="20"/>
                <w:szCs w:val="20"/>
              </w:rPr>
            </w:pPr>
          </w:p>
        </w:tc>
        <w:tc>
          <w:tcPr>
            <w:tcW w:w="1347"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储油罐区、装卸</w:t>
            </w:r>
            <w:r>
              <w:rPr>
                <w:rFonts w:hint="default" w:ascii="Times New Roman" w:hAnsi="Times New Roman" w:cs="Times New Roman"/>
                <w:color w:val="auto"/>
                <w:sz w:val="18"/>
                <w:szCs w:val="18"/>
                <w:lang w:eastAsia="zh-CN"/>
              </w:rPr>
              <w:t>区</w:t>
            </w:r>
            <w:r>
              <w:rPr>
                <w:rFonts w:hint="default" w:ascii="Times New Roman" w:hAnsi="Times New Roman" w:cs="Times New Roman"/>
                <w:color w:val="auto"/>
                <w:sz w:val="18"/>
                <w:szCs w:val="18"/>
              </w:rPr>
              <w:t>SCX001</w:t>
            </w:r>
          </w:p>
        </w:tc>
        <w:tc>
          <w:tcPr>
            <w:tcW w:w="1278"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VOCs（非甲烷总烃）</w:t>
            </w:r>
          </w:p>
        </w:tc>
        <w:tc>
          <w:tcPr>
            <w:tcW w:w="2652"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加强通风换气</w:t>
            </w:r>
          </w:p>
        </w:tc>
        <w:tc>
          <w:tcPr>
            <w:tcW w:w="2486"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《挥发性有机物无组织排放控制标准》（GB 37822- 2019）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7" w:type="dxa"/>
            <w:vMerge w:val="restart"/>
            <w:noWrap w:val="0"/>
            <w:vAlign w:val="center"/>
          </w:tcPr>
          <w:p>
            <w:pPr>
              <w:adjustRightInd w:val="0"/>
              <w:snapToGrid w:val="0"/>
              <w:spacing w:line="280" w:lineRule="exact"/>
              <w:ind w:left="-71" w:leftChars="-34" w:right="-71" w:rightChars="-34"/>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地表水环境</w:t>
            </w:r>
          </w:p>
        </w:tc>
        <w:tc>
          <w:tcPr>
            <w:tcW w:w="1347"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施工期生活</w:t>
            </w:r>
          </w:p>
        </w:tc>
        <w:tc>
          <w:tcPr>
            <w:tcW w:w="1278"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w:t>
            </w:r>
          </w:p>
        </w:tc>
        <w:tc>
          <w:tcPr>
            <w:tcW w:w="2652"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化粪池收集后</w:t>
            </w:r>
            <w:r>
              <w:rPr>
                <w:rFonts w:hint="default" w:ascii="Times New Roman" w:hAnsi="Times New Roman" w:cs="Times New Roman"/>
                <w:color w:val="auto"/>
                <w:sz w:val="18"/>
                <w:szCs w:val="18"/>
                <w:lang w:val="en-US" w:eastAsia="zh-CN"/>
              </w:rPr>
              <w:t>排入园区污水管网</w:t>
            </w:r>
          </w:p>
        </w:tc>
        <w:tc>
          <w:tcPr>
            <w:tcW w:w="2486"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037" w:type="dxa"/>
            <w:vMerge w:val="continue"/>
            <w:noWrap w:val="0"/>
            <w:vAlign w:val="center"/>
          </w:tcPr>
          <w:p>
            <w:pPr>
              <w:adjustRightInd w:val="0"/>
              <w:snapToGrid w:val="0"/>
              <w:spacing w:line="280" w:lineRule="exact"/>
              <w:ind w:left="-71" w:leftChars="-34" w:right="-71" w:rightChars="-34"/>
              <w:jc w:val="center"/>
              <w:rPr>
                <w:rFonts w:hint="default" w:ascii="Times New Roman" w:hAnsi="Times New Roman" w:cs="Times New Roman"/>
                <w:color w:val="auto"/>
                <w:sz w:val="20"/>
                <w:szCs w:val="20"/>
              </w:rPr>
            </w:pPr>
          </w:p>
        </w:tc>
        <w:tc>
          <w:tcPr>
            <w:tcW w:w="1347"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办公生活区TW001</w:t>
            </w:r>
          </w:p>
        </w:tc>
        <w:tc>
          <w:tcPr>
            <w:tcW w:w="1278"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w:t>
            </w:r>
          </w:p>
        </w:tc>
        <w:tc>
          <w:tcPr>
            <w:tcW w:w="2652" w:type="dxa"/>
            <w:noWrap w:val="0"/>
            <w:vAlign w:val="center"/>
          </w:tcPr>
          <w:p>
            <w:pPr>
              <w:adjustRightInd w:val="0"/>
              <w:snapToGrid w:val="0"/>
              <w:spacing w:line="300" w:lineRule="exact"/>
              <w:ind w:left="-71" w:leftChars="-34" w:right="-71" w:rightChars="-34"/>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化粪池收集后</w:t>
            </w:r>
            <w:r>
              <w:rPr>
                <w:rFonts w:hint="default" w:ascii="Times New Roman" w:hAnsi="Times New Roman" w:cs="Times New Roman"/>
                <w:color w:val="auto"/>
                <w:sz w:val="18"/>
                <w:szCs w:val="18"/>
                <w:lang w:val="en-US" w:eastAsia="zh-CN"/>
              </w:rPr>
              <w:t>排入园区污水管网</w:t>
            </w:r>
          </w:p>
        </w:tc>
        <w:tc>
          <w:tcPr>
            <w:tcW w:w="2486"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037" w:type="dxa"/>
            <w:vMerge w:val="restart"/>
            <w:noWrap w:val="0"/>
            <w:vAlign w:val="center"/>
          </w:tcPr>
          <w:p>
            <w:pPr>
              <w:adjustRightInd w:val="0"/>
              <w:snapToGrid w:val="0"/>
              <w:spacing w:line="280" w:lineRule="exact"/>
              <w:ind w:left="-71" w:leftChars="-34" w:right="-71" w:rightChars="-34"/>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声环境</w:t>
            </w:r>
          </w:p>
        </w:tc>
        <w:tc>
          <w:tcPr>
            <w:tcW w:w="1347"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施工期项目区</w:t>
            </w:r>
          </w:p>
        </w:tc>
        <w:tc>
          <w:tcPr>
            <w:tcW w:w="1278"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施工噪声</w:t>
            </w:r>
          </w:p>
        </w:tc>
        <w:tc>
          <w:tcPr>
            <w:tcW w:w="2652" w:type="dxa"/>
            <w:noWrap w:val="0"/>
            <w:vAlign w:val="center"/>
          </w:tcPr>
          <w:p>
            <w:pPr>
              <w:adjustRightInd w:val="0"/>
              <w:snapToGrid w:val="0"/>
              <w:spacing w:line="300" w:lineRule="exact"/>
              <w:ind w:left="-71" w:leftChars="-34" w:right="-71" w:rightChars="-34"/>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优选施工设备、加强管理、合理安排施工时间</w:t>
            </w:r>
          </w:p>
        </w:tc>
        <w:tc>
          <w:tcPr>
            <w:tcW w:w="2486"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《建筑施工场界环境噪声排放标准》（GB12523-2011）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037" w:type="dxa"/>
            <w:vMerge w:val="continue"/>
            <w:noWrap w:val="0"/>
            <w:vAlign w:val="center"/>
          </w:tcPr>
          <w:p>
            <w:pPr>
              <w:adjustRightInd w:val="0"/>
              <w:snapToGrid w:val="0"/>
              <w:spacing w:line="280" w:lineRule="exact"/>
              <w:ind w:left="-71" w:leftChars="-34" w:right="-71" w:rightChars="-34"/>
              <w:jc w:val="center"/>
              <w:rPr>
                <w:rFonts w:hint="default" w:ascii="Times New Roman" w:hAnsi="Times New Roman" w:cs="Times New Roman"/>
                <w:color w:val="auto"/>
                <w:sz w:val="20"/>
                <w:szCs w:val="20"/>
              </w:rPr>
            </w:pPr>
          </w:p>
        </w:tc>
        <w:tc>
          <w:tcPr>
            <w:tcW w:w="1347"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装卸</w:t>
            </w:r>
            <w:r>
              <w:rPr>
                <w:rFonts w:hint="default" w:ascii="Times New Roman" w:hAnsi="Times New Roman" w:cs="Times New Roman"/>
                <w:color w:val="auto"/>
                <w:sz w:val="18"/>
                <w:szCs w:val="18"/>
                <w:lang w:eastAsia="zh-CN"/>
              </w:rPr>
              <w:t>区</w:t>
            </w:r>
            <w:r>
              <w:rPr>
                <w:rFonts w:hint="default" w:ascii="Times New Roman" w:hAnsi="Times New Roman" w:cs="Times New Roman"/>
                <w:color w:val="auto"/>
                <w:sz w:val="18"/>
                <w:szCs w:val="18"/>
              </w:rPr>
              <w:t>S001</w:t>
            </w:r>
          </w:p>
        </w:tc>
        <w:tc>
          <w:tcPr>
            <w:tcW w:w="1278"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装卸噪声</w:t>
            </w:r>
          </w:p>
        </w:tc>
        <w:tc>
          <w:tcPr>
            <w:tcW w:w="2652"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合理选型、优化布局、建筑隔声；禁鸣措施</w:t>
            </w:r>
          </w:p>
        </w:tc>
        <w:tc>
          <w:tcPr>
            <w:tcW w:w="2486" w:type="dxa"/>
            <w:noWrap w:val="0"/>
            <w:vAlign w:val="center"/>
          </w:tcPr>
          <w:p>
            <w:pPr>
              <w:adjustRightInd w:val="0"/>
              <w:snapToGrid w:val="0"/>
              <w:spacing w:line="300" w:lineRule="exact"/>
              <w:ind w:left="-71" w:leftChars="-34" w:right="-71" w:rightChars="-34"/>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《工业企业厂界环境噪声排放标准》(GBl2348-2008)2类标准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37" w:type="dxa"/>
            <w:noWrap w:val="0"/>
            <w:vAlign w:val="center"/>
          </w:tcPr>
          <w:p>
            <w:pPr>
              <w:adjustRightInd w:val="0"/>
              <w:snapToGrid w:val="0"/>
              <w:spacing w:line="280" w:lineRule="exact"/>
              <w:ind w:left="-53" w:leftChars="-25" w:right="-53" w:rightChars="-25"/>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电磁辐射</w:t>
            </w:r>
          </w:p>
        </w:tc>
        <w:tc>
          <w:tcPr>
            <w:tcW w:w="1347" w:type="dxa"/>
            <w:noWrap w:val="0"/>
            <w:vAlign w:val="center"/>
          </w:tcPr>
          <w:p>
            <w:pPr>
              <w:adjustRightInd w:val="0"/>
              <w:snapToGrid w:val="0"/>
              <w:spacing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278" w:type="dxa"/>
            <w:noWrap w:val="0"/>
            <w:vAlign w:val="center"/>
          </w:tcPr>
          <w:p>
            <w:pPr>
              <w:adjustRightInd w:val="0"/>
              <w:snapToGrid w:val="0"/>
              <w:spacing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2652" w:type="dxa"/>
            <w:noWrap w:val="0"/>
            <w:vAlign w:val="center"/>
          </w:tcPr>
          <w:p>
            <w:pPr>
              <w:adjustRightInd w:val="0"/>
              <w:snapToGrid w:val="0"/>
              <w:spacing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2486" w:type="dxa"/>
            <w:noWrap w:val="0"/>
            <w:vAlign w:val="center"/>
          </w:tcPr>
          <w:p>
            <w:pPr>
              <w:adjustRightInd w:val="0"/>
              <w:snapToGrid w:val="0"/>
              <w:spacing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noWrap w:val="0"/>
            <w:vAlign w:val="center"/>
          </w:tcPr>
          <w:p>
            <w:pPr>
              <w:adjustRightInd w:val="0"/>
              <w:snapToGrid w:val="0"/>
              <w:spacing w:line="280" w:lineRule="exact"/>
              <w:ind w:left="-53" w:leftChars="-25" w:right="-53" w:rightChars="-25"/>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7763" w:type="dxa"/>
            <w:gridSpan w:val="4"/>
            <w:noWrap w:val="0"/>
            <w:vAlign w:val="center"/>
          </w:tcPr>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lang w:val="zh-CN"/>
              </w:rPr>
            </w:pPr>
            <w:r>
              <w:rPr>
                <w:rFonts w:hint="default" w:ascii="Times New Roman" w:hAnsi="Times New Roman" w:cs="Times New Roman"/>
                <w:color w:val="auto"/>
                <w:szCs w:val="21"/>
              </w:rPr>
              <w:t>①</w:t>
            </w:r>
            <w:r>
              <w:rPr>
                <w:rFonts w:hint="default" w:ascii="Times New Roman" w:hAnsi="Times New Roman" w:cs="Times New Roman"/>
                <w:color w:val="auto"/>
                <w:szCs w:val="21"/>
                <w:lang w:val="zh-CN"/>
              </w:rPr>
              <w:t>施工期</w:t>
            </w:r>
            <w:r>
              <w:rPr>
                <w:rFonts w:hint="default" w:ascii="Times New Roman" w:hAnsi="Times New Roman" w:cs="Times New Roman"/>
                <w:color w:val="auto"/>
                <w:szCs w:val="21"/>
              </w:rPr>
              <w:t>可回收的废钢材、包装材料</w:t>
            </w:r>
            <w:r>
              <w:rPr>
                <w:rFonts w:hint="default" w:ascii="Times New Roman" w:hAnsi="Times New Roman" w:cs="Times New Roman"/>
                <w:color w:val="auto"/>
                <w:szCs w:val="21"/>
                <w:lang w:val="zh-CN"/>
              </w:rPr>
              <w:t>，应尽量集中收集外售至废品回收站；建筑垃圾</w:t>
            </w:r>
            <w:r>
              <w:rPr>
                <w:rFonts w:hint="default" w:ascii="Times New Roman" w:hAnsi="Times New Roman" w:cs="Times New Roman"/>
                <w:color w:val="auto"/>
                <w:szCs w:val="21"/>
              </w:rPr>
              <w:t>及时外运至政府指定的地点处置；少量生活垃圾集中收集后，</w:t>
            </w:r>
            <w:r>
              <w:rPr>
                <w:rFonts w:hint="default" w:ascii="Times New Roman" w:hAnsi="Times New Roman" w:cs="Times New Roman"/>
                <w:color w:val="auto"/>
                <w:szCs w:val="21"/>
                <w:lang w:val="en-US" w:eastAsia="zh-CN"/>
              </w:rPr>
              <w:t>交由园区的</w:t>
            </w:r>
            <w:r>
              <w:rPr>
                <w:rFonts w:hint="default" w:ascii="Times New Roman" w:hAnsi="Times New Roman" w:cs="Times New Roman"/>
                <w:color w:val="auto"/>
                <w:szCs w:val="21"/>
                <w:lang w:val="zh-CN"/>
              </w:rPr>
              <w:t>环卫清运。固体废物处置执行《</w:t>
            </w:r>
            <w:r>
              <w:rPr>
                <w:rFonts w:hint="default" w:ascii="Times New Roman" w:hAnsi="Times New Roman" w:cs="Times New Roman"/>
                <w:color w:val="auto"/>
                <w:szCs w:val="21"/>
                <w:lang w:val="zh-CN"/>
              </w:rPr>
              <w:fldChar w:fldCharType="begin"/>
            </w:r>
            <w:r>
              <w:rPr>
                <w:rFonts w:hint="default" w:ascii="Times New Roman" w:hAnsi="Times New Roman" w:cs="Times New Roman"/>
                <w:color w:val="auto"/>
                <w:szCs w:val="21"/>
                <w:lang w:val="zh-CN"/>
              </w:rPr>
              <w:instrText xml:space="preserve"> HYPERLINK "http://wenku.cyjzzd.com/a/1300069769" \t "https://www.so.com/_blank" </w:instrText>
            </w:r>
            <w:r>
              <w:rPr>
                <w:rFonts w:hint="default" w:ascii="Times New Roman" w:hAnsi="Times New Roman" w:cs="Times New Roman"/>
                <w:color w:val="auto"/>
                <w:szCs w:val="21"/>
                <w:lang w:val="zh-CN"/>
              </w:rPr>
              <w:fldChar w:fldCharType="separate"/>
            </w:r>
            <w:r>
              <w:rPr>
                <w:rFonts w:hint="default" w:ascii="Times New Roman" w:hAnsi="Times New Roman" w:cs="Times New Roman"/>
                <w:color w:val="auto"/>
                <w:szCs w:val="21"/>
                <w:lang w:val="zh-CN"/>
              </w:rPr>
              <w:t>一般工业固体废物贮存和填埋污染控制标准</w:t>
            </w:r>
            <w:r>
              <w:rPr>
                <w:rFonts w:hint="default" w:ascii="Times New Roman" w:hAnsi="Times New Roman" w:cs="Times New Roman"/>
                <w:color w:val="auto"/>
                <w:szCs w:val="21"/>
                <w:lang w:val="zh-CN"/>
              </w:rPr>
              <w:fldChar w:fldCharType="end"/>
            </w:r>
            <w:r>
              <w:rPr>
                <w:rFonts w:hint="default" w:ascii="Times New Roman" w:hAnsi="Times New Roman" w:cs="Times New Roman"/>
                <w:color w:val="auto"/>
                <w:szCs w:val="21"/>
                <w:lang w:val="zh-CN"/>
              </w:rPr>
              <w:t>》（GB18599-20</w:t>
            </w:r>
            <w:r>
              <w:rPr>
                <w:rFonts w:hint="default" w:ascii="Times New Roman" w:hAnsi="Times New Roman" w:cs="Times New Roman"/>
                <w:color w:val="auto"/>
                <w:szCs w:val="21"/>
              </w:rPr>
              <w:t>20</w:t>
            </w:r>
            <w:r>
              <w:rPr>
                <w:rFonts w:hint="default" w:ascii="Times New Roman" w:hAnsi="Times New Roman" w:cs="Times New Roman"/>
                <w:color w:val="auto"/>
                <w:szCs w:val="21"/>
                <w:lang w:val="zh-CN"/>
              </w:rPr>
              <w:t>）的有关规定。</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②装卸</w:t>
            </w:r>
            <w:r>
              <w:rPr>
                <w:rFonts w:hint="default" w:ascii="Times New Roman" w:hAnsi="Times New Roman" w:cs="Times New Roman"/>
                <w:color w:val="auto"/>
                <w:szCs w:val="21"/>
                <w:lang w:eastAsia="zh-CN"/>
              </w:rPr>
              <w:t>区</w:t>
            </w:r>
            <w:r>
              <w:rPr>
                <w:rFonts w:hint="default" w:ascii="Times New Roman" w:hAnsi="Times New Roman" w:cs="Times New Roman"/>
                <w:color w:val="auto"/>
                <w:szCs w:val="21"/>
              </w:rPr>
              <w:t>卸车和装车过程出油口滴漏废油：配备移动式的接油托盘</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或接油桶等其他容器</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，装卸作业时放置于出油口下方收集后，与废油一起交有资质单位处置。</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③废弃吸油棉、含油锯末，含油工作服、手套等劳保废品等含油废物属于危险废物（HW49），在</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暂存间内划定专门的区域，设置收集桶单独收集，定期交由有资质单位处理；加强管理，严格执行危险废物转移联单制度。</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④油罐底泥定期由下游</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处理厂家清理带走。</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rPr>
              <w:t>⑤</w:t>
            </w:r>
            <w:r>
              <w:rPr>
                <w:rFonts w:hint="default" w:ascii="Times New Roman" w:hAnsi="Times New Roman" w:cs="Times New Roman"/>
                <w:color w:val="auto"/>
                <w:szCs w:val="21"/>
                <w:lang w:val="zh-CN"/>
              </w:rPr>
              <w:t>生活垃圾，设垃圾桶袋装方式收集，定期外运至附近场镇的生活垃圾集中收集点，由环卫负责清运。</w:t>
            </w:r>
          </w:p>
          <w:p>
            <w:pPr>
              <w:adjustRightInd w:val="0"/>
              <w:snapToGrid w:val="0"/>
              <w:spacing w:line="400" w:lineRule="exact"/>
              <w:ind w:left="-53" w:leftChars="-25" w:right="-53" w:rightChars="-25"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zh-CN"/>
              </w:rPr>
              <w:t>固体废物处置执行《</w:t>
            </w:r>
            <w:r>
              <w:rPr>
                <w:rFonts w:hint="default" w:ascii="Times New Roman" w:hAnsi="Times New Roman" w:cs="Times New Roman"/>
                <w:color w:val="auto"/>
                <w:szCs w:val="21"/>
                <w:lang w:val="zh-CN"/>
              </w:rPr>
              <w:fldChar w:fldCharType="begin"/>
            </w:r>
            <w:r>
              <w:rPr>
                <w:rFonts w:hint="default" w:ascii="Times New Roman" w:hAnsi="Times New Roman" w:cs="Times New Roman"/>
                <w:color w:val="auto"/>
                <w:szCs w:val="21"/>
                <w:lang w:val="zh-CN"/>
              </w:rPr>
              <w:instrText xml:space="preserve"> HYPERLINK "http://wenku.cyjzzd.com/a/1300069769" \t "https://www.so.com/_blank" </w:instrText>
            </w:r>
            <w:r>
              <w:rPr>
                <w:rFonts w:hint="default" w:ascii="Times New Roman" w:hAnsi="Times New Roman" w:cs="Times New Roman"/>
                <w:color w:val="auto"/>
                <w:szCs w:val="21"/>
                <w:lang w:val="zh-CN"/>
              </w:rPr>
              <w:fldChar w:fldCharType="separate"/>
            </w:r>
            <w:r>
              <w:rPr>
                <w:rFonts w:hint="default" w:ascii="Times New Roman" w:hAnsi="Times New Roman" w:cs="Times New Roman"/>
                <w:color w:val="auto"/>
                <w:szCs w:val="21"/>
                <w:lang w:val="zh-CN"/>
              </w:rPr>
              <w:t>一般工业固体废物贮存和填埋污染控制标准</w:t>
            </w:r>
            <w:r>
              <w:rPr>
                <w:rFonts w:hint="default" w:ascii="Times New Roman" w:hAnsi="Times New Roman" w:cs="Times New Roman"/>
                <w:color w:val="auto"/>
                <w:szCs w:val="21"/>
                <w:lang w:val="zh-CN"/>
              </w:rPr>
              <w:fldChar w:fldCharType="end"/>
            </w:r>
            <w:r>
              <w:rPr>
                <w:rFonts w:hint="default" w:ascii="Times New Roman" w:hAnsi="Times New Roman" w:cs="Times New Roman"/>
                <w:color w:val="auto"/>
                <w:szCs w:val="21"/>
                <w:lang w:val="zh-CN"/>
              </w:rPr>
              <w:t>》（GB18599-20</w:t>
            </w:r>
            <w:r>
              <w:rPr>
                <w:rFonts w:hint="default" w:ascii="Times New Roman" w:hAnsi="Times New Roman" w:cs="Times New Roman"/>
                <w:color w:val="auto"/>
                <w:szCs w:val="21"/>
              </w:rPr>
              <w:t>20</w:t>
            </w:r>
            <w:r>
              <w:rPr>
                <w:rFonts w:hint="default" w:ascii="Times New Roman" w:hAnsi="Times New Roman" w:cs="Times New Roman"/>
                <w:color w:val="auto"/>
                <w:szCs w:val="21"/>
                <w:lang w:val="zh-CN"/>
              </w:rPr>
              <w:t>）的有关规定；危险废物执行</w:t>
            </w:r>
            <w:r>
              <w:rPr>
                <w:rFonts w:hint="default" w:ascii="Times New Roman" w:hAnsi="Times New Roman" w:cs="Times New Roman"/>
                <w:color w:val="auto"/>
                <w:szCs w:val="21"/>
                <w:lang w:val="zh-CN" w:eastAsia="zh-CN"/>
              </w:rPr>
              <w:fldChar w:fldCharType="begin"/>
            </w:r>
            <w:r>
              <w:rPr>
                <w:rFonts w:hint="default" w:ascii="Times New Roman" w:hAnsi="Times New Roman" w:cs="Times New Roman"/>
                <w:color w:val="auto"/>
                <w:szCs w:val="21"/>
                <w:lang w:val="zh-CN" w:eastAsia="zh-CN"/>
              </w:rPr>
              <w:instrText xml:space="preserve"> HYPERLINK "https://www.mee.gov.cn/ywgz/fgbz/bz/bzwb/gthw/wxfwjbffbz/202302/t20230224_1017500.shtml" </w:instrText>
            </w:r>
            <w:r>
              <w:rPr>
                <w:rFonts w:hint="default" w:ascii="Times New Roman" w:hAnsi="Times New Roman" w:cs="Times New Roman"/>
                <w:color w:val="auto"/>
                <w:szCs w:val="21"/>
                <w:lang w:val="zh-CN" w:eastAsia="zh-CN"/>
              </w:rPr>
              <w:fldChar w:fldCharType="separate"/>
            </w:r>
            <w:r>
              <w:rPr>
                <w:rFonts w:hint="default" w:ascii="Times New Roman" w:hAnsi="Times New Roman" w:cs="Times New Roman"/>
                <w:color w:val="auto"/>
                <w:szCs w:val="21"/>
                <w:lang w:val="zh-CN" w:eastAsia="zh-CN"/>
              </w:rPr>
              <w:t>《危险废物贮存污染控制标准》（GB18597-2023）</w:t>
            </w:r>
            <w:r>
              <w:rPr>
                <w:rFonts w:hint="default" w:ascii="Times New Roman" w:hAnsi="Times New Roman" w:cs="Times New Roman"/>
                <w:color w:val="auto"/>
                <w:szCs w:val="21"/>
                <w:lang w:val="zh-CN" w:eastAsia="zh-CN"/>
              </w:rPr>
              <w:fldChar w:fldCharType="end"/>
            </w:r>
            <w:r>
              <w:rPr>
                <w:rFonts w:hint="default" w:ascii="Times New Roman" w:hAnsi="Times New Roman" w:cs="Times New Roman"/>
                <w:color w:val="auto"/>
                <w:szCs w:val="21"/>
                <w:lang w:val="zh-CN"/>
              </w:rPr>
              <w:t>的要求。</w:t>
            </w:r>
            <w:r>
              <w:rPr>
                <w:rFonts w:hint="default" w:ascii="Times New Roman" w:hAnsi="Times New Roman" w:cs="Times New Roman"/>
                <w:color w:val="auto"/>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037" w:type="dxa"/>
            <w:noWrap w:val="0"/>
            <w:vAlign w:val="center"/>
          </w:tcPr>
          <w:p>
            <w:pPr>
              <w:adjustRightInd w:val="0"/>
              <w:snapToGrid w:val="0"/>
              <w:spacing w:line="280" w:lineRule="exact"/>
              <w:ind w:left="-53" w:leftChars="-25" w:right="-53" w:rightChars="-25"/>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土壤及地下水污染防治措施</w:t>
            </w:r>
          </w:p>
        </w:tc>
        <w:tc>
          <w:tcPr>
            <w:tcW w:w="7763" w:type="dxa"/>
            <w:gridSpan w:val="4"/>
            <w:noWrap w:val="0"/>
            <w:vAlign w:val="center"/>
          </w:tcPr>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储存间、装卸</w:t>
            </w:r>
            <w:r>
              <w:rPr>
                <w:rFonts w:hint="default" w:ascii="Times New Roman" w:hAnsi="Times New Roman" w:cs="Times New Roman"/>
                <w:color w:val="auto"/>
                <w:szCs w:val="21"/>
                <w:lang w:eastAsia="zh-CN"/>
              </w:rPr>
              <w:t>区</w:t>
            </w:r>
            <w:r>
              <w:rPr>
                <w:rFonts w:hint="default" w:ascii="Times New Roman" w:hAnsi="Times New Roman" w:cs="Times New Roman"/>
                <w:color w:val="auto"/>
                <w:szCs w:val="21"/>
              </w:rPr>
              <w:t>、危废暂存间按重点防渗要求建设（</w:t>
            </w:r>
            <w:r>
              <w:rPr>
                <w:rFonts w:hint="default" w:ascii="Times New Roman" w:hAnsi="Times New Roman" w:cs="Times New Roman"/>
                <w:color w:val="auto"/>
                <w:szCs w:val="21"/>
                <w:lang w:val="en-US" w:eastAsia="zh-CN"/>
              </w:rPr>
              <w:t>20cm混凝土硬化+5mm防渗砂浆+2mm高密度聚乙烯地坪漆</w:t>
            </w:r>
            <w:r>
              <w:rPr>
                <w:rFonts w:hint="default" w:ascii="Times New Roman" w:hAnsi="Times New Roman" w:cs="Times New Roman"/>
                <w:color w:val="auto"/>
                <w:szCs w:val="21"/>
              </w:rPr>
              <w:t>），采取防风、防雨、防晒、防渗漏的“四防”措施；</w:t>
            </w:r>
            <w:r>
              <w:rPr>
                <w:rFonts w:hint="default" w:ascii="Times New Roman" w:hAnsi="Times New Roman" w:cs="Times New Roman"/>
                <w:color w:val="auto"/>
                <w:szCs w:val="21"/>
                <w:lang w:val="en-US" w:eastAsia="zh-CN"/>
              </w:rPr>
              <w:t>储</w:t>
            </w:r>
            <w:r>
              <w:rPr>
                <w:rFonts w:hint="default" w:ascii="Times New Roman" w:hAnsi="Times New Roman" w:cs="Times New Roman"/>
                <w:color w:val="auto"/>
                <w:szCs w:val="21"/>
              </w:rPr>
              <w:t>罐区</w:t>
            </w:r>
            <w:r>
              <w:rPr>
                <w:rFonts w:hint="default" w:ascii="Times New Roman" w:hAnsi="Times New Roman" w:cs="Times New Roman"/>
                <w:color w:val="auto"/>
                <w:szCs w:val="21"/>
                <w:lang w:eastAsia="zh-CN"/>
              </w:rPr>
              <w:t>（</w:t>
            </w:r>
            <w:r>
              <w:rPr>
                <w:rFonts w:hint="eastAsia" w:cs="Times New Roman"/>
                <w:color w:val="auto"/>
                <w:szCs w:val="21"/>
                <w:lang w:val="en-US" w:eastAsia="zh-CN"/>
              </w:rPr>
              <w:t>64</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四周建</w:t>
            </w:r>
            <w:r>
              <w:rPr>
                <w:rFonts w:hint="eastAsia" w:cs="Times New Roman"/>
                <w:color w:val="auto"/>
                <w:szCs w:val="21"/>
                <w:lang w:val="en-US" w:eastAsia="zh-CN"/>
              </w:rPr>
              <w:t>8</w:t>
            </w:r>
            <w:r>
              <w:rPr>
                <w:rFonts w:hint="eastAsia" w:cs="Times New Roman"/>
                <w:color w:val="auto"/>
                <w:szCs w:val="21"/>
                <w:lang w:eastAsia="zh-CN"/>
              </w:rPr>
              <w:t>0cm</w:t>
            </w:r>
            <w:r>
              <w:rPr>
                <w:rFonts w:hint="default" w:ascii="Times New Roman" w:hAnsi="Times New Roman" w:cs="Times New Roman"/>
                <w:color w:val="auto"/>
                <w:szCs w:val="21"/>
              </w:rPr>
              <w:t>高的防溢流围堰</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装卸区</w:t>
            </w:r>
            <w:r>
              <w:rPr>
                <w:rFonts w:hint="default" w:ascii="Times New Roman" w:hAnsi="Times New Roman" w:cs="Times New Roman"/>
                <w:color w:val="auto"/>
                <w:szCs w:val="21"/>
                <w:lang w:eastAsia="zh-CN"/>
              </w:rPr>
              <w:t>（</w:t>
            </w:r>
            <w:r>
              <w:rPr>
                <w:rFonts w:hint="eastAsia" w:cs="Times New Roman"/>
                <w:color w:val="auto"/>
                <w:szCs w:val="21"/>
                <w:lang w:val="en-US" w:eastAsia="zh-CN"/>
              </w:rPr>
              <w:t>72</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四周</w:t>
            </w:r>
            <w:r>
              <w:rPr>
                <w:rFonts w:hint="default" w:ascii="Times New Roman" w:hAnsi="Times New Roman" w:cs="Times New Roman"/>
                <w:color w:val="auto"/>
                <w:szCs w:val="21"/>
              </w:rPr>
              <w:t>建</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cm高的防溢流围堰；储存区域分别设立标识。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37" w:type="dxa"/>
            <w:noWrap w:val="0"/>
            <w:vAlign w:val="center"/>
          </w:tcPr>
          <w:p>
            <w:pPr>
              <w:adjustRightInd w:val="0"/>
              <w:snapToGrid w:val="0"/>
              <w:spacing w:line="280" w:lineRule="exact"/>
              <w:ind w:left="-53" w:leftChars="-25" w:right="-53" w:rightChars="-25"/>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763" w:type="dxa"/>
            <w:gridSpan w:val="4"/>
            <w:noWrap w:val="0"/>
            <w:vAlign w:val="center"/>
          </w:tcPr>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0" w:hRule="atLeast"/>
          <w:jc w:val="center"/>
        </w:trPr>
        <w:tc>
          <w:tcPr>
            <w:tcW w:w="1037" w:type="dxa"/>
            <w:noWrap w:val="0"/>
            <w:vAlign w:val="center"/>
          </w:tcPr>
          <w:p>
            <w:pPr>
              <w:adjustRightInd w:val="0"/>
              <w:snapToGrid w:val="0"/>
              <w:spacing w:line="280" w:lineRule="exact"/>
              <w:ind w:left="-53" w:leftChars="-25" w:right="-53" w:rightChars="-25"/>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pPr>
              <w:adjustRightInd w:val="0"/>
              <w:snapToGrid w:val="0"/>
              <w:spacing w:line="280" w:lineRule="exact"/>
              <w:ind w:left="-53" w:leftChars="-25" w:right="-53" w:rightChars="-25"/>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763" w:type="dxa"/>
            <w:gridSpan w:val="4"/>
            <w:noWrap w:val="0"/>
            <w:vAlign w:val="center"/>
          </w:tcPr>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lang w:val="zh-CN"/>
              </w:rPr>
              <w:t>①</w:t>
            </w:r>
            <w:r>
              <w:rPr>
                <w:rFonts w:hint="default" w:ascii="Times New Roman" w:hAnsi="Times New Roman" w:cs="Times New Roman"/>
                <w:color w:val="auto"/>
                <w:szCs w:val="21"/>
                <w:lang w:eastAsia="zh-CN"/>
              </w:rPr>
              <w:t>废矿物油</w:t>
            </w:r>
            <w:r>
              <w:rPr>
                <w:rFonts w:hint="default" w:ascii="Times New Roman" w:hAnsi="Times New Roman" w:cs="Times New Roman"/>
                <w:color w:val="auto"/>
                <w:szCs w:val="21"/>
              </w:rPr>
              <w:t>储存间</w:t>
            </w:r>
            <w:r>
              <w:rPr>
                <w:rFonts w:hint="default" w:ascii="Times New Roman" w:hAnsi="Times New Roman" w:cs="Times New Roman"/>
                <w:color w:val="auto"/>
                <w:szCs w:val="21"/>
                <w:lang w:val="zh-CN"/>
              </w:rPr>
              <w:t>地面及墙裙均防渗处理，</w:t>
            </w:r>
            <w:r>
              <w:rPr>
                <w:rFonts w:hint="default" w:ascii="Times New Roman" w:hAnsi="Times New Roman" w:cs="Times New Roman"/>
                <w:color w:val="auto"/>
                <w:szCs w:val="21"/>
              </w:rPr>
              <w:t>储油罐设置在密闭的房间内</w:t>
            </w:r>
            <w:r>
              <w:rPr>
                <w:rFonts w:hint="default" w:ascii="Times New Roman" w:hAnsi="Times New Roman" w:cs="Times New Roman"/>
                <w:color w:val="auto"/>
                <w:szCs w:val="21"/>
                <w:lang w:val="zh-CN"/>
              </w:rPr>
              <w:t>，</w:t>
            </w:r>
            <w:r>
              <w:rPr>
                <w:rFonts w:hint="default" w:ascii="Times New Roman" w:hAnsi="Times New Roman" w:cs="Times New Roman"/>
                <w:color w:val="auto"/>
                <w:szCs w:val="21"/>
              </w:rPr>
              <w:t>罐区</w:t>
            </w:r>
            <w:r>
              <w:rPr>
                <w:rFonts w:hint="default" w:ascii="Times New Roman" w:hAnsi="Times New Roman" w:cs="Times New Roman"/>
                <w:color w:val="auto"/>
                <w:szCs w:val="21"/>
                <w:lang w:val="zh-CN"/>
              </w:rPr>
              <w:t>周围建设围堰，</w:t>
            </w:r>
            <w:r>
              <w:rPr>
                <w:rFonts w:hint="default" w:ascii="Times New Roman" w:hAnsi="Times New Roman" w:cs="Times New Roman"/>
                <w:color w:val="auto"/>
                <w:szCs w:val="21"/>
              </w:rPr>
              <w:t>围堰外设事故池。装卸</w:t>
            </w:r>
            <w:r>
              <w:rPr>
                <w:rFonts w:hint="default" w:ascii="Times New Roman" w:hAnsi="Times New Roman" w:cs="Times New Roman"/>
                <w:color w:val="auto"/>
                <w:szCs w:val="21"/>
                <w:lang w:eastAsia="zh-CN"/>
              </w:rPr>
              <w:t>区</w:t>
            </w:r>
            <w:r>
              <w:rPr>
                <w:rFonts w:hint="default" w:ascii="Times New Roman" w:hAnsi="Times New Roman" w:cs="Times New Roman"/>
                <w:color w:val="auto"/>
                <w:szCs w:val="21"/>
              </w:rPr>
              <w:t>采取防渗措施，四周设防溢流堰，配置移动式接油托盘</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或接油桶等其他容器</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lang w:val="zh-CN"/>
              </w:rPr>
              <w:t>②划定禁火、防爆区域，并制定管理制度。严禁在易燃易爆区吸烟、携带火种等。严禁钢制工具的敲打、撞击、抛掷</w:t>
            </w:r>
            <w:r>
              <w:rPr>
                <w:rFonts w:hint="default" w:ascii="Times New Roman" w:hAnsi="Times New Roman" w:cs="Times New Roman"/>
                <w:color w:val="auto"/>
                <w:szCs w:val="21"/>
              </w:rPr>
              <w:t>储油罐</w:t>
            </w:r>
            <w:r>
              <w:rPr>
                <w:rFonts w:hint="default" w:ascii="Times New Roman" w:hAnsi="Times New Roman" w:cs="Times New Roman"/>
                <w:color w:val="auto"/>
                <w:szCs w:val="21"/>
                <w:lang w:val="zh-CN"/>
              </w:rPr>
              <w:t>。</w:t>
            </w:r>
            <w:r>
              <w:rPr>
                <w:rFonts w:hint="default" w:ascii="Times New Roman" w:hAnsi="Times New Roman" w:cs="Times New Roman"/>
                <w:color w:val="auto"/>
                <w:szCs w:val="21"/>
              </w:rPr>
              <w:t>储存间尽量不拉接电线。</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rPr>
              <w:t>③</w:t>
            </w:r>
            <w:r>
              <w:rPr>
                <w:rFonts w:hint="default" w:ascii="Times New Roman" w:hAnsi="Times New Roman" w:cs="Times New Roman"/>
                <w:color w:val="auto"/>
                <w:szCs w:val="21"/>
                <w:lang w:val="zh-CN"/>
              </w:rPr>
              <w:t>按规范设置消防系统，配置相应的灭火装置和设施，如灭火器、消防</w:t>
            </w:r>
            <w:r>
              <w:rPr>
                <w:rFonts w:hint="default" w:ascii="Times New Roman" w:hAnsi="Times New Roman" w:cs="Times New Roman"/>
                <w:color w:val="auto"/>
                <w:szCs w:val="21"/>
              </w:rPr>
              <w:t>沙</w:t>
            </w:r>
            <w:r>
              <w:rPr>
                <w:rFonts w:hint="default" w:ascii="Times New Roman" w:hAnsi="Times New Roman" w:cs="Times New Roman"/>
                <w:color w:val="auto"/>
                <w:szCs w:val="21"/>
                <w:lang w:val="zh-CN"/>
              </w:rPr>
              <w:t>、消防水池、消火栓等，并保持完好。</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④加强管理：遵守各项规章制度和操作规程，严格执行岗位责任制。坚持巡回检查，发现问题及时处理，如通风、管线是否泄漏，消防通道、地沟是否通畅。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1" w:hRule="atLeast"/>
          <w:jc w:val="center"/>
        </w:trPr>
        <w:tc>
          <w:tcPr>
            <w:tcW w:w="1037" w:type="dxa"/>
            <w:noWrap w:val="0"/>
            <w:vAlign w:val="center"/>
          </w:tcPr>
          <w:p>
            <w:pPr>
              <w:adjustRightInd w:val="0"/>
              <w:snapToGrid w:val="0"/>
              <w:spacing w:line="280" w:lineRule="exact"/>
              <w:ind w:left="-53" w:leftChars="-25" w:right="-53" w:rightChars="-25"/>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pPr>
              <w:adjustRightInd w:val="0"/>
              <w:snapToGrid w:val="0"/>
              <w:spacing w:line="280" w:lineRule="exact"/>
              <w:ind w:left="-53" w:leftChars="-25" w:right="-53" w:rightChars="-25"/>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763" w:type="dxa"/>
            <w:gridSpan w:val="4"/>
            <w:noWrap w:val="0"/>
            <w:vAlign w:val="center"/>
          </w:tcPr>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废矿物油</w:t>
            </w:r>
            <w:r>
              <w:rPr>
                <w:rFonts w:hint="default" w:ascii="Times New Roman" w:hAnsi="Times New Roman" w:cs="Times New Roman"/>
                <w:color w:val="auto"/>
              </w:rPr>
              <w:t>的收集应制定详细的操作规程，内容至少应包括适用范围、操作程序和方法、专用设备和工具、转移和交接、安全保障和应急防护等。</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eastAsia="zh-CN"/>
              </w:rPr>
              <w:t>废矿物油</w:t>
            </w:r>
            <w:r>
              <w:rPr>
                <w:rFonts w:hint="default" w:ascii="Times New Roman" w:hAnsi="Times New Roman" w:cs="Times New Roman"/>
                <w:color w:val="auto"/>
              </w:rPr>
              <w:t>收集和转运作业人员应根据工作需要配备必要的个人防护装备，如手套、防护服、口罩等。</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eastAsia="zh-CN"/>
              </w:rPr>
              <w:t>废矿物油</w:t>
            </w:r>
            <w:r>
              <w:rPr>
                <w:rFonts w:hint="default" w:ascii="Times New Roman" w:hAnsi="Times New Roman" w:cs="Times New Roman"/>
                <w:color w:val="auto"/>
              </w:rPr>
              <w:t>在收集和转运过程中，应采取相应的安全防护和污染防治措施，包括防爆、防火、防泄露、防飞扬、防雨或其它防止污染环境的措施。</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rPr>
              <w:t>4、危险废物的收集作业应满足如下要求：</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rPr>
              <w:t>(1)应根据收集设备、转运车辆以及现场人员等实际情况确定相应作业区域，同时要设置作业界限标志和警示牌。</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rPr>
              <w:t>(2)收集时应配备必要的收集工具和包装物，以及必要的应急装备。</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rPr>
              <w:t>(3)危险废物收集时应填写记录表，并将记录表存档妥善保存。</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rPr>
              <w:t>(4)收集结束后应清理和恢复收集作业区域，确保作业区域环境整洁安全。</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cs="Times New Roman"/>
                <w:color w:val="auto"/>
                <w:lang w:eastAsia="zh-CN"/>
              </w:rPr>
              <w:t>废矿物油</w:t>
            </w:r>
            <w:r>
              <w:rPr>
                <w:rFonts w:hint="default" w:ascii="Times New Roman" w:hAnsi="Times New Roman" w:cs="Times New Roman"/>
                <w:color w:val="auto"/>
              </w:rPr>
              <w:t>转运作业应满足如下要求：</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废矿物油</w:t>
            </w:r>
            <w:r>
              <w:rPr>
                <w:rFonts w:hint="default" w:ascii="Times New Roman" w:hAnsi="Times New Roman" w:cs="Times New Roman"/>
                <w:color w:val="auto"/>
              </w:rPr>
              <w:t>转运应综合考虑转运路线，尽量避开办公室和生活区。</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eastAsia="zh-CN"/>
              </w:rPr>
              <w:t>废矿物油</w:t>
            </w:r>
            <w:r>
              <w:rPr>
                <w:rFonts w:hint="default" w:ascii="Times New Roman" w:hAnsi="Times New Roman" w:cs="Times New Roman"/>
                <w:color w:val="auto"/>
              </w:rPr>
              <w:t>转运作业应采用专用的工具。转运结束后，应对转运路线进行检查和清理，确保无危险废物遗失在转运路线上，并对转运工具进行清洗。</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rPr>
              <w:t>6、贮存</w:t>
            </w:r>
            <w:r>
              <w:rPr>
                <w:rFonts w:hint="default" w:ascii="Times New Roman" w:hAnsi="Times New Roman" w:cs="Times New Roman"/>
                <w:color w:val="auto"/>
                <w:lang w:eastAsia="zh-CN"/>
              </w:rPr>
              <w:t>废矿物油</w:t>
            </w:r>
            <w:r>
              <w:rPr>
                <w:rFonts w:hint="default" w:ascii="Times New Roman" w:hAnsi="Times New Roman" w:cs="Times New Roman"/>
                <w:color w:val="auto"/>
              </w:rPr>
              <w:t>时应按危险废物的种类和特性进行贮存，储存间单独设置，与其它区域分开，并设置防雨、防火、防雷、防扬尘装置。</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rPr>
              <w:t>7、危险废物贮存单位应建立危险废物台账制度。</w:t>
            </w:r>
          </w:p>
        </w:tc>
      </w:tr>
    </w:tbl>
    <w:p>
      <w:pPr>
        <w:widowControl/>
        <w:spacing w:before="100" w:beforeAutospacing="1" w:after="100" w:afterAutospacing="1"/>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cs="Times New Roman"/>
          <w:snapToGrid w:val="0"/>
          <w:color w:val="0000FF"/>
          <w:kern w:val="0"/>
          <w:sz w:val="24"/>
          <w:szCs w:val="20"/>
        </w:rPr>
        <w:br w:type="page"/>
      </w:r>
      <w:r>
        <w:rPr>
          <w:rFonts w:hint="default" w:ascii="Times New Roman" w:hAnsi="Times New Roman" w:eastAsia="黑体" w:cs="Times New Roman"/>
          <w:snapToGrid w:val="0"/>
          <w:color w:val="auto"/>
          <w:kern w:val="0"/>
          <w:sz w:val="30"/>
          <w:szCs w:val="30"/>
        </w:rPr>
        <w:t>六、结论</w:t>
      </w:r>
    </w:p>
    <w:tbl>
      <w:tblPr>
        <w:tblStyle w:val="1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77" w:hRule="atLeast"/>
          <w:jc w:val="center"/>
        </w:trPr>
        <w:tc>
          <w:tcPr>
            <w:tcW w:w="8865" w:type="dxa"/>
            <w:noWrap w:val="0"/>
            <w:vAlign w:val="top"/>
          </w:tcPr>
          <w:p>
            <w:pPr>
              <w:spacing w:line="400" w:lineRule="exact"/>
              <w:ind w:firstLine="420" w:firstLineChars="200"/>
              <w:rPr>
                <w:rFonts w:hint="default" w:ascii="Times New Roman" w:hAnsi="Times New Roman" w:eastAsia="黑体" w:cs="Times New Roman"/>
                <w:color w:val="0000FF"/>
                <w:szCs w:val="21"/>
                <w:lang w:eastAsia="zh-CN"/>
              </w:rPr>
            </w:pPr>
          </w:p>
          <w:p>
            <w:pPr>
              <w:spacing w:line="400" w:lineRule="exact"/>
              <w:ind w:firstLine="420" w:firstLineChars="2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lang w:eastAsia="zh-CN"/>
              </w:rPr>
              <w:t>达州市闽通环保科技有限公司</w:t>
            </w:r>
            <w:r>
              <w:rPr>
                <w:rFonts w:hint="default" w:ascii="Times New Roman" w:hAnsi="Times New Roman" w:eastAsia="黑体" w:cs="Times New Roman"/>
                <w:color w:val="auto"/>
                <w:szCs w:val="21"/>
              </w:rPr>
              <w:t>“</w:t>
            </w:r>
            <w:r>
              <w:rPr>
                <w:rFonts w:hint="eastAsia" w:eastAsia="黑体" w:cs="Times New Roman"/>
                <w:color w:val="auto"/>
                <w:szCs w:val="21"/>
                <w:lang w:eastAsia="zh-CN"/>
              </w:rPr>
              <w:t>宣汉闽通再生资源回收储存迁建项目</w:t>
            </w:r>
            <w:r>
              <w:rPr>
                <w:rFonts w:hint="default" w:ascii="Times New Roman" w:hAnsi="Times New Roman" w:eastAsia="黑体" w:cs="Times New Roman"/>
                <w:color w:val="auto"/>
                <w:szCs w:val="21"/>
              </w:rPr>
              <w:t>”</w:t>
            </w:r>
            <w:r>
              <w:rPr>
                <w:rFonts w:hint="eastAsia" w:eastAsia="黑体" w:cs="Times New Roman"/>
                <w:color w:val="auto"/>
                <w:szCs w:val="21"/>
                <w:lang w:eastAsia="zh-CN"/>
              </w:rPr>
              <w:t>符合国家</w:t>
            </w:r>
            <w:r>
              <w:rPr>
                <w:rFonts w:hint="default" w:ascii="Times New Roman" w:hAnsi="Times New Roman" w:eastAsia="黑体" w:cs="Times New Roman"/>
                <w:color w:val="auto"/>
                <w:szCs w:val="21"/>
              </w:rPr>
              <w:t>产业政策，周围无明显的环境制约因素，项目平面布置总体可行。本项目拟采取的污染物防治措施经济技术可行、措施有效，建设单位只要严格落实本报告提出的各项环保措施，严格执行“三同时”制度，能够最大限度地减轻项目建设对周围环境造成的影响，项目的环境影响为可接受程度，环境风险可控，污染物排放符合总量控制要求。</w:t>
            </w:r>
          </w:p>
          <w:p>
            <w:pPr>
              <w:spacing w:line="400" w:lineRule="exact"/>
              <w:ind w:firstLine="420" w:firstLineChars="200"/>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因此，从环境保护角度分析，其在所选地址建设是可行的。</w:t>
            </w:r>
          </w:p>
          <w:p>
            <w:pPr>
              <w:autoSpaceDE w:val="0"/>
              <w:autoSpaceDN w:val="0"/>
              <w:adjustRightInd w:val="0"/>
              <w:snapToGrid w:val="0"/>
              <w:spacing w:line="400" w:lineRule="exact"/>
              <w:ind w:firstLine="422" w:firstLineChars="200"/>
              <w:jc w:val="left"/>
              <w:rPr>
                <w:rFonts w:hint="default" w:ascii="Times New Roman" w:hAnsi="Times New Roman" w:cs="Times New Roman"/>
                <w:b/>
                <w:color w:val="auto"/>
                <w:kern w:val="0"/>
                <w:szCs w:val="21"/>
                <w:lang w:eastAsia="zh-CN"/>
              </w:rPr>
            </w:pPr>
          </w:p>
          <w:p>
            <w:pPr>
              <w:spacing w:line="360" w:lineRule="auto"/>
              <w:rPr>
                <w:rFonts w:hint="default" w:ascii="Times New Roman" w:hAnsi="Times New Roman" w:cs="Times New Roman"/>
                <w:color w:val="0000FF"/>
                <w:sz w:val="24"/>
              </w:rPr>
            </w:pPr>
          </w:p>
        </w:tc>
      </w:tr>
    </w:tbl>
    <w:p>
      <w:pPr>
        <w:rPr>
          <w:rFonts w:hint="default" w:ascii="Times New Roman" w:hAnsi="Times New Roman" w:cs="Times New Roman"/>
          <w:color w:val="0000FF"/>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formProt w:val="1"/>
          <w:docGrid w:linePitch="312" w:charSpace="0"/>
        </w:sectPr>
      </w:pPr>
    </w:p>
    <w:p>
      <w:pPr>
        <w:widowControl/>
        <w:adjustRightInd w:val="0"/>
        <w:snapToGrid w:val="0"/>
        <w:spacing w:line="648" w:lineRule="auto"/>
        <w:jc w:val="left"/>
        <w:outlineLvl w:val="0"/>
        <w:rPr>
          <w:rFonts w:hint="default" w:ascii="Times New Roman" w:hAnsi="Times New Roman" w:eastAsia="黑体" w:cs="Times New Roman"/>
          <w:snapToGrid w:val="0"/>
          <w:color w:val="auto"/>
          <w:kern w:val="0"/>
          <w:sz w:val="32"/>
          <w:szCs w:val="32"/>
        </w:rPr>
      </w:pPr>
      <w:r>
        <w:rPr>
          <w:rFonts w:hint="default" w:ascii="Times New Roman" w:hAnsi="Times New Roman" w:eastAsia="黑体" w:cs="Times New Roman"/>
          <w:snapToGrid w:val="0"/>
          <w:color w:val="auto"/>
          <w:kern w:val="0"/>
          <w:sz w:val="32"/>
          <w:szCs w:val="32"/>
        </w:rPr>
        <w:t>附表</w:t>
      </w:r>
    </w:p>
    <w:p>
      <w:pPr>
        <w:keepNext w:val="0"/>
        <w:keepLines w:val="0"/>
        <w:pageBreakBefore w:val="0"/>
        <w:widowControl/>
        <w:kinsoku/>
        <w:wordWrap/>
        <w:overflowPunct/>
        <w:topLinePunct w:val="0"/>
        <w:autoSpaceDE/>
        <w:autoSpaceDN/>
        <w:bidi w:val="0"/>
        <w:adjustRightInd w:val="0"/>
        <w:snapToGrid w:val="0"/>
        <w:spacing w:line="480" w:lineRule="auto"/>
        <w:jc w:val="center"/>
        <w:textAlignment w:val="auto"/>
        <w:outlineLvl w:val="0"/>
        <w:rPr>
          <w:rFonts w:hint="default" w:ascii="Times New Roman" w:hAnsi="Times New Roman" w:eastAsia="方正小标宋_GBK" w:cs="Times New Roman"/>
          <w:snapToGrid w:val="0"/>
          <w:color w:val="auto"/>
          <w:kern w:val="0"/>
          <w:sz w:val="38"/>
          <w:szCs w:val="38"/>
        </w:rPr>
      </w:pPr>
      <w:r>
        <w:rPr>
          <w:rFonts w:hint="default" w:ascii="Times New Roman" w:hAnsi="Times New Roman" w:eastAsia="方正小标宋_GBK" w:cs="Times New Roman"/>
          <w:snapToGrid w:val="0"/>
          <w:color w:val="auto"/>
          <w:kern w:val="0"/>
          <w:sz w:val="38"/>
          <w:szCs w:val="38"/>
        </w:rPr>
        <w:t>建设项目污染物排放量汇总表</w:t>
      </w:r>
    </w:p>
    <w:tbl>
      <w:tblPr>
        <w:tblStyle w:val="1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470"/>
        <w:gridCol w:w="1905"/>
        <w:gridCol w:w="1140"/>
        <w:gridCol w:w="1784"/>
        <w:gridCol w:w="1816"/>
        <w:gridCol w:w="1504"/>
        <w:gridCol w:w="2051"/>
        <w:gridCol w:w="7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84" w:type="dxa"/>
            <w:tcBorders>
              <w:tl2br w:val="single" w:color="auto" w:sz="4" w:space="0"/>
            </w:tcBorders>
            <w:noWrap w:val="0"/>
            <w:tcMar>
              <w:left w:w="28" w:type="dxa"/>
              <w:right w:w="28" w:type="dxa"/>
            </w:tcMar>
            <w:vAlign w:val="center"/>
          </w:tcPr>
          <w:p>
            <w:pPr>
              <w:adjustRightInd w:val="0"/>
              <w:snapToGrid w:val="0"/>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pPr>
              <w:adjustRightInd w:val="0"/>
              <w:snapToGrid w:val="0"/>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470"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905"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现有工程排放量</w:t>
            </w:r>
          </w:p>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szCs w:val="21"/>
              </w:rPr>
              <w:t>①</w:t>
            </w:r>
            <w:r>
              <w:rPr>
                <w:rFonts w:hint="default" w:ascii="Times New Roman" w:hAnsi="Times New Roman" w:eastAsia="黑体" w:cs="Times New Roman"/>
                <w:snapToGrid w:val="0"/>
                <w:color w:val="auto"/>
                <w:spacing w:val="-6"/>
                <w:kern w:val="21"/>
                <w:szCs w:val="21"/>
              </w:rPr>
              <w:fldChar w:fldCharType="end"/>
            </w:r>
          </w:p>
        </w:tc>
        <w:tc>
          <w:tcPr>
            <w:tcW w:w="1140"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adjustRightInd w:val="0"/>
              <w:snapToGrid w:val="0"/>
              <w:spacing w:line="259" w:lineRule="auto"/>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784"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在建工程排放量</w:t>
            </w:r>
          </w:p>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szCs w:val="21"/>
              </w:rPr>
              <w:t>③</w:t>
            </w:r>
            <w:r>
              <w:rPr>
                <w:rFonts w:hint="default" w:ascii="Times New Roman" w:hAnsi="Times New Roman" w:eastAsia="黑体" w:cs="Times New Roman"/>
                <w:snapToGrid w:val="0"/>
                <w:color w:val="auto"/>
                <w:spacing w:val="-6"/>
                <w:kern w:val="21"/>
                <w:szCs w:val="21"/>
              </w:rPr>
              <w:fldChar w:fldCharType="end"/>
            </w:r>
          </w:p>
        </w:tc>
        <w:tc>
          <w:tcPr>
            <w:tcW w:w="1816"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本项目排放量</w:t>
            </w:r>
          </w:p>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szCs w:val="21"/>
              </w:rPr>
              <w:t>④</w:t>
            </w:r>
            <w:r>
              <w:rPr>
                <w:rFonts w:hint="default" w:ascii="Times New Roman" w:hAnsi="Times New Roman" w:eastAsia="黑体" w:cs="Times New Roman"/>
                <w:snapToGrid w:val="0"/>
                <w:color w:val="auto"/>
                <w:spacing w:val="-6"/>
                <w:kern w:val="21"/>
                <w:szCs w:val="21"/>
              </w:rPr>
              <w:fldChar w:fldCharType="end"/>
            </w:r>
          </w:p>
        </w:tc>
        <w:tc>
          <w:tcPr>
            <w:tcW w:w="1504"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adjustRightInd w:val="0"/>
              <w:snapToGrid w:val="0"/>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szCs w:val="21"/>
              </w:rPr>
              <w:t>⑤</w:t>
            </w:r>
            <w:r>
              <w:rPr>
                <w:rFonts w:hint="default" w:ascii="Times New Roman" w:hAnsi="Times New Roman" w:eastAsia="黑体" w:cs="Times New Roman"/>
                <w:snapToGrid w:val="0"/>
                <w:color w:val="auto"/>
                <w:spacing w:val="-16"/>
                <w:kern w:val="21"/>
                <w:szCs w:val="21"/>
              </w:rPr>
              <w:fldChar w:fldCharType="end"/>
            </w:r>
          </w:p>
        </w:tc>
        <w:tc>
          <w:tcPr>
            <w:tcW w:w="2051"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本项目建成后全厂排放量</w:t>
            </w:r>
          </w:p>
          <w:p>
            <w:pPr>
              <w:adjustRightInd w:val="0"/>
              <w:snapToGrid w:val="0"/>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（固体废物产生量）</w:t>
            </w:r>
          </w:p>
          <w:p>
            <w:pPr>
              <w:adjustRightInd w:val="0"/>
              <w:snapToGrid w:val="0"/>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szCs w:val="21"/>
              </w:rPr>
              <w:t>⑥</w:t>
            </w:r>
            <w:r>
              <w:rPr>
                <w:rFonts w:hint="default" w:ascii="Times New Roman" w:hAnsi="Times New Roman" w:eastAsia="黑体" w:cs="Times New Roman"/>
                <w:snapToGrid w:val="0"/>
                <w:color w:val="auto"/>
                <w:spacing w:val="-16"/>
                <w:kern w:val="21"/>
                <w:szCs w:val="21"/>
              </w:rPr>
              <w:fldChar w:fldCharType="end"/>
            </w:r>
          </w:p>
        </w:tc>
        <w:tc>
          <w:tcPr>
            <w:tcW w:w="734"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szCs w:val="21"/>
              </w:rPr>
              <w:t>⑦</w:t>
            </w:r>
            <w:r>
              <w:rPr>
                <w:rFonts w:hint="default"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restart"/>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470" w:type="dxa"/>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非甲烷总烃</w:t>
            </w:r>
          </w:p>
        </w:tc>
        <w:tc>
          <w:tcPr>
            <w:tcW w:w="1905"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rPr>
              <w:t>0.2t/a</w:t>
            </w:r>
          </w:p>
        </w:tc>
        <w:tc>
          <w:tcPr>
            <w:tcW w:w="114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8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816" w:type="dxa"/>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0.2t/a</w:t>
            </w:r>
          </w:p>
        </w:tc>
        <w:tc>
          <w:tcPr>
            <w:tcW w:w="1504"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rPr>
              <w:t>0.2t/a</w:t>
            </w:r>
          </w:p>
        </w:tc>
        <w:tc>
          <w:tcPr>
            <w:tcW w:w="2051" w:type="dxa"/>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0.2t/a</w:t>
            </w:r>
          </w:p>
        </w:tc>
        <w:tc>
          <w:tcPr>
            <w:tcW w:w="734" w:type="dxa"/>
            <w:noWrap w:val="0"/>
            <w:vAlign w:val="center"/>
          </w:tcPr>
          <w:p>
            <w:pPr>
              <w:adjustRightInd w:val="0"/>
              <w:snapToGrid w:val="0"/>
              <w:jc w:val="center"/>
              <w:rPr>
                <w:rFonts w:hint="eastAsia"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47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905"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p>
        </w:tc>
        <w:tc>
          <w:tcPr>
            <w:tcW w:w="114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8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816"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504"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p>
        </w:tc>
        <w:tc>
          <w:tcPr>
            <w:tcW w:w="2051"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73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restart"/>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47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905"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p>
        </w:tc>
        <w:tc>
          <w:tcPr>
            <w:tcW w:w="114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8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816"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504"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p>
        </w:tc>
        <w:tc>
          <w:tcPr>
            <w:tcW w:w="2051"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73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47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905"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p>
        </w:tc>
        <w:tc>
          <w:tcPr>
            <w:tcW w:w="114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8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816"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504"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p>
        </w:tc>
        <w:tc>
          <w:tcPr>
            <w:tcW w:w="2051"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73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restart"/>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470" w:type="dxa"/>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生活垃圾</w:t>
            </w:r>
          </w:p>
        </w:tc>
        <w:tc>
          <w:tcPr>
            <w:tcW w:w="1905"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rPr>
              <w:t>0.</w:t>
            </w:r>
            <w:r>
              <w:rPr>
                <w:rFonts w:hint="default" w:ascii="Times New Roman" w:hAnsi="Times New Roman" w:cs="Times New Roman"/>
                <w:snapToGrid w:val="0"/>
                <w:color w:val="auto"/>
                <w:kern w:val="21"/>
                <w:szCs w:val="21"/>
                <w:lang w:val="en-US" w:eastAsia="zh-CN"/>
              </w:rPr>
              <w:t>7</w:t>
            </w:r>
            <w:r>
              <w:rPr>
                <w:rFonts w:hint="default" w:ascii="Times New Roman" w:hAnsi="Times New Roman" w:cs="Times New Roman"/>
                <w:snapToGrid w:val="0"/>
                <w:color w:val="auto"/>
                <w:kern w:val="21"/>
                <w:szCs w:val="21"/>
              </w:rPr>
              <w:t>t/a</w:t>
            </w:r>
          </w:p>
        </w:tc>
        <w:tc>
          <w:tcPr>
            <w:tcW w:w="114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8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816" w:type="dxa"/>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0.</w:t>
            </w:r>
            <w:r>
              <w:rPr>
                <w:rFonts w:hint="default" w:ascii="Times New Roman" w:hAnsi="Times New Roman" w:cs="Times New Roman"/>
                <w:snapToGrid w:val="0"/>
                <w:color w:val="auto"/>
                <w:kern w:val="21"/>
                <w:szCs w:val="21"/>
                <w:lang w:val="en-US" w:eastAsia="zh-CN"/>
              </w:rPr>
              <w:t>7</w:t>
            </w:r>
            <w:r>
              <w:rPr>
                <w:rFonts w:hint="default" w:ascii="Times New Roman" w:hAnsi="Times New Roman" w:cs="Times New Roman"/>
                <w:snapToGrid w:val="0"/>
                <w:color w:val="auto"/>
                <w:kern w:val="21"/>
                <w:szCs w:val="21"/>
              </w:rPr>
              <w:t>t/a</w:t>
            </w:r>
          </w:p>
        </w:tc>
        <w:tc>
          <w:tcPr>
            <w:tcW w:w="1504"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rPr>
              <w:t>0.</w:t>
            </w:r>
            <w:r>
              <w:rPr>
                <w:rFonts w:hint="default" w:ascii="Times New Roman" w:hAnsi="Times New Roman" w:cs="Times New Roman"/>
                <w:snapToGrid w:val="0"/>
                <w:color w:val="auto"/>
                <w:kern w:val="21"/>
                <w:szCs w:val="21"/>
                <w:lang w:val="en-US" w:eastAsia="zh-CN"/>
              </w:rPr>
              <w:t>7</w:t>
            </w:r>
            <w:r>
              <w:rPr>
                <w:rFonts w:hint="default" w:ascii="Times New Roman" w:hAnsi="Times New Roman" w:cs="Times New Roman"/>
                <w:snapToGrid w:val="0"/>
                <w:color w:val="auto"/>
                <w:kern w:val="21"/>
                <w:szCs w:val="21"/>
              </w:rPr>
              <w:t>t/a</w:t>
            </w:r>
          </w:p>
        </w:tc>
        <w:tc>
          <w:tcPr>
            <w:tcW w:w="2051" w:type="dxa"/>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0.</w:t>
            </w:r>
            <w:r>
              <w:rPr>
                <w:rFonts w:hint="default" w:ascii="Times New Roman" w:hAnsi="Times New Roman" w:cs="Times New Roman"/>
                <w:snapToGrid w:val="0"/>
                <w:color w:val="auto"/>
                <w:kern w:val="21"/>
                <w:szCs w:val="21"/>
                <w:lang w:val="en-US" w:eastAsia="zh-CN"/>
              </w:rPr>
              <w:t>7</w:t>
            </w:r>
            <w:r>
              <w:rPr>
                <w:rFonts w:hint="default" w:ascii="Times New Roman" w:hAnsi="Times New Roman" w:cs="Times New Roman"/>
                <w:snapToGrid w:val="0"/>
                <w:color w:val="auto"/>
                <w:kern w:val="21"/>
                <w:szCs w:val="21"/>
              </w:rPr>
              <w:t>t/a</w:t>
            </w:r>
          </w:p>
        </w:tc>
        <w:tc>
          <w:tcPr>
            <w:tcW w:w="734" w:type="dxa"/>
            <w:noWrap w:val="0"/>
            <w:vAlign w:val="center"/>
          </w:tcPr>
          <w:p>
            <w:pPr>
              <w:adjustRightInd w:val="0"/>
              <w:snapToGrid w:val="0"/>
              <w:jc w:val="center"/>
              <w:rPr>
                <w:rFonts w:hint="eastAsia"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47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905"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p>
        </w:tc>
        <w:tc>
          <w:tcPr>
            <w:tcW w:w="114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8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816"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504" w:type="dxa"/>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p>
        </w:tc>
        <w:tc>
          <w:tcPr>
            <w:tcW w:w="2051"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73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restart"/>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47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油泥</w:t>
            </w:r>
          </w:p>
        </w:tc>
        <w:tc>
          <w:tcPr>
            <w:tcW w:w="1905"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0.5t/次</w:t>
            </w:r>
          </w:p>
        </w:tc>
        <w:tc>
          <w:tcPr>
            <w:tcW w:w="114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8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81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0.5t/次</w:t>
            </w:r>
          </w:p>
        </w:tc>
        <w:tc>
          <w:tcPr>
            <w:tcW w:w="150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0.5t/次</w:t>
            </w:r>
          </w:p>
        </w:tc>
        <w:tc>
          <w:tcPr>
            <w:tcW w:w="2051"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0.5t/次</w:t>
            </w:r>
          </w:p>
        </w:tc>
        <w:tc>
          <w:tcPr>
            <w:tcW w:w="734" w:type="dxa"/>
            <w:noWrap w:val="0"/>
            <w:vAlign w:val="center"/>
          </w:tcPr>
          <w:p>
            <w:pPr>
              <w:adjustRightInd w:val="0"/>
              <w:snapToGrid w:val="0"/>
              <w:jc w:val="center"/>
              <w:rPr>
                <w:rFonts w:hint="eastAsia"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47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滴漏废矿物油</w:t>
            </w:r>
          </w:p>
        </w:tc>
        <w:tc>
          <w:tcPr>
            <w:tcW w:w="1905"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0.8t/a</w:t>
            </w:r>
          </w:p>
        </w:tc>
        <w:tc>
          <w:tcPr>
            <w:tcW w:w="114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8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81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0.8t/a</w:t>
            </w:r>
          </w:p>
        </w:tc>
        <w:tc>
          <w:tcPr>
            <w:tcW w:w="150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0.8t/a</w:t>
            </w:r>
          </w:p>
        </w:tc>
        <w:tc>
          <w:tcPr>
            <w:tcW w:w="2051"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0.8t/a</w:t>
            </w:r>
          </w:p>
        </w:tc>
        <w:tc>
          <w:tcPr>
            <w:tcW w:w="734" w:type="dxa"/>
            <w:noWrap w:val="0"/>
            <w:vAlign w:val="center"/>
          </w:tcPr>
          <w:p>
            <w:pPr>
              <w:adjustRightInd w:val="0"/>
              <w:snapToGrid w:val="0"/>
              <w:jc w:val="center"/>
              <w:rPr>
                <w:rFonts w:hint="eastAsia"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47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含油工作服、手套</w:t>
            </w:r>
          </w:p>
        </w:tc>
        <w:tc>
          <w:tcPr>
            <w:tcW w:w="1905"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0.01t/a</w:t>
            </w:r>
          </w:p>
        </w:tc>
        <w:tc>
          <w:tcPr>
            <w:tcW w:w="114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8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81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0.01t/a</w:t>
            </w:r>
          </w:p>
        </w:tc>
        <w:tc>
          <w:tcPr>
            <w:tcW w:w="150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0.01t/a</w:t>
            </w:r>
          </w:p>
        </w:tc>
        <w:tc>
          <w:tcPr>
            <w:tcW w:w="2051"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0.01t/a</w:t>
            </w:r>
          </w:p>
        </w:tc>
        <w:tc>
          <w:tcPr>
            <w:tcW w:w="734" w:type="dxa"/>
            <w:noWrap w:val="0"/>
            <w:vAlign w:val="center"/>
          </w:tcPr>
          <w:p>
            <w:pPr>
              <w:adjustRightInd w:val="0"/>
              <w:snapToGrid w:val="0"/>
              <w:jc w:val="center"/>
              <w:rPr>
                <w:rFonts w:hint="eastAsia"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47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含油锯末、沙、吸油棉</w:t>
            </w:r>
          </w:p>
        </w:tc>
        <w:tc>
          <w:tcPr>
            <w:tcW w:w="1905"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0.01t/a</w:t>
            </w:r>
          </w:p>
        </w:tc>
        <w:tc>
          <w:tcPr>
            <w:tcW w:w="1140"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84"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81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0.01t/a</w:t>
            </w:r>
          </w:p>
        </w:tc>
        <w:tc>
          <w:tcPr>
            <w:tcW w:w="150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0.01t/a</w:t>
            </w:r>
          </w:p>
        </w:tc>
        <w:tc>
          <w:tcPr>
            <w:tcW w:w="2051"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0.01t/a</w:t>
            </w:r>
          </w:p>
        </w:tc>
        <w:tc>
          <w:tcPr>
            <w:tcW w:w="734" w:type="dxa"/>
            <w:noWrap w:val="0"/>
            <w:vAlign w:val="center"/>
          </w:tcPr>
          <w:p>
            <w:pPr>
              <w:adjustRightInd w:val="0"/>
              <w:snapToGrid w:val="0"/>
              <w:jc w:val="center"/>
              <w:rPr>
                <w:rFonts w:hint="eastAsia"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w:t>
            </w:r>
          </w:p>
        </w:tc>
      </w:tr>
    </w:tbl>
    <w:p>
      <w:pPr>
        <w:adjustRightInd w:val="0"/>
        <w:snapToGrid w:val="0"/>
        <w:spacing w:before="192" w:beforeLines="80" w:after="24" w:afterLines="10" w:line="259" w:lineRule="auto"/>
        <w:jc w:val="left"/>
        <w:rPr>
          <w:rFonts w:hint="default" w:ascii="Times New Roman" w:hAnsi="Times New Roman" w:cs="Times New Roman"/>
          <w:color w:val="auto"/>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kern w:val="0"/>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0"/>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0"/>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0"/>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kern w:val="0"/>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0"/>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kern w:val="0"/>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0"/>
          <w:szCs w:val="21"/>
        </w:rPr>
        <w:t>①</w:t>
      </w:r>
      <w:r>
        <w:rPr>
          <w:rFonts w:hint="default" w:ascii="Times New Roman" w:hAnsi="Times New Roman" w:cs="Times New Roman"/>
          <w:snapToGrid w:val="0"/>
          <w:color w:val="auto"/>
          <w:spacing w:val="-6"/>
          <w:kern w:val="21"/>
          <w:szCs w:val="21"/>
        </w:rPr>
        <w:fldChar w:fldCharType="end"/>
      </w:r>
    </w:p>
    <w:sectPr>
      <w:headerReference r:id="rId11" w:type="default"/>
      <w:footerReference r:id="rId12"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formProt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auto"/>
    <w:pitch w:val="default"/>
    <w:sig w:usb0="00000203" w:usb1="288F0000" w:usb2="00000006" w:usb3="00000000" w:csb0="00040001" w:csb1="00000000"/>
  </w:font>
  <w:font w:name="仿宋体">
    <w:altName w:val="宋体"/>
    <w:panose1 w:val="00000000000000000000"/>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firstLine="360"/>
      <w:jc w:val="left"/>
      <w:rPr>
        <w:kern w:val="0"/>
        <w:sz w:val="18"/>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snapToGrid w:val="0"/>
      <w:jc w:val="left"/>
      <w:rPr>
        <w:rStyle w:val="22"/>
        <w:kern w:val="0"/>
        <w:sz w:val="18"/>
        <w:szCs w:val="20"/>
      </w:rPr>
    </w:pPr>
    <w:r>
      <w:rPr>
        <w:kern w:val="0"/>
        <w:sz w:val="18"/>
        <w:szCs w:val="20"/>
      </w:rPr>
      <w:fldChar w:fldCharType="begin"/>
    </w:r>
    <w:r>
      <w:rPr>
        <w:rStyle w:val="22"/>
        <w:kern w:val="0"/>
        <w:sz w:val="18"/>
        <w:szCs w:val="20"/>
      </w:rPr>
      <w:instrText xml:space="preserve">PAGE  </w:instrText>
    </w:r>
    <w:r>
      <w:rPr>
        <w:kern w:val="0"/>
        <w:sz w:val="18"/>
        <w:szCs w:val="20"/>
      </w:rPr>
      <w:fldChar w:fldCharType="end"/>
    </w:r>
  </w:p>
  <w:p>
    <w:pPr>
      <w:snapToGrid w:val="0"/>
      <w:ind w:right="360" w:firstLine="360"/>
      <w:jc w:val="left"/>
      <w:rPr>
        <w:kern w:val="0"/>
        <w:sz w:val="18"/>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jc w:val="left"/>
      <w:rPr>
        <w:kern w:val="0"/>
        <w:sz w:val="18"/>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jc w:val="left"/>
      <w:rPr>
        <w:kern w:val="0"/>
        <w:sz w:val="18"/>
        <w:szCs w:val="20"/>
      </w:rPr>
    </w:pPr>
    <w:r>
      <w:rPr>
        <w:kern w:val="0"/>
        <w:sz w:val="18"/>
        <w:szCs w:val="20"/>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-116205</wp:posOffset>
              </wp:positionV>
              <wp:extent cx="275590" cy="292100"/>
              <wp:effectExtent l="0" t="0" r="0" b="0"/>
              <wp:wrapNone/>
              <wp:docPr id="64"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jc w:val="left"/>
                            <w:rPr>
                              <w:rFonts w:hint="eastAsia"/>
                              <w:kern w:val="0"/>
                              <w:sz w:val="20"/>
                              <w:szCs w:val="21"/>
                            </w:rPr>
                          </w:pPr>
                          <w:r>
                            <w:rPr>
                              <w:rFonts w:hint="eastAsia"/>
                              <w:kern w:val="0"/>
                              <w:sz w:val="20"/>
                              <w:szCs w:val="21"/>
                            </w:rPr>
                            <w:fldChar w:fldCharType="begin"/>
                          </w:r>
                          <w:r>
                            <w:rPr>
                              <w:rFonts w:hint="eastAsia"/>
                              <w:kern w:val="0"/>
                              <w:sz w:val="20"/>
                              <w:szCs w:val="21"/>
                            </w:rPr>
                            <w:instrText xml:space="preserve"> PAGE  \* MERGEFORMAT </w:instrText>
                          </w:r>
                          <w:r>
                            <w:rPr>
                              <w:rFonts w:hint="eastAsia"/>
                              <w:kern w:val="0"/>
                              <w:sz w:val="20"/>
                              <w:szCs w:val="21"/>
                            </w:rPr>
                            <w:fldChar w:fldCharType="separate"/>
                          </w:r>
                          <w:r>
                            <w:rPr>
                              <w:kern w:val="0"/>
                              <w:sz w:val="20"/>
                              <w:szCs w:val="21"/>
                            </w:rPr>
                            <w:t>- 22 -</w:t>
                          </w:r>
                          <w:r>
                            <w:rPr>
                              <w:rFonts w:hint="eastAsia"/>
                              <w:kern w:val="0"/>
                              <w:sz w:val="20"/>
                              <w:szCs w:val="21"/>
                            </w:rPr>
                            <w:fldChar w:fldCharType="end"/>
                          </w:r>
                        </w:p>
                      </w:txbxContent>
                    </wps:txbx>
                    <wps:bodyPr wrap="none" lIns="0" tIns="0" rIns="0" bIns="0" upright="0">
                      <a:spAutoFit/>
                    </wps:bodyPr>
                  </wps:wsp>
                </a:graphicData>
              </a:graphic>
            </wp:anchor>
          </w:drawing>
        </mc:Choice>
        <mc:Fallback>
          <w:pict>
            <v:shape id="文本框 22" o:spid="_x0000_s1026" o:spt="202" type="#_x0000_t202" style="position:absolute;left:0pt;margin-top:-9.15pt;height:23pt;width:21.7pt;mso-position-horizontal:right;mso-position-horizontal-relative:margin;mso-wrap-style:none;z-index:251661312;mso-width-relative:page;mso-height-relative:page;" filled="f" stroked="f" coordsize="21600,21600" o:gfxdata="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876eS1AAAAAYBAAAPAAAAAAAAAAEAIAAAACIAAABkcnMv&#10;ZG93bnJldi54bWxQSwECFAAUAAAACACHTuJAuWN6mc4BAACpAwAADgAAAAAAAAABACAAAAAjAQAA&#10;ZHJzL2Uyb0RvYy54bWxQSwUGAAAAAAYABgBZAQAAYwUAAAAA&#10;">
              <v:fill on="f" focussize="0,0"/>
              <v:stroke on="f"/>
              <v:imagedata o:title=""/>
              <o:lock v:ext="edit" aspectratio="f"/>
              <v:textbox inset="0mm,0mm,0mm,0mm" style="mso-fit-shape-to-text:t;">
                <w:txbxContent>
                  <w:p>
                    <w:pPr>
                      <w:snapToGrid w:val="0"/>
                      <w:jc w:val="left"/>
                      <w:rPr>
                        <w:rFonts w:hint="eastAsia"/>
                        <w:kern w:val="0"/>
                        <w:sz w:val="20"/>
                        <w:szCs w:val="21"/>
                      </w:rPr>
                    </w:pPr>
                    <w:r>
                      <w:rPr>
                        <w:rFonts w:hint="eastAsia"/>
                        <w:kern w:val="0"/>
                        <w:sz w:val="20"/>
                        <w:szCs w:val="21"/>
                      </w:rPr>
                      <w:fldChar w:fldCharType="begin"/>
                    </w:r>
                    <w:r>
                      <w:rPr>
                        <w:rFonts w:hint="eastAsia"/>
                        <w:kern w:val="0"/>
                        <w:sz w:val="20"/>
                        <w:szCs w:val="21"/>
                      </w:rPr>
                      <w:instrText xml:space="preserve"> PAGE  \* MERGEFORMAT </w:instrText>
                    </w:r>
                    <w:r>
                      <w:rPr>
                        <w:rFonts w:hint="eastAsia"/>
                        <w:kern w:val="0"/>
                        <w:sz w:val="20"/>
                        <w:szCs w:val="21"/>
                      </w:rPr>
                      <w:fldChar w:fldCharType="separate"/>
                    </w:r>
                    <w:r>
                      <w:rPr>
                        <w:kern w:val="0"/>
                        <w:sz w:val="20"/>
                        <w:szCs w:val="21"/>
                      </w:rPr>
                      <w:t>- 22 -</w:t>
                    </w:r>
                    <w:r>
                      <w:rPr>
                        <w:rFonts w:hint="eastAsia"/>
                        <w:kern w:val="0"/>
                        <w:sz w:val="20"/>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247650" cy="262890"/>
              <wp:effectExtent l="0" t="0" r="0" b="0"/>
              <wp:wrapNone/>
              <wp:docPr id="6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- 32 -</w:t>
                          </w:r>
                          <w:r>
                            <w:rPr>
                              <w:rFonts w:hint="eastAsia"/>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20.7pt;width:19.5pt;mso-position-horizontal:right;mso-position-horizontal-relative:margin;mso-wrap-style:none;z-index:251660288;mso-width-relative:page;mso-height-relative:page;" filled="f" stroked="f" coordsize="21600,21600" o:gfxdata="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CUTQ0QAAAAMBAAAPAAAAAAAAAAEAIAAAACIAAABkcnMvZG93&#10;bnJldi54bWxQSwECFAAUAAAACACHTuJA4sTcGc4BAACoAwAADgAAAAAAAAABACAAAAAgAQAAZHJz&#10;L2Uyb0RvYy54bWxQSwUGAAAAAAYABgBZAQAAYAUAAAAA&#10;">
              <v:fill on="f" focussize="0,0"/>
              <v:stroke on="f"/>
              <v:imagedata o:title=""/>
              <o:lock v:ext="edit" aspectratio="f"/>
              <v:textbox inset="0mm,0mm,0mm,0mm" style="mso-fit-shape-to-text:t;">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- 32 -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right w:val="none" w:color="auto" w:sz="0" w:space="4"/>
      </w:pBdr>
      <w:snapToGrid w:val="0"/>
      <w:jc w:val="center"/>
      <w:rPr>
        <w:kern w:val="0"/>
        <w:sz w:val="1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1"/>
        <w:left w:val="none" w:color="auto" w:sz="0" w:space="4"/>
        <w:bottom w:val="none" w:color="auto" w:sz="0" w:space="1"/>
        <w:right w:val="none" w:color="auto" w:sz="0" w:space="4"/>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8F56A"/>
    <w:multiLevelType w:val="singleLevel"/>
    <w:tmpl w:val="B048F56A"/>
    <w:lvl w:ilvl="0" w:tentative="0">
      <w:start w:val="1"/>
      <w:numFmt w:val="decimalEnclosedCircleChinese"/>
      <w:suff w:val="nothing"/>
      <w:lvlText w:val="%1　"/>
      <w:lvlJc w:val="left"/>
      <w:pPr>
        <w:ind w:left="0" w:firstLine="400"/>
      </w:pPr>
      <w:rPr>
        <w:rFonts w:hint="eastAsia"/>
      </w:rPr>
    </w:lvl>
  </w:abstractNum>
  <w:abstractNum w:abstractNumId="1">
    <w:nsid w:val="C94F616D"/>
    <w:multiLevelType w:val="singleLevel"/>
    <w:tmpl w:val="C94F616D"/>
    <w:lvl w:ilvl="0" w:tentative="0">
      <w:start w:val="1"/>
      <w:numFmt w:val="decimal"/>
      <w:suff w:val="nothing"/>
      <w:lvlText w:val="%1、"/>
      <w:lvlJc w:val="left"/>
    </w:lvl>
  </w:abstractNum>
  <w:abstractNum w:abstractNumId="2">
    <w:nsid w:val="D35397EB"/>
    <w:multiLevelType w:val="singleLevel"/>
    <w:tmpl w:val="D35397EB"/>
    <w:lvl w:ilvl="0" w:tentative="0">
      <w:start w:val="1"/>
      <w:numFmt w:val="decimal"/>
      <w:suff w:val="nothing"/>
      <w:lvlText w:val="%1、"/>
      <w:lvlJc w:val="left"/>
      <w:rPr>
        <w:rFonts w:hint="default"/>
        <w:color w:val="auto"/>
      </w:rPr>
    </w:lvl>
  </w:abstractNum>
  <w:abstractNum w:abstractNumId="3">
    <w:nsid w:val="D454ECA3"/>
    <w:multiLevelType w:val="singleLevel"/>
    <w:tmpl w:val="D454ECA3"/>
    <w:lvl w:ilvl="0" w:tentative="0">
      <w:start w:val="1"/>
      <w:numFmt w:val="decimal"/>
      <w:suff w:val="nothing"/>
      <w:lvlText w:val="表%1  "/>
      <w:lvlJc w:val="left"/>
      <w:pPr>
        <w:ind w:left="0" w:firstLine="0"/>
      </w:pPr>
      <w:rPr>
        <w:rFonts w:hint="default" w:ascii="Times New Roman" w:hAnsi="Times New Roman" w:eastAsia="黑体" w:cs="Times New Roman"/>
        <w:sz w:val="20"/>
        <w:szCs w:val="20"/>
      </w:rPr>
    </w:lvl>
  </w:abstractNum>
  <w:abstractNum w:abstractNumId="4">
    <w:nsid w:val="DE0E61E2"/>
    <w:multiLevelType w:val="singleLevel"/>
    <w:tmpl w:val="DE0E61E2"/>
    <w:lvl w:ilvl="0" w:tentative="0">
      <w:start w:val="1"/>
      <w:numFmt w:val="decimal"/>
      <w:suff w:val="nothing"/>
      <w:lvlText w:val="%1、"/>
      <w:lvlJc w:val="left"/>
      <w:rPr>
        <w:rFonts w:hint="default"/>
        <w:color w:val="auto"/>
      </w:rPr>
    </w:lvl>
  </w:abstractNum>
  <w:abstractNum w:abstractNumId="5">
    <w:nsid w:val="E549BC1C"/>
    <w:multiLevelType w:val="singleLevel"/>
    <w:tmpl w:val="E549BC1C"/>
    <w:lvl w:ilvl="0" w:tentative="0">
      <w:start w:val="1"/>
      <w:numFmt w:val="decimal"/>
      <w:suff w:val="nothing"/>
      <w:lvlText w:val="%1、"/>
      <w:lvlJc w:val="left"/>
      <w:rPr>
        <w:rFonts w:hint="default"/>
        <w:color w:val="auto"/>
      </w:rPr>
    </w:lvl>
  </w:abstractNum>
  <w:abstractNum w:abstractNumId="6">
    <w:nsid w:val="EF291846"/>
    <w:multiLevelType w:val="singleLevel"/>
    <w:tmpl w:val="EF291846"/>
    <w:lvl w:ilvl="0" w:tentative="0">
      <w:start w:val="1"/>
      <w:numFmt w:val="decimal"/>
      <w:suff w:val="nothing"/>
      <w:lvlText w:val="（%1）"/>
      <w:lvlJc w:val="left"/>
    </w:lvl>
  </w:abstractNum>
  <w:abstractNum w:abstractNumId="7">
    <w:nsid w:val="00E6C137"/>
    <w:multiLevelType w:val="singleLevel"/>
    <w:tmpl w:val="00E6C137"/>
    <w:lvl w:ilvl="0" w:tentative="0">
      <w:start w:val="1"/>
      <w:numFmt w:val="decimal"/>
      <w:suff w:val="nothing"/>
      <w:lvlText w:val="%1、"/>
      <w:lvlJc w:val="left"/>
      <w:rPr>
        <w:rFonts w:hint="default"/>
        <w:color w:val="auto"/>
      </w:rPr>
    </w:lvl>
  </w:abstractNum>
  <w:abstractNum w:abstractNumId="8">
    <w:nsid w:val="0F861C87"/>
    <w:multiLevelType w:val="singleLevel"/>
    <w:tmpl w:val="0F861C87"/>
    <w:lvl w:ilvl="0" w:tentative="0">
      <w:start w:val="1"/>
      <w:numFmt w:val="decimal"/>
      <w:suff w:val="nothing"/>
      <w:lvlText w:val="%1"/>
      <w:lvlJc w:val="left"/>
      <w:pPr>
        <w:ind w:left="425" w:hanging="425"/>
      </w:pPr>
      <w:rPr>
        <w:rFonts w:hint="default"/>
        <w:b w:val="0"/>
        <w:bCs w:val="0"/>
      </w:rPr>
    </w:lvl>
  </w:abstractNum>
  <w:abstractNum w:abstractNumId="9">
    <w:nsid w:val="14B09B3A"/>
    <w:multiLevelType w:val="singleLevel"/>
    <w:tmpl w:val="14B09B3A"/>
    <w:lvl w:ilvl="0" w:tentative="0">
      <w:start w:val="1"/>
      <w:numFmt w:val="decimalEnclosedCircleChinese"/>
      <w:suff w:val="nothing"/>
      <w:lvlText w:val="%1　"/>
      <w:lvlJc w:val="left"/>
      <w:pPr>
        <w:ind w:left="0" w:firstLine="400"/>
      </w:pPr>
      <w:rPr>
        <w:rFonts w:hint="eastAsia"/>
      </w:rPr>
    </w:lvl>
  </w:abstractNum>
  <w:abstractNum w:abstractNumId="10">
    <w:nsid w:val="17CCAF5B"/>
    <w:multiLevelType w:val="singleLevel"/>
    <w:tmpl w:val="17CCAF5B"/>
    <w:lvl w:ilvl="0" w:tentative="0">
      <w:start w:val="1"/>
      <w:numFmt w:val="decimal"/>
      <w:suff w:val="nothing"/>
      <w:lvlText w:val="图%1："/>
      <w:lvlJc w:val="left"/>
      <w:pPr>
        <w:ind w:left="425" w:hanging="425"/>
      </w:pPr>
      <w:rPr>
        <w:rFonts w:hint="default" w:ascii="Times New Roman" w:hAnsi="Times New Roman" w:eastAsia="黑体" w:cs="Times New Roman"/>
        <w:b w:val="0"/>
        <w:bCs w:val="0"/>
        <w:color w:val="auto"/>
      </w:rPr>
    </w:lvl>
  </w:abstractNum>
  <w:abstractNum w:abstractNumId="11">
    <w:nsid w:val="19FC456B"/>
    <w:multiLevelType w:val="singleLevel"/>
    <w:tmpl w:val="19FC456B"/>
    <w:lvl w:ilvl="0" w:tentative="0">
      <w:start w:val="1"/>
      <w:numFmt w:val="decimal"/>
      <w:suff w:val="nothing"/>
      <w:lvlText w:val="%1、"/>
      <w:lvlJc w:val="left"/>
      <w:rPr>
        <w:rFonts w:hint="default"/>
        <w:color w:val="auto"/>
      </w:rPr>
    </w:lvl>
  </w:abstractNum>
  <w:abstractNum w:abstractNumId="12">
    <w:nsid w:val="1D81F7A3"/>
    <w:multiLevelType w:val="singleLevel"/>
    <w:tmpl w:val="1D81F7A3"/>
    <w:lvl w:ilvl="0" w:tentative="0">
      <w:start w:val="1"/>
      <w:numFmt w:val="decimal"/>
      <w:suff w:val="nothing"/>
      <w:lvlText w:val="（%1）"/>
      <w:lvlJc w:val="left"/>
    </w:lvl>
  </w:abstractNum>
  <w:abstractNum w:abstractNumId="13">
    <w:nsid w:val="20300F90"/>
    <w:multiLevelType w:val="singleLevel"/>
    <w:tmpl w:val="20300F90"/>
    <w:lvl w:ilvl="0" w:tentative="0">
      <w:start w:val="1"/>
      <w:numFmt w:val="decimal"/>
      <w:suff w:val="nothing"/>
      <w:lvlText w:val="%1、"/>
      <w:lvlJc w:val="left"/>
      <w:rPr>
        <w:rFonts w:hint="default"/>
        <w:color w:val="auto"/>
      </w:rPr>
    </w:lvl>
  </w:abstractNum>
  <w:abstractNum w:abstractNumId="14">
    <w:nsid w:val="222209C9"/>
    <w:multiLevelType w:val="singleLevel"/>
    <w:tmpl w:val="222209C9"/>
    <w:lvl w:ilvl="0" w:tentative="0">
      <w:start w:val="2"/>
      <w:numFmt w:val="decimal"/>
      <w:suff w:val="nothing"/>
      <w:lvlText w:val="（%1）"/>
      <w:lvlJc w:val="left"/>
    </w:lvl>
  </w:abstractNum>
  <w:abstractNum w:abstractNumId="15">
    <w:nsid w:val="26D77AD7"/>
    <w:multiLevelType w:val="singleLevel"/>
    <w:tmpl w:val="26D77AD7"/>
    <w:lvl w:ilvl="0" w:tentative="0">
      <w:start w:val="1"/>
      <w:numFmt w:val="decimal"/>
      <w:suff w:val="nothing"/>
      <w:lvlText w:val="%1、"/>
      <w:lvlJc w:val="left"/>
    </w:lvl>
  </w:abstractNum>
  <w:abstractNum w:abstractNumId="16">
    <w:nsid w:val="337BA9BB"/>
    <w:multiLevelType w:val="singleLevel"/>
    <w:tmpl w:val="337BA9BB"/>
    <w:lvl w:ilvl="0" w:tentative="0">
      <w:start w:val="1"/>
      <w:numFmt w:val="decimal"/>
      <w:suff w:val="nothing"/>
      <w:lvlText w:val="%1、"/>
      <w:lvlJc w:val="left"/>
      <w:rPr>
        <w:rFonts w:hint="default"/>
        <w:color w:val="auto"/>
      </w:rPr>
    </w:lvl>
  </w:abstractNum>
  <w:abstractNum w:abstractNumId="17">
    <w:nsid w:val="3924BE82"/>
    <w:multiLevelType w:val="singleLevel"/>
    <w:tmpl w:val="3924BE82"/>
    <w:lvl w:ilvl="0" w:tentative="0">
      <w:start w:val="1"/>
      <w:numFmt w:val="decimalEnclosedCircleChinese"/>
      <w:suff w:val="nothing"/>
      <w:lvlText w:val="%1　"/>
      <w:lvlJc w:val="left"/>
      <w:pPr>
        <w:ind w:left="0" w:firstLine="400"/>
      </w:pPr>
      <w:rPr>
        <w:rFonts w:hint="eastAsia"/>
      </w:rPr>
    </w:lvl>
  </w:abstractNum>
  <w:abstractNum w:abstractNumId="18">
    <w:nsid w:val="4F13FB4C"/>
    <w:multiLevelType w:val="singleLevel"/>
    <w:tmpl w:val="4F13FB4C"/>
    <w:lvl w:ilvl="0" w:tentative="0">
      <w:start w:val="1"/>
      <w:numFmt w:val="decimal"/>
      <w:suff w:val="nothing"/>
      <w:lvlText w:val="%1、"/>
      <w:lvlJc w:val="left"/>
      <w:rPr>
        <w:rFonts w:hint="default"/>
        <w:color w:val="auto"/>
      </w:rPr>
    </w:lvl>
  </w:abstractNum>
  <w:abstractNum w:abstractNumId="19">
    <w:nsid w:val="57B2BFB6"/>
    <w:multiLevelType w:val="singleLevel"/>
    <w:tmpl w:val="57B2BFB6"/>
    <w:lvl w:ilvl="0" w:tentative="0">
      <w:start w:val="1"/>
      <w:numFmt w:val="decimal"/>
      <w:suff w:val="nothing"/>
      <w:lvlText w:val="（%1）"/>
      <w:lvlJc w:val="left"/>
    </w:lvl>
  </w:abstractNum>
  <w:num w:numId="1">
    <w:abstractNumId w:val="3"/>
  </w:num>
  <w:num w:numId="2">
    <w:abstractNumId w:val="1"/>
  </w:num>
  <w:num w:numId="3">
    <w:abstractNumId w:val="11"/>
  </w:num>
  <w:num w:numId="4">
    <w:abstractNumId w:val="10"/>
  </w:num>
  <w:num w:numId="5">
    <w:abstractNumId w:val="19"/>
  </w:num>
  <w:num w:numId="6">
    <w:abstractNumId w:val="8"/>
  </w:num>
  <w:num w:numId="7">
    <w:abstractNumId w:val="14"/>
  </w:num>
  <w:num w:numId="8">
    <w:abstractNumId w:val="7"/>
  </w:num>
  <w:num w:numId="9">
    <w:abstractNumId w:val="18"/>
  </w:num>
  <w:num w:numId="10">
    <w:abstractNumId w:val="15"/>
  </w:num>
  <w:num w:numId="11">
    <w:abstractNumId w:val="12"/>
  </w:num>
  <w:num w:numId="12">
    <w:abstractNumId w:val="0"/>
  </w:num>
  <w:num w:numId="13">
    <w:abstractNumId w:val="17"/>
  </w:num>
  <w:num w:numId="14">
    <w:abstractNumId w:val="16"/>
  </w:num>
  <w:num w:numId="15">
    <w:abstractNumId w:val="6"/>
  </w:num>
  <w:num w:numId="16">
    <w:abstractNumId w:val="4"/>
  </w:num>
  <w:num w:numId="17">
    <w:abstractNumId w:val="13"/>
  </w:num>
  <w:num w:numId="18">
    <w:abstractNumId w:val="2"/>
  </w:num>
  <w:num w:numId="19">
    <w:abstractNumId w:val="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isplayBackgroundShape w:val="1"/>
  <w:bordersDoNotSurroundHeader w:val="0"/>
  <w:bordersDoNotSurroundFooter w:val="0"/>
  <w:documentProtection w:edit="forms" w:formatting="1"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0YzBhMTIwNTgxMmZhOWE3OTc1MzI2Mzc1MWJkMGYifQ=="/>
  </w:docVars>
  <w:rsids>
    <w:rsidRoot w:val="00172A27"/>
    <w:rsid w:val="00183961"/>
    <w:rsid w:val="002E0D98"/>
    <w:rsid w:val="002E2102"/>
    <w:rsid w:val="00356A5B"/>
    <w:rsid w:val="00363D0F"/>
    <w:rsid w:val="004420DC"/>
    <w:rsid w:val="00475AFD"/>
    <w:rsid w:val="004C7FB3"/>
    <w:rsid w:val="00500138"/>
    <w:rsid w:val="00573A1C"/>
    <w:rsid w:val="005B1D29"/>
    <w:rsid w:val="005E3172"/>
    <w:rsid w:val="00692059"/>
    <w:rsid w:val="00764137"/>
    <w:rsid w:val="0078143C"/>
    <w:rsid w:val="0081782E"/>
    <w:rsid w:val="009269A2"/>
    <w:rsid w:val="00A11A7B"/>
    <w:rsid w:val="00AF1302"/>
    <w:rsid w:val="00B551D8"/>
    <w:rsid w:val="00C2555A"/>
    <w:rsid w:val="00CA1E91"/>
    <w:rsid w:val="00CB0F04"/>
    <w:rsid w:val="00EC5951"/>
    <w:rsid w:val="00F071BE"/>
    <w:rsid w:val="00F81A5A"/>
    <w:rsid w:val="00F82326"/>
    <w:rsid w:val="00FF5221"/>
    <w:rsid w:val="01017684"/>
    <w:rsid w:val="01057174"/>
    <w:rsid w:val="01146A5F"/>
    <w:rsid w:val="0116404E"/>
    <w:rsid w:val="01315C4E"/>
    <w:rsid w:val="01316582"/>
    <w:rsid w:val="014E746C"/>
    <w:rsid w:val="015B5850"/>
    <w:rsid w:val="015D3C94"/>
    <w:rsid w:val="016519C1"/>
    <w:rsid w:val="016C1FC0"/>
    <w:rsid w:val="01796AD5"/>
    <w:rsid w:val="01A85B00"/>
    <w:rsid w:val="01BF166D"/>
    <w:rsid w:val="01CB7228"/>
    <w:rsid w:val="01CE1302"/>
    <w:rsid w:val="01CE3A0A"/>
    <w:rsid w:val="01D25603"/>
    <w:rsid w:val="01E07299"/>
    <w:rsid w:val="01F571E8"/>
    <w:rsid w:val="02030689"/>
    <w:rsid w:val="020A2568"/>
    <w:rsid w:val="021F1620"/>
    <w:rsid w:val="022C5EB2"/>
    <w:rsid w:val="02370B4F"/>
    <w:rsid w:val="024535A0"/>
    <w:rsid w:val="02513EBD"/>
    <w:rsid w:val="026B201E"/>
    <w:rsid w:val="026F4C85"/>
    <w:rsid w:val="027743A2"/>
    <w:rsid w:val="02781BC8"/>
    <w:rsid w:val="027D2D3A"/>
    <w:rsid w:val="02827BBD"/>
    <w:rsid w:val="02843A23"/>
    <w:rsid w:val="028F7E17"/>
    <w:rsid w:val="029B0AA3"/>
    <w:rsid w:val="02AF0A58"/>
    <w:rsid w:val="02B359A4"/>
    <w:rsid w:val="02B435EC"/>
    <w:rsid w:val="02BF0030"/>
    <w:rsid w:val="02D00CEA"/>
    <w:rsid w:val="02D02383"/>
    <w:rsid w:val="02D34176"/>
    <w:rsid w:val="02E65150"/>
    <w:rsid w:val="02EB1F20"/>
    <w:rsid w:val="02F16B46"/>
    <w:rsid w:val="02F56B95"/>
    <w:rsid w:val="03015719"/>
    <w:rsid w:val="03190CB5"/>
    <w:rsid w:val="031A18A8"/>
    <w:rsid w:val="031D766C"/>
    <w:rsid w:val="03260DFE"/>
    <w:rsid w:val="032B6553"/>
    <w:rsid w:val="0341197C"/>
    <w:rsid w:val="034B09F4"/>
    <w:rsid w:val="03551DCD"/>
    <w:rsid w:val="036A6609"/>
    <w:rsid w:val="036F0030"/>
    <w:rsid w:val="038B1487"/>
    <w:rsid w:val="038E4CC1"/>
    <w:rsid w:val="03CC46E8"/>
    <w:rsid w:val="03E024CA"/>
    <w:rsid w:val="03E05C76"/>
    <w:rsid w:val="03E15932"/>
    <w:rsid w:val="03F32878"/>
    <w:rsid w:val="03FF434E"/>
    <w:rsid w:val="04036E19"/>
    <w:rsid w:val="04046929"/>
    <w:rsid w:val="040F57CB"/>
    <w:rsid w:val="041651F4"/>
    <w:rsid w:val="041E22FB"/>
    <w:rsid w:val="042272EE"/>
    <w:rsid w:val="042618EC"/>
    <w:rsid w:val="042D3BE7"/>
    <w:rsid w:val="042E76B8"/>
    <w:rsid w:val="04344BE5"/>
    <w:rsid w:val="043C3C67"/>
    <w:rsid w:val="04402271"/>
    <w:rsid w:val="046430FF"/>
    <w:rsid w:val="04812072"/>
    <w:rsid w:val="04895A24"/>
    <w:rsid w:val="04933F98"/>
    <w:rsid w:val="04AB35F1"/>
    <w:rsid w:val="04AB3989"/>
    <w:rsid w:val="04C06755"/>
    <w:rsid w:val="04C07CA0"/>
    <w:rsid w:val="04D549A2"/>
    <w:rsid w:val="04D855BF"/>
    <w:rsid w:val="04E23570"/>
    <w:rsid w:val="04F15790"/>
    <w:rsid w:val="04F909C2"/>
    <w:rsid w:val="04FB4B87"/>
    <w:rsid w:val="04FE2247"/>
    <w:rsid w:val="04FE5E63"/>
    <w:rsid w:val="05320F61"/>
    <w:rsid w:val="053C709B"/>
    <w:rsid w:val="05423235"/>
    <w:rsid w:val="054D62B9"/>
    <w:rsid w:val="05536BE0"/>
    <w:rsid w:val="05562911"/>
    <w:rsid w:val="055E3F24"/>
    <w:rsid w:val="056250EE"/>
    <w:rsid w:val="05691353"/>
    <w:rsid w:val="057B30C9"/>
    <w:rsid w:val="05863F60"/>
    <w:rsid w:val="058F1702"/>
    <w:rsid w:val="05925B79"/>
    <w:rsid w:val="05B178CA"/>
    <w:rsid w:val="05BD5D15"/>
    <w:rsid w:val="05C32900"/>
    <w:rsid w:val="05C937EE"/>
    <w:rsid w:val="05DE6D68"/>
    <w:rsid w:val="05EE6DC4"/>
    <w:rsid w:val="05F851F3"/>
    <w:rsid w:val="05FD2B10"/>
    <w:rsid w:val="05FF39E8"/>
    <w:rsid w:val="061662CA"/>
    <w:rsid w:val="0619117D"/>
    <w:rsid w:val="06210014"/>
    <w:rsid w:val="063B7194"/>
    <w:rsid w:val="0642318C"/>
    <w:rsid w:val="064326C0"/>
    <w:rsid w:val="064736DB"/>
    <w:rsid w:val="0648460B"/>
    <w:rsid w:val="06574939"/>
    <w:rsid w:val="067938BB"/>
    <w:rsid w:val="06944DEA"/>
    <w:rsid w:val="06990F1A"/>
    <w:rsid w:val="069E2FBE"/>
    <w:rsid w:val="06BA3D04"/>
    <w:rsid w:val="06DA57D6"/>
    <w:rsid w:val="06DD31DD"/>
    <w:rsid w:val="06DF3FC3"/>
    <w:rsid w:val="06EF3557"/>
    <w:rsid w:val="06FB6726"/>
    <w:rsid w:val="06FF1DAE"/>
    <w:rsid w:val="071E28C3"/>
    <w:rsid w:val="073A1795"/>
    <w:rsid w:val="075073A9"/>
    <w:rsid w:val="075A0A36"/>
    <w:rsid w:val="07660241"/>
    <w:rsid w:val="07756365"/>
    <w:rsid w:val="079D2ED2"/>
    <w:rsid w:val="07B0770E"/>
    <w:rsid w:val="07B226C3"/>
    <w:rsid w:val="07C26242"/>
    <w:rsid w:val="07D165BE"/>
    <w:rsid w:val="07D27F07"/>
    <w:rsid w:val="07D83AF1"/>
    <w:rsid w:val="07E8334B"/>
    <w:rsid w:val="07ED4A34"/>
    <w:rsid w:val="07F918DC"/>
    <w:rsid w:val="08000695"/>
    <w:rsid w:val="080E7408"/>
    <w:rsid w:val="081B102B"/>
    <w:rsid w:val="0820451B"/>
    <w:rsid w:val="0822060B"/>
    <w:rsid w:val="082B59E1"/>
    <w:rsid w:val="08417B82"/>
    <w:rsid w:val="08477C92"/>
    <w:rsid w:val="084A08E3"/>
    <w:rsid w:val="08760F8D"/>
    <w:rsid w:val="0877691D"/>
    <w:rsid w:val="089741DF"/>
    <w:rsid w:val="08B9108C"/>
    <w:rsid w:val="08C44ED5"/>
    <w:rsid w:val="08C45279"/>
    <w:rsid w:val="08CC65DF"/>
    <w:rsid w:val="08CF4D08"/>
    <w:rsid w:val="08D86EF9"/>
    <w:rsid w:val="08DF0448"/>
    <w:rsid w:val="08F8136C"/>
    <w:rsid w:val="08FB6153"/>
    <w:rsid w:val="08FF23CB"/>
    <w:rsid w:val="09055F9D"/>
    <w:rsid w:val="09146A87"/>
    <w:rsid w:val="09191DF5"/>
    <w:rsid w:val="092123F9"/>
    <w:rsid w:val="0923128F"/>
    <w:rsid w:val="09411062"/>
    <w:rsid w:val="09544411"/>
    <w:rsid w:val="095B453B"/>
    <w:rsid w:val="096565BF"/>
    <w:rsid w:val="09776735"/>
    <w:rsid w:val="097F4A7C"/>
    <w:rsid w:val="099525F6"/>
    <w:rsid w:val="099B561A"/>
    <w:rsid w:val="09A01B31"/>
    <w:rsid w:val="09AA6A30"/>
    <w:rsid w:val="09C3756A"/>
    <w:rsid w:val="09D5459F"/>
    <w:rsid w:val="09DC5A41"/>
    <w:rsid w:val="09F40FF9"/>
    <w:rsid w:val="09F509D8"/>
    <w:rsid w:val="09F96D57"/>
    <w:rsid w:val="09FC2C85"/>
    <w:rsid w:val="0A1065B9"/>
    <w:rsid w:val="0A107D24"/>
    <w:rsid w:val="0A1276AB"/>
    <w:rsid w:val="0A166D7C"/>
    <w:rsid w:val="0A230864"/>
    <w:rsid w:val="0A2A0F62"/>
    <w:rsid w:val="0A334D52"/>
    <w:rsid w:val="0A487E60"/>
    <w:rsid w:val="0A5268C0"/>
    <w:rsid w:val="0A552BB3"/>
    <w:rsid w:val="0A5C59A5"/>
    <w:rsid w:val="0A607E98"/>
    <w:rsid w:val="0A671C25"/>
    <w:rsid w:val="0A7E4E6D"/>
    <w:rsid w:val="0A91447A"/>
    <w:rsid w:val="0A9266D4"/>
    <w:rsid w:val="0AA3144D"/>
    <w:rsid w:val="0AB85F5E"/>
    <w:rsid w:val="0ABA53C0"/>
    <w:rsid w:val="0ABE7709"/>
    <w:rsid w:val="0AC063D5"/>
    <w:rsid w:val="0ACE1B75"/>
    <w:rsid w:val="0ADF0542"/>
    <w:rsid w:val="0AE12671"/>
    <w:rsid w:val="0AF000C2"/>
    <w:rsid w:val="0B006969"/>
    <w:rsid w:val="0B5F4B58"/>
    <w:rsid w:val="0BCF7DFA"/>
    <w:rsid w:val="0BE31972"/>
    <w:rsid w:val="0BE31B07"/>
    <w:rsid w:val="0BFD4F69"/>
    <w:rsid w:val="0C010ABA"/>
    <w:rsid w:val="0C161B0D"/>
    <w:rsid w:val="0C1A1A9F"/>
    <w:rsid w:val="0C1C097C"/>
    <w:rsid w:val="0C271E51"/>
    <w:rsid w:val="0C2D6F8C"/>
    <w:rsid w:val="0C353893"/>
    <w:rsid w:val="0C3746BF"/>
    <w:rsid w:val="0C7C7A78"/>
    <w:rsid w:val="0C924617"/>
    <w:rsid w:val="0CA77331"/>
    <w:rsid w:val="0CBC70C4"/>
    <w:rsid w:val="0CCC729C"/>
    <w:rsid w:val="0CD02B7B"/>
    <w:rsid w:val="0CE9769E"/>
    <w:rsid w:val="0CF7329F"/>
    <w:rsid w:val="0D05403C"/>
    <w:rsid w:val="0D1E42DE"/>
    <w:rsid w:val="0D1F7D83"/>
    <w:rsid w:val="0D425F2A"/>
    <w:rsid w:val="0D496CAB"/>
    <w:rsid w:val="0D4C3F35"/>
    <w:rsid w:val="0D563931"/>
    <w:rsid w:val="0D8C6527"/>
    <w:rsid w:val="0D941720"/>
    <w:rsid w:val="0D951AE8"/>
    <w:rsid w:val="0D9D1231"/>
    <w:rsid w:val="0DA75B45"/>
    <w:rsid w:val="0DAB1F9A"/>
    <w:rsid w:val="0DB810F2"/>
    <w:rsid w:val="0DBD5651"/>
    <w:rsid w:val="0DC11A00"/>
    <w:rsid w:val="0DC95CA5"/>
    <w:rsid w:val="0DD51069"/>
    <w:rsid w:val="0DD5320B"/>
    <w:rsid w:val="0DDA1988"/>
    <w:rsid w:val="0DDB7097"/>
    <w:rsid w:val="0DDC4B57"/>
    <w:rsid w:val="0DFA123D"/>
    <w:rsid w:val="0DFE4026"/>
    <w:rsid w:val="0E0F024C"/>
    <w:rsid w:val="0E2E5119"/>
    <w:rsid w:val="0E360BF1"/>
    <w:rsid w:val="0E417312"/>
    <w:rsid w:val="0E591A08"/>
    <w:rsid w:val="0E5C42F0"/>
    <w:rsid w:val="0E91583F"/>
    <w:rsid w:val="0E954210"/>
    <w:rsid w:val="0EAD71AB"/>
    <w:rsid w:val="0EB07DE3"/>
    <w:rsid w:val="0EB65F51"/>
    <w:rsid w:val="0ECA10D3"/>
    <w:rsid w:val="0ED34249"/>
    <w:rsid w:val="0ED50EA3"/>
    <w:rsid w:val="0ED62150"/>
    <w:rsid w:val="0EDE2912"/>
    <w:rsid w:val="0EE80443"/>
    <w:rsid w:val="0EEE3B5E"/>
    <w:rsid w:val="0EFB07CE"/>
    <w:rsid w:val="0F0740B7"/>
    <w:rsid w:val="0F1262B1"/>
    <w:rsid w:val="0F19481C"/>
    <w:rsid w:val="0F2575EF"/>
    <w:rsid w:val="0F405A07"/>
    <w:rsid w:val="0F426F2C"/>
    <w:rsid w:val="0F4A5DF6"/>
    <w:rsid w:val="0F5E4380"/>
    <w:rsid w:val="0F646881"/>
    <w:rsid w:val="0F671370"/>
    <w:rsid w:val="0F6E6E16"/>
    <w:rsid w:val="0F6E7CEB"/>
    <w:rsid w:val="0F7840BE"/>
    <w:rsid w:val="0F7A2F61"/>
    <w:rsid w:val="0F7B16ED"/>
    <w:rsid w:val="0F9073B9"/>
    <w:rsid w:val="0F9E00BE"/>
    <w:rsid w:val="0FA03B3C"/>
    <w:rsid w:val="0FA45532"/>
    <w:rsid w:val="0FA45F55"/>
    <w:rsid w:val="0FA618FC"/>
    <w:rsid w:val="0FA77EC9"/>
    <w:rsid w:val="0FAB4C39"/>
    <w:rsid w:val="0FB01203"/>
    <w:rsid w:val="0FB94C4A"/>
    <w:rsid w:val="0FBF31EF"/>
    <w:rsid w:val="0FC12BD1"/>
    <w:rsid w:val="0FC8453A"/>
    <w:rsid w:val="0FCE2C6E"/>
    <w:rsid w:val="0FD3668F"/>
    <w:rsid w:val="0FD3789E"/>
    <w:rsid w:val="0FDF5245"/>
    <w:rsid w:val="0FE3156A"/>
    <w:rsid w:val="0FEF68A2"/>
    <w:rsid w:val="0FF80ABE"/>
    <w:rsid w:val="100762D8"/>
    <w:rsid w:val="100B5F1F"/>
    <w:rsid w:val="10183F6F"/>
    <w:rsid w:val="102E0B34"/>
    <w:rsid w:val="10410E12"/>
    <w:rsid w:val="104D5781"/>
    <w:rsid w:val="106969CE"/>
    <w:rsid w:val="106D6113"/>
    <w:rsid w:val="106E5AE6"/>
    <w:rsid w:val="106F1316"/>
    <w:rsid w:val="10784048"/>
    <w:rsid w:val="107B41C9"/>
    <w:rsid w:val="107F6F77"/>
    <w:rsid w:val="1097715C"/>
    <w:rsid w:val="109A325D"/>
    <w:rsid w:val="109A4FB3"/>
    <w:rsid w:val="10A23143"/>
    <w:rsid w:val="10A27136"/>
    <w:rsid w:val="10A40D57"/>
    <w:rsid w:val="10AC536E"/>
    <w:rsid w:val="10E16B8A"/>
    <w:rsid w:val="10EB1D07"/>
    <w:rsid w:val="10EB2835"/>
    <w:rsid w:val="10EF25B7"/>
    <w:rsid w:val="10F71CFF"/>
    <w:rsid w:val="110262D7"/>
    <w:rsid w:val="111310D9"/>
    <w:rsid w:val="111947C8"/>
    <w:rsid w:val="11254186"/>
    <w:rsid w:val="112F3718"/>
    <w:rsid w:val="114629F6"/>
    <w:rsid w:val="11722841"/>
    <w:rsid w:val="11807C9C"/>
    <w:rsid w:val="11825B4A"/>
    <w:rsid w:val="11835FFA"/>
    <w:rsid w:val="11A150E7"/>
    <w:rsid w:val="11A65AE5"/>
    <w:rsid w:val="11AD64EB"/>
    <w:rsid w:val="11B43AA5"/>
    <w:rsid w:val="11B52697"/>
    <w:rsid w:val="11BD26CA"/>
    <w:rsid w:val="11BD4DD2"/>
    <w:rsid w:val="11C67DEF"/>
    <w:rsid w:val="11D075FA"/>
    <w:rsid w:val="11E578B1"/>
    <w:rsid w:val="11F12DFD"/>
    <w:rsid w:val="11F204E8"/>
    <w:rsid w:val="11FF3F33"/>
    <w:rsid w:val="12200D02"/>
    <w:rsid w:val="122D59F7"/>
    <w:rsid w:val="12417044"/>
    <w:rsid w:val="12535AED"/>
    <w:rsid w:val="12537D4C"/>
    <w:rsid w:val="127224E0"/>
    <w:rsid w:val="12790D7C"/>
    <w:rsid w:val="12832E69"/>
    <w:rsid w:val="12853095"/>
    <w:rsid w:val="12870058"/>
    <w:rsid w:val="12B75037"/>
    <w:rsid w:val="12BE6115"/>
    <w:rsid w:val="12D51D3C"/>
    <w:rsid w:val="12DB0A41"/>
    <w:rsid w:val="12E0442B"/>
    <w:rsid w:val="12E3558A"/>
    <w:rsid w:val="12EA5636"/>
    <w:rsid w:val="12EE7D29"/>
    <w:rsid w:val="12EF758A"/>
    <w:rsid w:val="12F157AA"/>
    <w:rsid w:val="12FA0587"/>
    <w:rsid w:val="12FD414F"/>
    <w:rsid w:val="13203999"/>
    <w:rsid w:val="134345F9"/>
    <w:rsid w:val="134D60C5"/>
    <w:rsid w:val="135741A1"/>
    <w:rsid w:val="13622743"/>
    <w:rsid w:val="1366439E"/>
    <w:rsid w:val="136B7F2B"/>
    <w:rsid w:val="1385183E"/>
    <w:rsid w:val="13946135"/>
    <w:rsid w:val="139B53FA"/>
    <w:rsid w:val="13B10A95"/>
    <w:rsid w:val="13B159A4"/>
    <w:rsid w:val="13B276D8"/>
    <w:rsid w:val="13E60387"/>
    <w:rsid w:val="13EE386F"/>
    <w:rsid w:val="13F95CB3"/>
    <w:rsid w:val="13FC3F46"/>
    <w:rsid w:val="141A3EA4"/>
    <w:rsid w:val="14217BF8"/>
    <w:rsid w:val="142372E9"/>
    <w:rsid w:val="14312765"/>
    <w:rsid w:val="143B4624"/>
    <w:rsid w:val="143D15D4"/>
    <w:rsid w:val="146E2880"/>
    <w:rsid w:val="14814C35"/>
    <w:rsid w:val="149539F7"/>
    <w:rsid w:val="149C7476"/>
    <w:rsid w:val="149F510D"/>
    <w:rsid w:val="14A521A1"/>
    <w:rsid w:val="14AB42C2"/>
    <w:rsid w:val="14B40087"/>
    <w:rsid w:val="14BB16E8"/>
    <w:rsid w:val="14BE5DC4"/>
    <w:rsid w:val="14C47716"/>
    <w:rsid w:val="14D857F8"/>
    <w:rsid w:val="150D2F1F"/>
    <w:rsid w:val="15127C5A"/>
    <w:rsid w:val="15237771"/>
    <w:rsid w:val="15363948"/>
    <w:rsid w:val="153D70BB"/>
    <w:rsid w:val="15557210"/>
    <w:rsid w:val="155A1576"/>
    <w:rsid w:val="155A597D"/>
    <w:rsid w:val="15735A2B"/>
    <w:rsid w:val="15761D6E"/>
    <w:rsid w:val="1579050C"/>
    <w:rsid w:val="158D108E"/>
    <w:rsid w:val="158F055E"/>
    <w:rsid w:val="15942317"/>
    <w:rsid w:val="15A22D8C"/>
    <w:rsid w:val="15A632F9"/>
    <w:rsid w:val="15AC7766"/>
    <w:rsid w:val="15D958D8"/>
    <w:rsid w:val="15EA521D"/>
    <w:rsid w:val="15F87977"/>
    <w:rsid w:val="160E1960"/>
    <w:rsid w:val="161C78A7"/>
    <w:rsid w:val="163868AA"/>
    <w:rsid w:val="163D50A1"/>
    <w:rsid w:val="163E7132"/>
    <w:rsid w:val="1643493E"/>
    <w:rsid w:val="165D5225"/>
    <w:rsid w:val="16691AFB"/>
    <w:rsid w:val="166F67F2"/>
    <w:rsid w:val="168035E6"/>
    <w:rsid w:val="16860C5C"/>
    <w:rsid w:val="168D3A3C"/>
    <w:rsid w:val="16977FCF"/>
    <w:rsid w:val="169D2323"/>
    <w:rsid w:val="169F37CF"/>
    <w:rsid w:val="16A66784"/>
    <w:rsid w:val="16B03286"/>
    <w:rsid w:val="16BC1158"/>
    <w:rsid w:val="16D47B00"/>
    <w:rsid w:val="16E558F6"/>
    <w:rsid w:val="16F1680B"/>
    <w:rsid w:val="17072D32"/>
    <w:rsid w:val="170F3FBA"/>
    <w:rsid w:val="17172855"/>
    <w:rsid w:val="17267A07"/>
    <w:rsid w:val="1749305A"/>
    <w:rsid w:val="17556DB8"/>
    <w:rsid w:val="175A1AC3"/>
    <w:rsid w:val="175F70C0"/>
    <w:rsid w:val="176F597A"/>
    <w:rsid w:val="177B2710"/>
    <w:rsid w:val="177B4E35"/>
    <w:rsid w:val="178F31DE"/>
    <w:rsid w:val="17A66C33"/>
    <w:rsid w:val="17CE6D14"/>
    <w:rsid w:val="17D2722C"/>
    <w:rsid w:val="17D411F6"/>
    <w:rsid w:val="17D674D7"/>
    <w:rsid w:val="17E47A96"/>
    <w:rsid w:val="17E94CA2"/>
    <w:rsid w:val="17F2365A"/>
    <w:rsid w:val="17FC6EB9"/>
    <w:rsid w:val="181F6915"/>
    <w:rsid w:val="18204F39"/>
    <w:rsid w:val="183A5EE4"/>
    <w:rsid w:val="18440CD6"/>
    <w:rsid w:val="18537829"/>
    <w:rsid w:val="18681913"/>
    <w:rsid w:val="187E52A7"/>
    <w:rsid w:val="187F1162"/>
    <w:rsid w:val="18815817"/>
    <w:rsid w:val="1883180B"/>
    <w:rsid w:val="18845640"/>
    <w:rsid w:val="18850120"/>
    <w:rsid w:val="189052A4"/>
    <w:rsid w:val="18A85EA7"/>
    <w:rsid w:val="18CC4902"/>
    <w:rsid w:val="18D27E53"/>
    <w:rsid w:val="18DA49E1"/>
    <w:rsid w:val="18EB6AFD"/>
    <w:rsid w:val="18ED3758"/>
    <w:rsid w:val="190B0C48"/>
    <w:rsid w:val="190B11C3"/>
    <w:rsid w:val="19285EE3"/>
    <w:rsid w:val="192B6FB0"/>
    <w:rsid w:val="19350654"/>
    <w:rsid w:val="193955AD"/>
    <w:rsid w:val="194505FE"/>
    <w:rsid w:val="194C75AB"/>
    <w:rsid w:val="194D300E"/>
    <w:rsid w:val="194D74B2"/>
    <w:rsid w:val="19843CCC"/>
    <w:rsid w:val="19883610"/>
    <w:rsid w:val="19944CD2"/>
    <w:rsid w:val="19B67F57"/>
    <w:rsid w:val="19B71207"/>
    <w:rsid w:val="19B84A06"/>
    <w:rsid w:val="19DE75D3"/>
    <w:rsid w:val="19E00326"/>
    <w:rsid w:val="19E05EA9"/>
    <w:rsid w:val="19EA1D8E"/>
    <w:rsid w:val="19EB2D25"/>
    <w:rsid w:val="1A054F9C"/>
    <w:rsid w:val="1A232A82"/>
    <w:rsid w:val="1A352420"/>
    <w:rsid w:val="1A3C7CCB"/>
    <w:rsid w:val="1A3D1A63"/>
    <w:rsid w:val="1A3E6F83"/>
    <w:rsid w:val="1A4C4C89"/>
    <w:rsid w:val="1A512084"/>
    <w:rsid w:val="1A61410C"/>
    <w:rsid w:val="1A676FCC"/>
    <w:rsid w:val="1A6D416D"/>
    <w:rsid w:val="1A732971"/>
    <w:rsid w:val="1A7A0038"/>
    <w:rsid w:val="1A7A5C9A"/>
    <w:rsid w:val="1A83007D"/>
    <w:rsid w:val="1A8E5017"/>
    <w:rsid w:val="1A8F7190"/>
    <w:rsid w:val="1AA10458"/>
    <w:rsid w:val="1AA23008"/>
    <w:rsid w:val="1AAB600E"/>
    <w:rsid w:val="1AAE7FFD"/>
    <w:rsid w:val="1AD74602"/>
    <w:rsid w:val="1AEB7107"/>
    <w:rsid w:val="1AF73284"/>
    <w:rsid w:val="1AFD4FC8"/>
    <w:rsid w:val="1AFF494E"/>
    <w:rsid w:val="1B0B5B44"/>
    <w:rsid w:val="1B312D44"/>
    <w:rsid w:val="1B4B17D0"/>
    <w:rsid w:val="1B51422B"/>
    <w:rsid w:val="1B587A1A"/>
    <w:rsid w:val="1B6D3C3F"/>
    <w:rsid w:val="1B8C14E7"/>
    <w:rsid w:val="1B8C7CEB"/>
    <w:rsid w:val="1B917B2A"/>
    <w:rsid w:val="1BBD3E77"/>
    <w:rsid w:val="1BCA3902"/>
    <w:rsid w:val="1BD47C1B"/>
    <w:rsid w:val="1BD7106F"/>
    <w:rsid w:val="1C0B73C8"/>
    <w:rsid w:val="1C0D71BB"/>
    <w:rsid w:val="1C102D55"/>
    <w:rsid w:val="1C2370A2"/>
    <w:rsid w:val="1C2A4670"/>
    <w:rsid w:val="1C361814"/>
    <w:rsid w:val="1C38166C"/>
    <w:rsid w:val="1C484443"/>
    <w:rsid w:val="1C4A0B0F"/>
    <w:rsid w:val="1C7B0489"/>
    <w:rsid w:val="1C7B0AA3"/>
    <w:rsid w:val="1C84143D"/>
    <w:rsid w:val="1C9C6787"/>
    <w:rsid w:val="1CAE199C"/>
    <w:rsid w:val="1CB204B7"/>
    <w:rsid w:val="1CB40296"/>
    <w:rsid w:val="1CFD2B55"/>
    <w:rsid w:val="1D0D6573"/>
    <w:rsid w:val="1D1C4C7E"/>
    <w:rsid w:val="1D335DEF"/>
    <w:rsid w:val="1D3B0848"/>
    <w:rsid w:val="1D3E2CF3"/>
    <w:rsid w:val="1D61177E"/>
    <w:rsid w:val="1D6A29AD"/>
    <w:rsid w:val="1D6D6A66"/>
    <w:rsid w:val="1D6E1D9F"/>
    <w:rsid w:val="1D6F04E5"/>
    <w:rsid w:val="1D74500E"/>
    <w:rsid w:val="1D7A380C"/>
    <w:rsid w:val="1D800D16"/>
    <w:rsid w:val="1DF72A25"/>
    <w:rsid w:val="1E0A362D"/>
    <w:rsid w:val="1E10345A"/>
    <w:rsid w:val="1E1B6CF5"/>
    <w:rsid w:val="1E1F4100"/>
    <w:rsid w:val="1E330EDF"/>
    <w:rsid w:val="1E3D3630"/>
    <w:rsid w:val="1E482C7E"/>
    <w:rsid w:val="1E6F60C4"/>
    <w:rsid w:val="1EA8294B"/>
    <w:rsid w:val="1EAA4A5F"/>
    <w:rsid w:val="1EAB7710"/>
    <w:rsid w:val="1EB25DFB"/>
    <w:rsid w:val="1EC45F80"/>
    <w:rsid w:val="1ED6601A"/>
    <w:rsid w:val="1EDD12A4"/>
    <w:rsid w:val="1EFB7C52"/>
    <w:rsid w:val="1F103F16"/>
    <w:rsid w:val="1F1101FA"/>
    <w:rsid w:val="1F1B6829"/>
    <w:rsid w:val="1F1D05D1"/>
    <w:rsid w:val="1F51312D"/>
    <w:rsid w:val="1F7307F8"/>
    <w:rsid w:val="1F790691"/>
    <w:rsid w:val="1FA35CF0"/>
    <w:rsid w:val="1FAA7808"/>
    <w:rsid w:val="1FB418E9"/>
    <w:rsid w:val="1FB87E70"/>
    <w:rsid w:val="1FC620DF"/>
    <w:rsid w:val="1FCC0A47"/>
    <w:rsid w:val="1FF918E2"/>
    <w:rsid w:val="20064F8D"/>
    <w:rsid w:val="200860C0"/>
    <w:rsid w:val="200F101E"/>
    <w:rsid w:val="20220A8B"/>
    <w:rsid w:val="20331A48"/>
    <w:rsid w:val="203B73E6"/>
    <w:rsid w:val="20477B86"/>
    <w:rsid w:val="204E212C"/>
    <w:rsid w:val="204F36E2"/>
    <w:rsid w:val="2052628F"/>
    <w:rsid w:val="205E342E"/>
    <w:rsid w:val="20600969"/>
    <w:rsid w:val="20601AE0"/>
    <w:rsid w:val="206700DE"/>
    <w:rsid w:val="206B5A0E"/>
    <w:rsid w:val="207620C0"/>
    <w:rsid w:val="207652D0"/>
    <w:rsid w:val="2081076E"/>
    <w:rsid w:val="2085149C"/>
    <w:rsid w:val="20872151"/>
    <w:rsid w:val="20884E5C"/>
    <w:rsid w:val="208C6A7D"/>
    <w:rsid w:val="20A43E5C"/>
    <w:rsid w:val="20B775AE"/>
    <w:rsid w:val="20D0305B"/>
    <w:rsid w:val="20D67D8D"/>
    <w:rsid w:val="20DD74E3"/>
    <w:rsid w:val="20E12688"/>
    <w:rsid w:val="20FD0DAB"/>
    <w:rsid w:val="210541E3"/>
    <w:rsid w:val="210A7FCB"/>
    <w:rsid w:val="210E7BD1"/>
    <w:rsid w:val="210F0091"/>
    <w:rsid w:val="21132261"/>
    <w:rsid w:val="212542EA"/>
    <w:rsid w:val="21381805"/>
    <w:rsid w:val="21402A52"/>
    <w:rsid w:val="21486401"/>
    <w:rsid w:val="215238B8"/>
    <w:rsid w:val="215445CF"/>
    <w:rsid w:val="215933C1"/>
    <w:rsid w:val="217332D7"/>
    <w:rsid w:val="217859D6"/>
    <w:rsid w:val="217F0EE3"/>
    <w:rsid w:val="218110B7"/>
    <w:rsid w:val="218132E2"/>
    <w:rsid w:val="21910E1D"/>
    <w:rsid w:val="21966CB6"/>
    <w:rsid w:val="219B142C"/>
    <w:rsid w:val="21A954A2"/>
    <w:rsid w:val="21B005DE"/>
    <w:rsid w:val="21B207FA"/>
    <w:rsid w:val="21B4587C"/>
    <w:rsid w:val="21B806BA"/>
    <w:rsid w:val="21C8392F"/>
    <w:rsid w:val="21CE0235"/>
    <w:rsid w:val="21EF1EBF"/>
    <w:rsid w:val="22324975"/>
    <w:rsid w:val="2238367B"/>
    <w:rsid w:val="22484CBB"/>
    <w:rsid w:val="224A458F"/>
    <w:rsid w:val="225E7EDE"/>
    <w:rsid w:val="2264157E"/>
    <w:rsid w:val="2265100F"/>
    <w:rsid w:val="226B2757"/>
    <w:rsid w:val="228A0E2F"/>
    <w:rsid w:val="228B3EA5"/>
    <w:rsid w:val="228F5499"/>
    <w:rsid w:val="22901419"/>
    <w:rsid w:val="229D5EAD"/>
    <w:rsid w:val="22CE057C"/>
    <w:rsid w:val="22DA0440"/>
    <w:rsid w:val="22E02702"/>
    <w:rsid w:val="22E25D6D"/>
    <w:rsid w:val="22ED0F28"/>
    <w:rsid w:val="22ED783E"/>
    <w:rsid w:val="22F9391A"/>
    <w:rsid w:val="22FA24AC"/>
    <w:rsid w:val="2323256D"/>
    <w:rsid w:val="233363B7"/>
    <w:rsid w:val="23396EEC"/>
    <w:rsid w:val="23490B1B"/>
    <w:rsid w:val="23496F3C"/>
    <w:rsid w:val="235333BF"/>
    <w:rsid w:val="235E2930"/>
    <w:rsid w:val="235F7681"/>
    <w:rsid w:val="238E24A4"/>
    <w:rsid w:val="23981D8B"/>
    <w:rsid w:val="23B1063E"/>
    <w:rsid w:val="23C6233B"/>
    <w:rsid w:val="23DE158C"/>
    <w:rsid w:val="23E137FE"/>
    <w:rsid w:val="23FC7B0B"/>
    <w:rsid w:val="2404029B"/>
    <w:rsid w:val="240577C3"/>
    <w:rsid w:val="241035B6"/>
    <w:rsid w:val="2422744A"/>
    <w:rsid w:val="2427558E"/>
    <w:rsid w:val="245508EB"/>
    <w:rsid w:val="245A77AC"/>
    <w:rsid w:val="24626E58"/>
    <w:rsid w:val="248163E8"/>
    <w:rsid w:val="2482170D"/>
    <w:rsid w:val="248B2C2D"/>
    <w:rsid w:val="248C70E1"/>
    <w:rsid w:val="24961D0D"/>
    <w:rsid w:val="249A257D"/>
    <w:rsid w:val="24A00DDE"/>
    <w:rsid w:val="24A702A7"/>
    <w:rsid w:val="24B67613"/>
    <w:rsid w:val="24D65226"/>
    <w:rsid w:val="24F74644"/>
    <w:rsid w:val="24F901DA"/>
    <w:rsid w:val="250130B1"/>
    <w:rsid w:val="25042225"/>
    <w:rsid w:val="25183312"/>
    <w:rsid w:val="25227A45"/>
    <w:rsid w:val="25316605"/>
    <w:rsid w:val="25382EC8"/>
    <w:rsid w:val="254527FA"/>
    <w:rsid w:val="25473008"/>
    <w:rsid w:val="254C0E84"/>
    <w:rsid w:val="25560C5C"/>
    <w:rsid w:val="2556425C"/>
    <w:rsid w:val="2562421D"/>
    <w:rsid w:val="25687D13"/>
    <w:rsid w:val="25744FE1"/>
    <w:rsid w:val="25886771"/>
    <w:rsid w:val="259B42DB"/>
    <w:rsid w:val="25AC080E"/>
    <w:rsid w:val="25B43A1D"/>
    <w:rsid w:val="25BD0E30"/>
    <w:rsid w:val="25FA4842"/>
    <w:rsid w:val="260A4125"/>
    <w:rsid w:val="260B31B9"/>
    <w:rsid w:val="261E6658"/>
    <w:rsid w:val="26283751"/>
    <w:rsid w:val="2641336F"/>
    <w:rsid w:val="264F1B72"/>
    <w:rsid w:val="26541550"/>
    <w:rsid w:val="26726726"/>
    <w:rsid w:val="26801618"/>
    <w:rsid w:val="26AE579B"/>
    <w:rsid w:val="26BD2A93"/>
    <w:rsid w:val="26C3264A"/>
    <w:rsid w:val="26C64312"/>
    <w:rsid w:val="26F3546E"/>
    <w:rsid w:val="26F90E7E"/>
    <w:rsid w:val="26FE27F3"/>
    <w:rsid w:val="27051B1E"/>
    <w:rsid w:val="270F1923"/>
    <w:rsid w:val="272B634C"/>
    <w:rsid w:val="273637AA"/>
    <w:rsid w:val="2743702D"/>
    <w:rsid w:val="2757265D"/>
    <w:rsid w:val="27663FE2"/>
    <w:rsid w:val="27665022"/>
    <w:rsid w:val="276E4740"/>
    <w:rsid w:val="278D4C3F"/>
    <w:rsid w:val="279941BA"/>
    <w:rsid w:val="27A71EDC"/>
    <w:rsid w:val="27AF7D54"/>
    <w:rsid w:val="27B47E8B"/>
    <w:rsid w:val="27B8643F"/>
    <w:rsid w:val="27CB5D1F"/>
    <w:rsid w:val="27DA0163"/>
    <w:rsid w:val="27DD3741"/>
    <w:rsid w:val="27EA6807"/>
    <w:rsid w:val="27FD7128"/>
    <w:rsid w:val="28000291"/>
    <w:rsid w:val="28010B45"/>
    <w:rsid w:val="28056EDC"/>
    <w:rsid w:val="280A10C8"/>
    <w:rsid w:val="281847BF"/>
    <w:rsid w:val="281B3AB8"/>
    <w:rsid w:val="282928D1"/>
    <w:rsid w:val="28396551"/>
    <w:rsid w:val="283C078C"/>
    <w:rsid w:val="284222AC"/>
    <w:rsid w:val="28494F0E"/>
    <w:rsid w:val="284F3ED1"/>
    <w:rsid w:val="285258EC"/>
    <w:rsid w:val="286E1887"/>
    <w:rsid w:val="28827347"/>
    <w:rsid w:val="28890870"/>
    <w:rsid w:val="288A68FB"/>
    <w:rsid w:val="28A10DA5"/>
    <w:rsid w:val="28AF0D56"/>
    <w:rsid w:val="28B46CAD"/>
    <w:rsid w:val="28B82087"/>
    <w:rsid w:val="28DE54E8"/>
    <w:rsid w:val="28E64FAE"/>
    <w:rsid w:val="28F3196B"/>
    <w:rsid w:val="28F85143"/>
    <w:rsid w:val="28FD0208"/>
    <w:rsid w:val="29126257"/>
    <w:rsid w:val="291641A5"/>
    <w:rsid w:val="2916434A"/>
    <w:rsid w:val="292C517B"/>
    <w:rsid w:val="2935626A"/>
    <w:rsid w:val="294E705B"/>
    <w:rsid w:val="297045F2"/>
    <w:rsid w:val="29B85E02"/>
    <w:rsid w:val="29B9092A"/>
    <w:rsid w:val="29CF14F4"/>
    <w:rsid w:val="29D7069F"/>
    <w:rsid w:val="29F57FF1"/>
    <w:rsid w:val="2A000E96"/>
    <w:rsid w:val="2A01048F"/>
    <w:rsid w:val="2A072BF7"/>
    <w:rsid w:val="2A2A3F14"/>
    <w:rsid w:val="2A336250"/>
    <w:rsid w:val="2A555E0F"/>
    <w:rsid w:val="2A8049CB"/>
    <w:rsid w:val="2A892AC7"/>
    <w:rsid w:val="2A8B1670"/>
    <w:rsid w:val="2A8C0684"/>
    <w:rsid w:val="2A8C155D"/>
    <w:rsid w:val="2A93624C"/>
    <w:rsid w:val="2A95218F"/>
    <w:rsid w:val="2A9B322A"/>
    <w:rsid w:val="2AAF4166"/>
    <w:rsid w:val="2AB52610"/>
    <w:rsid w:val="2AB87269"/>
    <w:rsid w:val="2ACF3E31"/>
    <w:rsid w:val="2AD54235"/>
    <w:rsid w:val="2ADE323D"/>
    <w:rsid w:val="2AE63D00"/>
    <w:rsid w:val="2AEC147F"/>
    <w:rsid w:val="2AFD740C"/>
    <w:rsid w:val="2B05637F"/>
    <w:rsid w:val="2B123197"/>
    <w:rsid w:val="2B1E23D7"/>
    <w:rsid w:val="2B2E36BA"/>
    <w:rsid w:val="2B365FF8"/>
    <w:rsid w:val="2B3B0491"/>
    <w:rsid w:val="2B447A14"/>
    <w:rsid w:val="2B462F72"/>
    <w:rsid w:val="2B671EE6"/>
    <w:rsid w:val="2B6F29DA"/>
    <w:rsid w:val="2B726CDC"/>
    <w:rsid w:val="2B77611B"/>
    <w:rsid w:val="2B966A97"/>
    <w:rsid w:val="2B9B7F99"/>
    <w:rsid w:val="2B9C20EC"/>
    <w:rsid w:val="2BAF747F"/>
    <w:rsid w:val="2BB82DF8"/>
    <w:rsid w:val="2BCB6AE3"/>
    <w:rsid w:val="2BD05A1D"/>
    <w:rsid w:val="2BD41D10"/>
    <w:rsid w:val="2BE23CC4"/>
    <w:rsid w:val="2BE412FB"/>
    <w:rsid w:val="2BF02942"/>
    <w:rsid w:val="2BF931EA"/>
    <w:rsid w:val="2C082BF9"/>
    <w:rsid w:val="2C214CB6"/>
    <w:rsid w:val="2C2E6CAB"/>
    <w:rsid w:val="2C3A5F2D"/>
    <w:rsid w:val="2C3E6770"/>
    <w:rsid w:val="2C4919DF"/>
    <w:rsid w:val="2C546D03"/>
    <w:rsid w:val="2C667156"/>
    <w:rsid w:val="2C7B1709"/>
    <w:rsid w:val="2C7F7612"/>
    <w:rsid w:val="2C8E776E"/>
    <w:rsid w:val="2C9C2636"/>
    <w:rsid w:val="2CA9611F"/>
    <w:rsid w:val="2CE2377F"/>
    <w:rsid w:val="2CF02DFB"/>
    <w:rsid w:val="2CFE255C"/>
    <w:rsid w:val="2D0540B0"/>
    <w:rsid w:val="2D0B0A49"/>
    <w:rsid w:val="2D162772"/>
    <w:rsid w:val="2D250955"/>
    <w:rsid w:val="2D2C7AA6"/>
    <w:rsid w:val="2D455F1D"/>
    <w:rsid w:val="2D5C161A"/>
    <w:rsid w:val="2D662003"/>
    <w:rsid w:val="2D66220D"/>
    <w:rsid w:val="2D6659A1"/>
    <w:rsid w:val="2D7A25BD"/>
    <w:rsid w:val="2D84100A"/>
    <w:rsid w:val="2D9178DF"/>
    <w:rsid w:val="2D9D20D6"/>
    <w:rsid w:val="2DB21ED3"/>
    <w:rsid w:val="2DC0755A"/>
    <w:rsid w:val="2DD1299A"/>
    <w:rsid w:val="2DD55467"/>
    <w:rsid w:val="2DDC528E"/>
    <w:rsid w:val="2DDE21F7"/>
    <w:rsid w:val="2DF7167B"/>
    <w:rsid w:val="2DFD188D"/>
    <w:rsid w:val="2DFE350D"/>
    <w:rsid w:val="2E004D3D"/>
    <w:rsid w:val="2E0E73EE"/>
    <w:rsid w:val="2E135272"/>
    <w:rsid w:val="2E2259DD"/>
    <w:rsid w:val="2E245FB5"/>
    <w:rsid w:val="2E311F4B"/>
    <w:rsid w:val="2E3478C4"/>
    <w:rsid w:val="2E3B7E6B"/>
    <w:rsid w:val="2E3E7D3C"/>
    <w:rsid w:val="2E411DD5"/>
    <w:rsid w:val="2E424CB4"/>
    <w:rsid w:val="2E49372C"/>
    <w:rsid w:val="2E4D07CC"/>
    <w:rsid w:val="2E5C4438"/>
    <w:rsid w:val="2E5D34C8"/>
    <w:rsid w:val="2E5F409F"/>
    <w:rsid w:val="2E7110F5"/>
    <w:rsid w:val="2E7A4A70"/>
    <w:rsid w:val="2E826611"/>
    <w:rsid w:val="2E8520C5"/>
    <w:rsid w:val="2E8F3CBA"/>
    <w:rsid w:val="2E9E05CD"/>
    <w:rsid w:val="2EF03D3C"/>
    <w:rsid w:val="2F0173A4"/>
    <w:rsid w:val="2F092767"/>
    <w:rsid w:val="2F114BD2"/>
    <w:rsid w:val="2F166D1D"/>
    <w:rsid w:val="2F3F51C2"/>
    <w:rsid w:val="2F43468B"/>
    <w:rsid w:val="2F435509"/>
    <w:rsid w:val="2F5E0DE4"/>
    <w:rsid w:val="2F6B4A5C"/>
    <w:rsid w:val="2F7D2DD7"/>
    <w:rsid w:val="2F804837"/>
    <w:rsid w:val="2F8A246F"/>
    <w:rsid w:val="2F8F3F29"/>
    <w:rsid w:val="2F937875"/>
    <w:rsid w:val="2FB424A7"/>
    <w:rsid w:val="2FB447DB"/>
    <w:rsid w:val="2FB7685D"/>
    <w:rsid w:val="2FC0629E"/>
    <w:rsid w:val="2FC265AB"/>
    <w:rsid w:val="2FC63C9B"/>
    <w:rsid w:val="2FCB7836"/>
    <w:rsid w:val="2FD348AF"/>
    <w:rsid w:val="2FDD17AC"/>
    <w:rsid w:val="2FEF6B5E"/>
    <w:rsid w:val="2FF4758D"/>
    <w:rsid w:val="2FFC1C23"/>
    <w:rsid w:val="30006BDF"/>
    <w:rsid w:val="300B0267"/>
    <w:rsid w:val="302C0EB5"/>
    <w:rsid w:val="302C1778"/>
    <w:rsid w:val="30303961"/>
    <w:rsid w:val="30451666"/>
    <w:rsid w:val="3049067D"/>
    <w:rsid w:val="3060529A"/>
    <w:rsid w:val="3069477A"/>
    <w:rsid w:val="306F3E03"/>
    <w:rsid w:val="307F5D4C"/>
    <w:rsid w:val="309265F1"/>
    <w:rsid w:val="30AD2F47"/>
    <w:rsid w:val="30AE1F52"/>
    <w:rsid w:val="30CA1CE6"/>
    <w:rsid w:val="30F1651D"/>
    <w:rsid w:val="310343DB"/>
    <w:rsid w:val="31051B25"/>
    <w:rsid w:val="31061FC9"/>
    <w:rsid w:val="310E1FC8"/>
    <w:rsid w:val="3138011A"/>
    <w:rsid w:val="31423A54"/>
    <w:rsid w:val="314B346F"/>
    <w:rsid w:val="315A35B3"/>
    <w:rsid w:val="316E3235"/>
    <w:rsid w:val="318E32B7"/>
    <w:rsid w:val="31AC6705"/>
    <w:rsid w:val="31AE64F0"/>
    <w:rsid w:val="31DC3C05"/>
    <w:rsid w:val="31DF1EC5"/>
    <w:rsid w:val="31FE57D7"/>
    <w:rsid w:val="320F5BEE"/>
    <w:rsid w:val="32285F6F"/>
    <w:rsid w:val="322A1001"/>
    <w:rsid w:val="322A7F39"/>
    <w:rsid w:val="3251225D"/>
    <w:rsid w:val="325A081E"/>
    <w:rsid w:val="325E7BE3"/>
    <w:rsid w:val="32676A97"/>
    <w:rsid w:val="327633D8"/>
    <w:rsid w:val="32927947"/>
    <w:rsid w:val="32950ACC"/>
    <w:rsid w:val="32957EEE"/>
    <w:rsid w:val="329C202C"/>
    <w:rsid w:val="32A06655"/>
    <w:rsid w:val="32C765DD"/>
    <w:rsid w:val="32E53E60"/>
    <w:rsid w:val="32F02CE6"/>
    <w:rsid w:val="32F35AA2"/>
    <w:rsid w:val="33046142"/>
    <w:rsid w:val="330D656A"/>
    <w:rsid w:val="331121F5"/>
    <w:rsid w:val="3311430F"/>
    <w:rsid w:val="3316226B"/>
    <w:rsid w:val="331C1F78"/>
    <w:rsid w:val="33216454"/>
    <w:rsid w:val="3329437D"/>
    <w:rsid w:val="33387591"/>
    <w:rsid w:val="333D0B2E"/>
    <w:rsid w:val="333F1BB8"/>
    <w:rsid w:val="334412A5"/>
    <w:rsid w:val="33703A96"/>
    <w:rsid w:val="337D6AED"/>
    <w:rsid w:val="337E1319"/>
    <w:rsid w:val="339D7A9F"/>
    <w:rsid w:val="33A5171E"/>
    <w:rsid w:val="33A74F3A"/>
    <w:rsid w:val="33AF1409"/>
    <w:rsid w:val="33B9020E"/>
    <w:rsid w:val="33F369E5"/>
    <w:rsid w:val="340402E6"/>
    <w:rsid w:val="341261E6"/>
    <w:rsid w:val="34135E1C"/>
    <w:rsid w:val="34151417"/>
    <w:rsid w:val="341F4E55"/>
    <w:rsid w:val="342B3325"/>
    <w:rsid w:val="343D1CB2"/>
    <w:rsid w:val="343F1524"/>
    <w:rsid w:val="34430ED4"/>
    <w:rsid w:val="344A4926"/>
    <w:rsid w:val="346B3FBD"/>
    <w:rsid w:val="346C2A8B"/>
    <w:rsid w:val="347F6C10"/>
    <w:rsid w:val="34830B0C"/>
    <w:rsid w:val="34896F71"/>
    <w:rsid w:val="34936269"/>
    <w:rsid w:val="34975D54"/>
    <w:rsid w:val="34AA2506"/>
    <w:rsid w:val="34AC06BF"/>
    <w:rsid w:val="34B106F1"/>
    <w:rsid w:val="34C13A58"/>
    <w:rsid w:val="34CD35B4"/>
    <w:rsid w:val="34CF1E12"/>
    <w:rsid w:val="34D70FAD"/>
    <w:rsid w:val="34E42676"/>
    <w:rsid w:val="34EA6FA2"/>
    <w:rsid w:val="35030697"/>
    <w:rsid w:val="35112547"/>
    <w:rsid w:val="3512476C"/>
    <w:rsid w:val="3513277C"/>
    <w:rsid w:val="351C6CEE"/>
    <w:rsid w:val="351F1621"/>
    <w:rsid w:val="352A57AC"/>
    <w:rsid w:val="355479AC"/>
    <w:rsid w:val="355A0211"/>
    <w:rsid w:val="356C3132"/>
    <w:rsid w:val="357426E0"/>
    <w:rsid w:val="35743FED"/>
    <w:rsid w:val="357F41D1"/>
    <w:rsid w:val="358160C2"/>
    <w:rsid w:val="359504C1"/>
    <w:rsid w:val="35951BA8"/>
    <w:rsid w:val="35A350BB"/>
    <w:rsid w:val="35A5095F"/>
    <w:rsid w:val="35A8734C"/>
    <w:rsid w:val="35AA231A"/>
    <w:rsid w:val="35B43A72"/>
    <w:rsid w:val="35B6547B"/>
    <w:rsid w:val="35C43A61"/>
    <w:rsid w:val="35CA7F11"/>
    <w:rsid w:val="35CF1523"/>
    <w:rsid w:val="35E2070B"/>
    <w:rsid w:val="35EA2B78"/>
    <w:rsid w:val="35EC6C6D"/>
    <w:rsid w:val="35FA7DA0"/>
    <w:rsid w:val="360D1960"/>
    <w:rsid w:val="36172D45"/>
    <w:rsid w:val="36184A52"/>
    <w:rsid w:val="3623361D"/>
    <w:rsid w:val="362D0A9F"/>
    <w:rsid w:val="36315D3A"/>
    <w:rsid w:val="363E2A17"/>
    <w:rsid w:val="36442E09"/>
    <w:rsid w:val="365B638F"/>
    <w:rsid w:val="366D4E9E"/>
    <w:rsid w:val="3673154E"/>
    <w:rsid w:val="36773121"/>
    <w:rsid w:val="367D6368"/>
    <w:rsid w:val="368C0546"/>
    <w:rsid w:val="368F378C"/>
    <w:rsid w:val="369213C3"/>
    <w:rsid w:val="36B404AE"/>
    <w:rsid w:val="36B816DC"/>
    <w:rsid w:val="36B8742F"/>
    <w:rsid w:val="36C557F8"/>
    <w:rsid w:val="36DA1F8C"/>
    <w:rsid w:val="36DB3921"/>
    <w:rsid w:val="36E91FF6"/>
    <w:rsid w:val="36E949E1"/>
    <w:rsid w:val="36F11025"/>
    <w:rsid w:val="36FD48F3"/>
    <w:rsid w:val="36FD4D9A"/>
    <w:rsid w:val="370906C1"/>
    <w:rsid w:val="37132B4D"/>
    <w:rsid w:val="37167028"/>
    <w:rsid w:val="371E5326"/>
    <w:rsid w:val="372238D5"/>
    <w:rsid w:val="373419EB"/>
    <w:rsid w:val="373F4C20"/>
    <w:rsid w:val="3741386C"/>
    <w:rsid w:val="37433742"/>
    <w:rsid w:val="37461829"/>
    <w:rsid w:val="37494699"/>
    <w:rsid w:val="37645C9B"/>
    <w:rsid w:val="37656E85"/>
    <w:rsid w:val="376C68FE"/>
    <w:rsid w:val="378E633B"/>
    <w:rsid w:val="37900B53"/>
    <w:rsid w:val="37937189"/>
    <w:rsid w:val="37A14DCB"/>
    <w:rsid w:val="37B671B5"/>
    <w:rsid w:val="37BB271F"/>
    <w:rsid w:val="37C63BA6"/>
    <w:rsid w:val="37D97973"/>
    <w:rsid w:val="37DC7281"/>
    <w:rsid w:val="37E533F7"/>
    <w:rsid w:val="37EF2430"/>
    <w:rsid w:val="37F567D5"/>
    <w:rsid w:val="37FA03AE"/>
    <w:rsid w:val="37FD6E56"/>
    <w:rsid w:val="38003C16"/>
    <w:rsid w:val="3803328A"/>
    <w:rsid w:val="38256F06"/>
    <w:rsid w:val="382A248B"/>
    <w:rsid w:val="383D4381"/>
    <w:rsid w:val="383F1E30"/>
    <w:rsid w:val="38426ED0"/>
    <w:rsid w:val="385368BC"/>
    <w:rsid w:val="38537BA0"/>
    <w:rsid w:val="3855075F"/>
    <w:rsid w:val="38575FB6"/>
    <w:rsid w:val="385C4723"/>
    <w:rsid w:val="38681401"/>
    <w:rsid w:val="38697183"/>
    <w:rsid w:val="386D25BD"/>
    <w:rsid w:val="387C2E90"/>
    <w:rsid w:val="38826A01"/>
    <w:rsid w:val="3885730D"/>
    <w:rsid w:val="388A6D46"/>
    <w:rsid w:val="38A2517A"/>
    <w:rsid w:val="38B61FE3"/>
    <w:rsid w:val="38B62526"/>
    <w:rsid w:val="38C3306C"/>
    <w:rsid w:val="38CC4F99"/>
    <w:rsid w:val="38D32DC0"/>
    <w:rsid w:val="38EA599E"/>
    <w:rsid w:val="38F117B0"/>
    <w:rsid w:val="3907390F"/>
    <w:rsid w:val="3908436B"/>
    <w:rsid w:val="391743C7"/>
    <w:rsid w:val="39284202"/>
    <w:rsid w:val="39292582"/>
    <w:rsid w:val="392A081F"/>
    <w:rsid w:val="393F61C5"/>
    <w:rsid w:val="39432FD3"/>
    <w:rsid w:val="395F0B77"/>
    <w:rsid w:val="39671940"/>
    <w:rsid w:val="39691887"/>
    <w:rsid w:val="3972735C"/>
    <w:rsid w:val="397C1C9E"/>
    <w:rsid w:val="397D607C"/>
    <w:rsid w:val="398641B3"/>
    <w:rsid w:val="398B1D6E"/>
    <w:rsid w:val="39A02FF3"/>
    <w:rsid w:val="39A132DB"/>
    <w:rsid w:val="39A86C7B"/>
    <w:rsid w:val="39C10D7C"/>
    <w:rsid w:val="39C116D0"/>
    <w:rsid w:val="39CB43EF"/>
    <w:rsid w:val="39DC4F33"/>
    <w:rsid w:val="39DE4D38"/>
    <w:rsid w:val="39FC02F1"/>
    <w:rsid w:val="3A0177D1"/>
    <w:rsid w:val="3A0E68B6"/>
    <w:rsid w:val="3A132806"/>
    <w:rsid w:val="3A1C0CEB"/>
    <w:rsid w:val="3A1F5EA9"/>
    <w:rsid w:val="3A245F6C"/>
    <w:rsid w:val="3A38768D"/>
    <w:rsid w:val="3A39335E"/>
    <w:rsid w:val="3A3C190E"/>
    <w:rsid w:val="3A630D9B"/>
    <w:rsid w:val="3A6B36D3"/>
    <w:rsid w:val="3A854391"/>
    <w:rsid w:val="3A9D1D74"/>
    <w:rsid w:val="3AC6263F"/>
    <w:rsid w:val="3ACE4C40"/>
    <w:rsid w:val="3AD82E98"/>
    <w:rsid w:val="3ADB0022"/>
    <w:rsid w:val="3B032886"/>
    <w:rsid w:val="3B037579"/>
    <w:rsid w:val="3B0B2F39"/>
    <w:rsid w:val="3B142D34"/>
    <w:rsid w:val="3B295FC2"/>
    <w:rsid w:val="3B3260ED"/>
    <w:rsid w:val="3B5315BA"/>
    <w:rsid w:val="3B5719CE"/>
    <w:rsid w:val="3B6D6B6F"/>
    <w:rsid w:val="3BAB6489"/>
    <w:rsid w:val="3BD210EB"/>
    <w:rsid w:val="3BDB09FC"/>
    <w:rsid w:val="3BDE35D1"/>
    <w:rsid w:val="3BE837D7"/>
    <w:rsid w:val="3BF05D4F"/>
    <w:rsid w:val="3C007299"/>
    <w:rsid w:val="3C3F2833"/>
    <w:rsid w:val="3C4A3D15"/>
    <w:rsid w:val="3C4D5D00"/>
    <w:rsid w:val="3C5207B8"/>
    <w:rsid w:val="3C5A2671"/>
    <w:rsid w:val="3C762C8A"/>
    <w:rsid w:val="3C7C14A1"/>
    <w:rsid w:val="3C8C122C"/>
    <w:rsid w:val="3C996624"/>
    <w:rsid w:val="3C9D19F7"/>
    <w:rsid w:val="3CA5296A"/>
    <w:rsid w:val="3CA60CD8"/>
    <w:rsid w:val="3CC21CFC"/>
    <w:rsid w:val="3CC316B6"/>
    <w:rsid w:val="3CC746CB"/>
    <w:rsid w:val="3CE725DC"/>
    <w:rsid w:val="3CF54B89"/>
    <w:rsid w:val="3D113ED7"/>
    <w:rsid w:val="3D2865D2"/>
    <w:rsid w:val="3D387E3E"/>
    <w:rsid w:val="3D465C64"/>
    <w:rsid w:val="3D4967DA"/>
    <w:rsid w:val="3D4A5F01"/>
    <w:rsid w:val="3D4E5A9B"/>
    <w:rsid w:val="3D793B23"/>
    <w:rsid w:val="3D7B10FC"/>
    <w:rsid w:val="3DA326CE"/>
    <w:rsid w:val="3DA36B15"/>
    <w:rsid w:val="3DD07822"/>
    <w:rsid w:val="3DE970C7"/>
    <w:rsid w:val="3DFC667B"/>
    <w:rsid w:val="3E2A2129"/>
    <w:rsid w:val="3E2E382E"/>
    <w:rsid w:val="3E3B06B6"/>
    <w:rsid w:val="3E3C00E0"/>
    <w:rsid w:val="3E4045D5"/>
    <w:rsid w:val="3E497AD7"/>
    <w:rsid w:val="3E5500EC"/>
    <w:rsid w:val="3E660737"/>
    <w:rsid w:val="3E6B75A7"/>
    <w:rsid w:val="3E73524A"/>
    <w:rsid w:val="3E853B44"/>
    <w:rsid w:val="3E9B64DE"/>
    <w:rsid w:val="3E9C64A9"/>
    <w:rsid w:val="3E9C66E3"/>
    <w:rsid w:val="3EA25C22"/>
    <w:rsid w:val="3EA64483"/>
    <w:rsid w:val="3EAD1CD6"/>
    <w:rsid w:val="3EC2742A"/>
    <w:rsid w:val="3ECF2751"/>
    <w:rsid w:val="3ED57C2B"/>
    <w:rsid w:val="3EDF794F"/>
    <w:rsid w:val="3F070CF5"/>
    <w:rsid w:val="3F130F93"/>
    <w:rsid w:val="3F2D07A5"/>
    <w:rsid w:val="3F381EE7"/>
    <w:rsid w:val="3F4E2EF2"/>
    <w:rsid w:val="3F5043E9"/>
    <w:rsid w:val="3F615185"/>
    <w:rsid w:val="3F7602DA"/>
    <w:rsid w:val="3F833128"/>
    <w:rsid w:val="3F953681"/>
    <w:rsid w:val="3FA33B73"/>
    <w:rsid w:val="3FBD063E"/>
    <w:rsid w:val="3FBD259C"/>
    <w:rsid w:val="3FC43026"/>
    <w:rsid w:val="3FCD4C5C"/>
    <w:rsid w:val="3FCE1947"/>
    <w:rsid w:val="3FE25CD6"/>
    <w:rsid w:val="3FE7441A"/>
    <w:rsid w:val="3FF60A3A"/>
    <w:rsid w:val="3FF91CD6"/>
    <w:rsid w:val="4015282B"/>
    <w:rsid w:val="4033406D"/>
    <w:rsid w:val="40384169"/>
    <w:rsid w:val="403F1563"/>
    <w:rsid w:val="4040290C"/>
    <w:rsid w:val="404D19C2"/>
    <w:rsid w:val="40561BAC"/>
    <w:rsid w:val="40595608"/>
    <w:rsid w:val="405A7C3B"/>
    <w:rsid w:val="4069334A"/>
    <w:rsid w:val="407022AB"/>
    <w:rsid w:val="40703903"/>
    <w:rsid w:val="40725FE7"/>
    <w:rsid w:val="408731DA"/>
    <w:rsid w:val="40962835"/>
    <w:rsid w:val="40990689"/>
    <w:rsid w:val="40AD26A5"/>
    <w:rsid w:val="40B05521"/>
    <w:rsid w:val="40B74ED1"/>
    <w:rsid w:val="40E81DF9"/>
    <w:rsid w:val="40EA0C04"/>
    <w:rsid w:val="40ED1C00"/>
    <w:rsid w:val="40FE5587"/>
    <w:rsid w:val="4108089E"/>
    <w:rsid w:val="41185CD8"/>
    <w:rsid w:val="411942FA"/>
    <w:rsid w:val="412E220A"/>
    <w:rsid w:val="413214BD"/>
    <w:rsid w:val="41430B58"/>
    <w:rsid w:val="41451D7A"/>
    <w:rsid w:val="41494878"/>
    <w:rsid w:val="41584EFC"/>
    <w:rsid w:val="41614FF9"/>
    <w:rsid w:val="419C530A"/>
    <w:rsid w:val="419F340F"/>
    <w:rsid w:val="41A80E7C"/>
    <w:rsid w:val="41AB772E"/>
    <w:rsid w:val="41B94E35"/>
    <w:rsid w:val="41BA4EAE"/>
    <w:rsid w:val="41CA4B43"/>
    <w:rsid w:val="41D010E0"/>
    <w:rsid w:val="41E56DEF"/>
    <w:rsid w:val="41F531A1"/>
    <w:rsid w:val="41F904B9"/>
    <w:rsid w:val="420A5978"/>
    <w:rsid w:val="420D48D5"/>
    <w:rsid w:val="421356C5"/>
    <w:rsid w:val="42153D87"/>
    <w:rsid w:val="421B164C"/>
    <w:rsid w:val="422560BF"/>
    <w:rsid w:val="42383FAC"/>
    <w:rsid w:val="423A5D93"/>
    <w:rsid w:val="42424B2E"/>
    <w:rsid w:val="424B73CD"/>
    <w:rsid w:val="424E557E"/>
    <w:rsid w:val="4250704F"/>
    <w:rsid w:val="425E62CE"/>
    <w:rsid w:val="426010ED"/>
    <w:rsid w:val="42623FBE"/>
    <w:rsid w:val="42635306"/>
    <w:rsid w:val="42660FE8"/>
    <w:rsid w:val="42682466"/>
    <w:rsid w:val="426974FC"/>
    <w:rsid w:val="42747CD2"/>
    <w:rsid w:val="427648F4"/>
    <w:rsid w:val="42836704"/>
    <w:rsid w:val="42AB579B"/>
    <w:rsid w:val="42B37314"/>
    <w:rsid w:val="42BA4031"/>
    <w:rsid w:val="42C6780A"/>
    <w:rsid w:val="42D2725F"/>
    <w:rsid w:val="42E537AA"/>
    <w:rsid w:val="42F25686"/>
    <w:rsid w:val="42F40403"/>
    <w:rsid w:val="42F778A7"/>
    <w:rsid w:val="43010C09"/>
    <w:rsid w:val="43272EF4"/>
    <w:rsid w:val="434C3005"/>
    <w:rsid w:val="43507781"/>
    <w:rsid w:val="435C45F2"/>
    <w:rsid w:val="436814F4"/>
    <w:rsid w:val="437152B9"/>
    <w:rsid w:val="43735A96"/>
    <w:rsid w:val="43776D56"/>
    <w:rsid w:val="438C6C40"/>
    <w:rsid w:val="438D3C0C"/>
    <w:rsid w:val="4390180B"/>
    <w:rsid w:val="43A84246"/>
    <w:rsid w:val="43A91010"/>
    <w:rsid w:val="43AD4526"/>
    <w:rsid w:val="43DA7593"/>
    <w:rsid w:val="43DA7882"/>
    <w:rsid w:val="43E50164"/>
    <w:rsid w:val="43F517A9"/>
    <w:rsid w:val="440627A2"/>
    <w:rsid w:val="44186BC2"/>
    <w:rsid w:val="441C514A"/>
    <w:rsid w:val="442F44EA"/>
    <w:rsid w:val="44334792"/>
    <w:rsid w:val="44384B7A"/>
    <w:rsid w:val="4474626D"/>
    <w:rsid w:val="44776DA9"/>
    <w:rsid w:val="44776EF3"/>
    <w:rsid w:val="448457CE"/>
    <w:rsid w:val="44887645"/>
    <w:rsid w:val="44984A40"/>
    <w:rsid w:val="449F7419"/>
    <w:rsid w:val="44A23A74"/>
    <w:rsid w:val="44B36A6C"/>
    <w:rsid w:val="44C27A2F"/>
    <w:rsid w:val="44C564C4"/>
    <w:rsid w:val="44CD26EC"/>
    <w:rsid w:val="44E47FB5"/>
    <w:rsid w:val="44F91834"/>
    <w:rsid w:val="450540FE"/>
    <w:rsid w:val="450F36EA"/>
    <w:rsid w:val="45181B3A"/>
    <w:rsid w:val="45282ABA"/>
    <w:rsid w:val="45373301"/>
    <w:rsid w:val="4552261F"/>
    <w:rsid w:val="45560F83"/>
    <w:rsid w:val="456B4699"/>
    <w:rsid w:val="45704217"/>
    <w:rsid w:val="4588389F"/>
    <w:rsid w:val="458A7344"/>
    <w:rsid w:val="45930AC1"/>
    <w:rsid w:val="45A907E0"/>
    <w:rsid w:val="45B03B26"/>
    <w:rsid w:val="45BD0118"/>
    <w:rsid w:val="45C15035"/>
    <w:rsid w:val="45C65379"/>
    <w:rsid w:val="45D91F9F"/>
    <w:rsid w:val="45E6604E"/>
    <w:rsid w:val="45F223DC"/>
    <w:rsid w:val="45F56CBE"/>
    <w:rsid w:val="45FE56CC"/>
    <w:rsid w:val="460C6906"/>
    <w:rsid w:val="462F6202"/>
    <w:rsid w:val="46366A55"/>
    <w:rsid w:val="46435B01"/>
    <w:rsid w:val="4655561C"/>
    <w:rsid w:val="46625A9C"/>
    <w:rsid w:val="46645430"/>
    <w:rsid w:val="467267E9"/>
    <w:rsid w:val="467C6146"/>
    <w:rsid w:val="467F21AA"/>
    <w:rsid w:val="469B6451"/>
    <w:rsid w:val="46C840B2"/>
    <w:rsid w:val="46CB3DD9"/>
    <w:rsid w:val="46CE2487"/>
    <w:rsid w:val="46D14DD9"/>
    <w:rsid w:val="46D536DB"/>
    <w:rsid w:val="46DD10B9"/>
    <w:rsid w:val="46F65906"/>
    <w:rsid w:val="46F8143D"/>
    <w:rsid w:val="470617FB"/>
    <w:rsid w:val="47110D2C"/>
    <w:rsid w:val="47252848"/>
    <w:rsid w:val="4725493D"/>
    <w:rsid w:val="4737444C"/>
    <w:rsid w:val="4737739C"/>
    <w:rsid w:val="4739506A"/>
    <w:rsid w:val="474528FF"/>
    <w:rsid w:val="47537748"/>
    <w:rsid w:val="4755115C"/>
    <w:rsid w:val="47652BA0"/>
    <w:rsid w:val="477150FF"/>
    <w:rsid w:val="47731D93"/>
    <w:rsid w:val="478F21D3"/>
    <w:rsid w:val="479328EB"/>
    <w:rsid w:val="47983EA2"/>
    <w:rsid w:val="47A06ED3"/>
    <w:rsid w:val="47A14CF8"/>
    <w:rsid w:val="47A66921"/>
    <w:rsid w:val="47B04554"/>
    <w:rsid w:val="47B97C41"/>
    <w:rsid w:val="47BA396E"/>
    <w:rsid w:val="47BF23E4"/>
    <w:rsid w:val="47CF601E"/>
    <w:rsid w:val="47E362B5"/>
    <w:rsid w:val="47E415BD"/>
    <w:rsid w:val="47FB5F75"/>
    <w:rsid w:val="480C205D"/>
    <w:rsid w:val="480D2BB3"/>
    <w:rsid w:val="481A214C"/>
    <w:rsid w:val="481A4875"/>
    <w:rsid w:val="48312631"/>
    <w:rsid w:val="4841097E"/>
    <w:rsid w:val="484511D1"/>
    <w:rsid w:val="485556AA"/>
    <w:rsid w:val="48571267"/>
    <w:rsid w:val="485766EE"/>
    <w:rsid w:val="48653621"/>
    <w:rsid w:val="48677399"/>
    <w:rsid w:val="48694117"/>
    <w:rsid w:val="489334CC"/>
    <w:rsid w:val="48971FA7"/>
    <w:rsid w:val="48A47D41"/>
    <w:rsid w:val="48A82902"/>
    <w:rsid w:val="48B034BA"/>
    <w:rsid w:val="48E00EFA"/>
    <w:rsid w:val="48F65110"/>
    <w:rsid w:val="48F73443"/>
    <w:rsid w:val="48FF272E"/>
    <w:rsid w:val="49112F0C"/>
    <w:rsid w:val="49225F60"/>
    <w:rsid w:val="49264055"/>
    <w:rsid w:val="492708C2"/>
    <w:rsid w:val="49391647"/>
    <w:rsid w:val="493C0430"/>
    <w:rsid w:val="493D49EA"/>
    <w:rsid w:val="49480645"/>
    <w:rsid w:val="496F3914"/>
    <w:rsid w:val="49703674"/>
    <w:rsid w:val="498C7DAC"/>
    <w:rsid w:val="49915388"/>
    <w:rsid w:val="499373BF"/>
    <w:rsid w:val="49965D09"/>
    <w:rsid w:val="49A51C3D"/>
    <w:rsid w:val="49BF5038"/>
    <w:rsid w:val="49C97DF4"/>
    <w:rsid w:val="49CC7DFC"/>
    <w:rsid w:val="49E7584C"/>
    <w:rsid w:val="49E77CFE"/>
    <w:rsid w:val="49F44D51"/>
    <w:rsid w:val="4A0030C8"/>
    <w:rsid w:val="4A11580F"/>
    <w:rsid w:val="4A122010"/>
    <w:rsid w:val="4A1470AD"/>
    <w:rsid w:val="4A195E4A"/>
    <w:rsid w:val="4A2217B3"/>
    <w:rsid w:val="4A280DAA"/>
    <w:rsid w:val="4A2D7EC2"/>
    <w:rsid w:val="4A3325E2"/>
    <w:rsid w:val="4A387CCE"/>
    <w:rsid w:val="4A3B1A4F"/>
    <w:rsid w:val="4A4A2094"/>
    <w:rsid w:val="4A5644F2"/>
    <w:rsid w:val="4A622B81"/>
    <w:rsid w:val="4A6414FE"/>
    <w:rsid w:val="4A942C13"/>
    <w:rsid w:val="4A973A82"/>
    <w:rsid w:val="4AA20351"/>
    <w:rsid w:val="4AA541DD"/>
    <w:rsid w:val="4AC46D25"/>
    <w:rsid w:val="4AD60057"/>
    <w:rsid w:val="4AD804BC"/>
    <w:rsid w:val="4ADD5A7A"/>
    <w:rsid w:val="4AEC2955"/>
    <w:rsid w:val="4AF41391"/>
    <w:rsid w:val="4B302EB6"/>
    <w:rsid w:val="4B49332A"/>
    <w:rsid w:val="4B4E2C24"/>
    <w:rsid w:val="4B536F21"/>
    <w:rsid w:val="4B6B3E95"/>
    <w:rsid w:val="4B6E4EE3"/>
    <w:rsid w:val="4B7D20E5"/>
    <w:rsid w:val="4B835FC8"/>
    <w:rsid w:val="4B850D62"/>
    <w:rsid w:val="4B903A89"/>
    <w:rsid w:val="4B95421D"/>
    <w:rsid w:val="4B9918A9"/>
    <w:rsid w:val="4B9F581B"/>
    <w:rsid w:val="4BA4234C"/>
    <w:rsid w:val="4BB321F2"/>
    <w:rsid w:val="4BBD4032"/>
    <w:rsid w:val="4BBE4158"/>
    <w:rsid w:val="4BBF74EC"/>
    <w:rsid w:val="4BCC2330"/>
    <w:rsid w:val="4BD32B6D"/>
    <w:rsid w:val="4BDF03FA"/>
    <w:rsid w:val="4BE72202"/>
    <w:rsid w:val="4C004C6D"/>
    <w:rsid w:val="4C2211C0"/>
    <w:rsid w:val="4C3B1B0F"/>
    <w:rsid w:val="4C5821A6"/>
    <w:rsid w:val="4C7004EA"/>
    <w:rsid w:val="4C73107C"/>
    <w:rsid w:val="4C7901B3"/>
    <w:rsid w:val="4C894D56"/>
    <w:rsid w:val="4CA62091"/>
    <w:rsid w:val="4CA77722"/>
    <w:rsid w:val="4CAA610A"/>
    <w:rsid w:val="4CAE679A"/>
    <w:rsid w:val="4CB26586"/>
    <w:rsid w:val="4CB42BD0"/>
    <w:rsid w:val="4CB91994"/>
    <w:rsid w:val="4CBD0A6E"/>
    <w:rsid w:val="4CC54039"/>
    <w:rsid w:val="4CF136D5"/>
    <w:rsid w:val="4D07114B"/>
    <w:rsid w:val="4D153050"/>
    <w:rsid w:val="4D1647A2"/>
    <w:rsid w:val="4D1B69A4"/>
    <w:rsid w:val="4D201C68"/>
    <w:rsid w:val="4D230D23"/>
    <w:rsid w:val="4D317F76"/>
    <w:rsid w:val="4D394270"/>
    <w:rsid w:val="4D411F6D"/>
    <w:rsid w:val="4D4B54DB"/>
    <w:rsid w:val="4D572DC4"/>
    <w:rsid w:val="4D5A3970"/>
    <w:rsid w:val="4D5B312E"/>
    <w:rsid w:val="4D626381"/>
    <w:rsid w:val="4D7B0AC1"/>
    <w:rsid w:val="4D9150A6"/>
    <w:rsid w:val="4DA30E74"/>
    <w:rsid w:val="4DA44356"/>
    <w:rsid w:val="4DB017E2"/>
    <w:rsid w:val="4DB55F4D"/>
    <w:rsid w:val="4DBF7916"/>
    <w:rsid w:val="4DD72999"/>
    <w:rsid w:val="4DD8077E"/>
    <w:rsid w:val="4DE265C6"/>
    <w:rsid w:val="4DE61F61"/>
    <w:rsid w:val="4DE84B2E"/>
    <w:rsid w:val="4DED136C"/>
    <w:rsid w:val="4E0109D9"/>
    <w:rsid w:val="4E082B68"/>
    <w:rsid w:val="4E087966"/>
    <w:rsid w:val="4E16180E"/>
    <w:rsid w:val="4E1F4272"/>
    <w:rsid w:val="4E206C5C"/>
    <w:rsid w:val="4E21448E"/>
    <w:rsid w:val="4E30628F"/>
    <w:rsid w:val="4E312A0D"/>
    <w:rsid w:val="4E312C12"/>
    <w:rsid w:val="4E3706B6"/>
    <w:rsid w:val="4E3E294A"/>
    <w:rsid w:val="4E4252F0"/>
    <w:rsid w:val="4E4B7777"/>
    <w:rsid w:val="4E5D28FE"/>
    <w:rsid w:val="4E700C6D"/>
    <w:rsid w:val="4E704D65"/>
    <w:rsid w:val="4E833248"/>
    <w:rsid w:val="4E9C58C3"/>
    <w:rsid w:val="4EAE02DB"/>
    <w:rsid w:val="4EC654B8"/>
    <w:rsid w:val="4ED73A5F"/>
    <w:rsid w:val="4EDB5B4A"/>
    <w:rsid w:val="4EFB591F"/>
    <w:rsid w:val="4F026828"/>
    <w:rsid w:val="4F0764B1"/>
    <w:rsid w:val="4F2A7C98"/>
    <w:rsid w:val="4F340D8A"/>
    <w:rsid w:val="4F360274"/>
    <w:rsid w:val="4F405AAF"/>
    <w:rsid w:val="4F5F28AD"/>
    <w:rsid w:val="4F6C4900"/>
    <w:rsid w:val="4F7B0BA9"/>
    <w:rsid w:val="4F864CAA"/>
    <w:rsid w:val="4F9236E9"/>
    <w:rsid w:val="4F9A411A"/>
    <w:rsid w:val="4FEE7380"/>
    <w:rsid w:val="4FF71668"/>
    <w:rsid w:val="50044F97"/>
    <w:rsid w:val="500551FA"/>
    <w:rsid w:val="50116B5A"/>
    <w:rsid w:val="50243BA0"/>
    <w:rsid w:val="502F5720"/>
    <w:rsid w:val="503404A9"/>
    <w:rsid w:val="503C2ED7"/>
    <w:rsid w:val="50414974"/>
    <w:rsid w:val="50577549"/>
    <w:rsid w:val="505C6884"/>
    <w:rsid w:val="505D0593"/>
    <w:rsid w:val="5061063C"/>
    <w:rsid w:val="506E0AC9"/>
    <w:rsid w:val="50743E03"/>
    <w:rsid w:val="50772803"/>
    <w:rsid w:val="507805D8"/>
    <w:rsid w:val="50782866"/>
    <w:rsid w:val="50787718"/>
    <w:rsid w:val="508242B4"/>
    <w:rsid w:val="50946685"/>
    <w:rsid w:val="50C659D0"/>
    <w:rsid w:val="50C67DE1"/>
    <w:rsid w:val="50D535A9"/>
    <w:rsid w:val="50E73679"/>
    <w:rsid w:val="50F639B0"/>
    <w:rsid w:val="511A7EFD"/>
    <w:rsid w:val="5122001A"/>
    <w:rsid w:val="51254295"/>
    <w:rsid w:val="512F5559"/>
    <w:rsid w:val="51301F59"/>
    <w:rsid w:val="51483DB7"/>
    <w:rsid w:val="515611A5"/>
    <w:rsid w:val="51574CDC"/>
    <w:rsid w:val="516338E2"/>
    <w:rsid w:val="51676955"/>
    <w:rsid w:val="516E0C94"/>
    <w:rsid w:val="517075BC"/>
    <w:rsid w:val="51750D79"/>
    <w:rsid w:val="517D00A3"/>
    <w:rsid w:val="51AB1DFC"/>
    <w:rsid w:val="51BC6FEE"/>
    <w:rsid w:val="51DB3866"/>
    <w:rsid w:val="51E544B8"/>
    <w:rsid w:val="51F37EB3"/>
    <w:rsid w:val="51FF4AE6"/>
    <w:rsid w:val="52081BED"/>
    <w:rsid w:val="520C1995"/>
    <w:rsid w:val="524647F1"/>
    <w:rsid w:val="525F67B0"/>
    <w:rsid w:val="526A65A8"/>
    <w:rsid w:val="52873256"/>
    <w:rsid w:val="529B56DC"/>
    <w:rsid w:val="52A74B0A"/>
    <w:rsid w:val="52B70688"/>
    <w:rsid w:val="52BC4786"/>
    <w:rsid w:val="52BC47DA"/>
    <w:rsid w:val="52BD05DD"/>
    <w:rsid w:val="52DD73EF"/>
    <w:rsid w:val="52EA7F2A"/>
    <w:rsid w:val="53165C44"/>
    <w:rsid w:val="53170A6B"/>
    <w:rsid w:val="531D2E24"/>
    <w:rsid w:val="533D3DC7"/>
    <w:rsid w:val="533E4910"/>
    <w:rsid w:val="53587FA9"/>
    <w:rsid w:val="535E6945"/>
    <w:rsid w:val="537D1357"/>
    <w:rsid w:val="5385533B"/>
    <w:rsid w:val="53B348ED"/>
    <w:rsid w:val="53B6321E"/>
    <w:rsid w:val="53B7474C"/>
    <w:rsid w:val="53B84F4D"/>
    <w:rsid w:val="53C9302E"/>
    <w:rsid w:val="53CF7E5E"/>
    <w:rsid w:val="53DC7AC8"/>
    <w:rsid w:val="53E126F6"/>
    <w:rsid w:val="53F0167E"/>
    <w:rsid w:val="541624A6"/>
    <w:rsid w:val="541D74A6"/>
    <w:rsid w:val="54312C5D"/>
    <w:rsid w:val="543C16DA"/>
    <w:rsid w:val="54484970"/>
    <w:rsid w:val="544E50B9"/>
    <w:rsid w:val="54623BD4"/>
    <w:rsid w:val="546A021C"/>
    <w:rsid w:val="54714DF2"/>
    <w:rsid w:val="547D6566"/>
    <w:rsid w:val="54A0799F"/>
    <w:rsid w:val="54A3663E"/>
    <w:rsid w:val="54AB3CA2"/>
    <w:rsid w:val="54BE4599"/>
    <w:rsid w:val="54C60B7C"/>
    <w:rsid w:val="54C76115"/>
    <w:rsid w:val="54C8206B"/>
    <w:rsid w:val="54E06D6A"/>
    <w:rsid w:val="54E902DB"/>
    <w:rsid w:val="54EA0988"/>
    <w:rsid w:val="54EA0F04"/>
    <w:rsid w:val="54F34182"/>
    <w:rsid w:val="55014F22"/>
    <w:rsid w:val="55030401"/>
    <w:rsid w:val="550466F6"/>
    <w:rsid w:val="55084E02"/>
    <w:rsid w:val="551800ED"/>
    <w:rsid w:val="55256612"/>
    <w:rsid w:val="55280F1E"/>
    <w:rsid w:val="5548411F"/>
    <w:rsid w:val="554B7611"/>
    <w:rsid w:val="554C005C"/>
    <w:rsid w:val="555D207C"/>
    <w:rsid w:val="557753CD"/>
    <w:rsid w:val="557B6E6B"/>
    <w:rsid w:val="558F2A52"/>
    <w:rsid w:val="5590714D"/>
    <w:rsid w:val="55A81F99"/>
    <w:rsid w:val="55AD3EF3"/>
    <w:rsid w:val="55C12FD3"/>
    <w:rsid w:val="55C77FAE"/>
    <w:rsid w:val="55ED20C2"/>
    <w:rsid w:val="55F746FE"/>
    <w:rsid w:val="55FF1042"/>
    <w:rsid w:val="56005219"/>
    <w:rsid w:val="561075E0"/>
    <w:rsid w:val="561D54EB"/>
    <w:rsid w:val="561F22D5"/>
    <w:rsid w:val="56325543"/>
    <w:rsid w:val="563403C3"/>
    <w:rsid w:val="563C5D0B"/>
    <w:rsid w:val="563C75ED"/>
    <w:rsid w:val="564D65C9"/>
    <w:rsid w:val="565D619A"/>
    <w:rsid w:val="56700266"/>
    <w:rsid w:val="56726B42"/>
    <w:rsid w:val="56780A46"/>
    <w:rsid w:val="567A7442"/>
    <w:rsid w:val="567D5FDA"/>
    <w:rsid w:val="569A56EB"/>
    <w:rsid w:val="56A83DD4"/>
    <w:rsid w:val="56B22AC6"/>
    <w:rsid w:val="56B55721"/>
    <w:rsid w:val="56BE68DE"/>
    <w:rsid w:val="56D42540"/>
    <w:rsid w:val="56E542AB"/>
    <w:rsid w:val="56EE21C8"/>
    <w:rsid w:val="57017931"/>
    <w:rsid w:val="572434C1"/>
    <w:rsid w:val="572873AF"/>
    <w:rsid w:val="572F60AB"/>
    <w:rsid w:val="57351E44"/>
    <w:rsid w:val="57394C44"/>
    <w:rsid w:val="573B211D"/>
    <w:rsid w:val="574A2360"/>
    <w:rsid w:val="57636306"/>
    <w:rsid w:val="57715E18"/>
    <w:rsid w:val="5773001B"/>
    <w:rsid w:val="57770C7B"/>
    <w:rsid w:val="577D4EC8"/>
    <w:rsid w:val="579E10C1"/>
    <w:rsid w:val="579F608A"/>
    <w:rsid w:val="57B57D56"/>
    <w:rsid w:val="57B84ED2"/>
    <w:rsid w:val="57C0391F"/>
    <w:rsid w:val="57CD4D3F"/>
    <w:rsid w:val="57E16E0D"/>
    <w:rsid w:val="57E26ED3"/>
    <w:rsid w:val="57FF3547"/>
    <w:rsid w:val="584E3534"/>
    <w:rsid w:val="5855720E"/>
    <w:rsid w:val="58711B6E"/>
    <w:rsid w:val="587C1C54"/>
    <w:rsid w:val="588D0B28"/>
    <w:rsid w:val="589D097C"/>
    <w:rsid w:val="58A67B5A"/>
    <w:rsid w:val="58AC0A0D"/>
    <w:rsid w:val="58B131EF"/>
    <w:rsid w:val="58B833FD"/>
    <w:rsid w:val="58BC1B8B"/>
    <w:rsid w:val="58D90CCF"/>
    <w:rsid w:val="58DE5587"/>
    <w:rsid w:val="58ED0B9F"/>
    <w:rsid w:val="58F324EA"/>
    <w:rsid w:val="59082B14"/>
    <w:rsid w:val="5909333C"/>
    <w:rsid w:val="5921751F"/>
    <w:rsid w:val="5931120F"/>
    <w:rsid w:val="593A0259"/>
    <w:rsid w:val="594A0E70"/>
    <w:rsid w:val="596C61E6"/>
    <w:rsid w:val="59755154"/>
    <w:rsid w:val="59776C2F"/>
    <w:rsid w:val="597856A8"/>
    <w:rsid w:val="597D0FB2"/>
    <w:rsid w:val="597E73A0"/>
    <w:rsid w:val="59835D74"/>
    <w:rsid w:val="59A16F38"/>
    <w:rsid w:val="59A41C6F"/>
    <w:rsid w:val="59AA6D1E"/>
    <w:rsid w:val="59B85483"/>
    <w:rsid w:val="59C400B5"/>
    <w:rsid w:val="59CF6E67"/>
    <w:rsid w:val="59D173D0"/>
    <w:rsid w:val="59ED3476"/>
    <w:rsid w:val="59EF0DB6"/>
    <w:rsid w:val="5A156E41"/>
    <w:rsid w:val="5A1B3ECC"/>
    <w:rsid w:val="5A23767B"/>
    <w:rsid w:val="5A276988"/>
    <w:rsid w:val="5A296BA4"/>
    <w:rsid w:val="5A421601"/>
    <w:rsid w:val="5A46551C"/>
    <w:rsid w:val="5A47015F"/>
    <w:rsid w:val="5A4750EF"/>
    <w:rsid w:val="5A5509FA"/>
    <w:rsid w:val="5A5C218B"/>
    <w:rsid w:val="5A5E1F21"/>
    <w:rsid w:val="5A620D7C"/>
    <w:rsid w:val="5A79159F"/>
    <w:rsid w:val="5A964045"/>
    <w:rsid w:val="5A9D78F1"/>
    <w:rsid w:val="5AA24FA3"/>
    <w:rsid w:val="5AAF6373"/>
    <w:rsid w:val="5ABF39A1"/>
    <w:rsid w:val="5ACB6FF8"/>
    <w:rsid w:val="5ADF5450"/>
    <w:rsid w:val="5AE346AD"/>
    <w:rsid w:val="5AF558FA"/>
    <w:rsid w:val="5AF848DA"/>
    <w:rsid w:val="5B05156C"/>
    <w:rsid w:val="5B092B82"/>
    <w:rsid w:val="5B287D07"/>
    <w:rsid w:val="5B3839BB"/>
    <w:rsid w:val="5B407AE7"/>
    <w:rsid w:val="5B413E7C"/>
    <w:rsid w:val="5B495B0B"/>
    <w:rsid w:val="5B4C0483"/>
    <w:rsid w:val="5B500E03"/>
    <w:rsid w:val="5B656765"/>
    <w:rsid w:val="5B6B66BD"/>
    <w:rsid w:val="5B6B7F28"/>
    <w:rsid w:val="5BA02E96"/>
    <w:rsid w:val="5BA05428"/>
    <w:rsid w:val="5BA07CB8"/>
    <w:rsid w:val="5BAC34A1"/>
    <w:rsid w:val="5BAF43D6"/>
    <w:rsid w:val="5BC143C2"/>
    <w:rsid w:val="5BCF1BB4"/>
    <w:rsid w:val="5BDD6580"/>
    <w:rsid w:val="5BE01A5C"/>
    <w:rsid w:val="5C163158"/>
    <w:rsid w:val="5C1B0AD0"/>
    <w:rsid w:val="5C2B6CAC"/>
    <w:rsid w:val="5C303D02"/>
    <w:rsid w:val="5C336EBB"/>
    <w:rsid w:val="5C365760"/>
    <w:rsid w:val="5C516418"/>
    <w:rsid w:val="5C5C530E"/>
    <w:rsid w:val="5C6C73C0"/>
    <w:rsid w:val="5C7153D5"/>
    <w:rsid w:val="5C7E0C27"/>
    <w:rsid w:val="5C815040"/>
    <w:rsid w:val="5C82266E"/>
    <w:rsid w:val="5C91458D"/>
    <w:rsid w:val="5C957825"/>
    <w:rsid w:val="5CBD0B01"/>
    <w:rsid w:val="5CC10A15"/>
    <w:rsid w:val="5CD96A43"/>
    <w:rsid w:val="5CE73899"/>
    <w:rsid w:val="5CF35248"/>
    <w:rsid w:val="5D096819"/>
    <w:rsid w:val="5D0D6E10"/>
    <w:rsid w:val="5D17529A"/>
    <w:rsid w:val="5D1A0A26"/>
    <w:rsid w:val="5D2C4559"/>
    <w:rsid w:val="5D301FF8"/>
    <w:rsid w:val="5D44739F"/>
    <w:rsid w:val="5D5E3039"/>
    <w:rsid w:val="5D63558B"/>
    <w:rsid w:val="5D6F0002"/>
    <w:rsid w:val="5D79149A"/>
    <w:rsid w:val="5DA37A30"/>
    <w:rsid w:val="5DB378D1"/>
    <w:rsid w:val="5DBA5A89"/>
    <w:rsid w:val="5DC11DC9"/>
    <w:rsid w:val="5DC52B82"/>
    <w:rsid w:val="5DC75932"/>
    <w:rsid w:val="5DC942E6"/>
    <w:rsid w:val="5DCD6CCE"/>
    <w:rsid w:val="5DE51685"/>
    <w:rsid w:val="5DE7730D"/>
    <w:rsid w:val="5DEC16BD"/>
    <w:rsid w:val="5DED613B"/>
    <w:rsid w:val="5DFC0393"/>
    <w:rsid w:val="5E017352"/>
    <w:rsid w:val="5E127950"/>
    <w:rsid w:val="5E1558EF"/>
    <w:rsid w:val="5E4E4E2C"/>
    <w:rsid w:val="5E4F0DC5"/>
    <w:rsid w:val="5E613E47"/>
    <w:rsid w:val="5E614E33"/>
    <w:rsid w:val="5E69761C"/>
    <w:rsid w:val="5E6A4A0C"/>
    <w:rsid w:val="5E74311C"/>
    <w:rsid w:val="5E907ABD"/>
    <w:rsid w:val="5E996261"/>
    <w:rsid w:val="5E9B5B97"/>
    <w:rsid w:val="5E9D1542"/>
    <w:rsid w:val="5EAF6E9D"/>
    <w:rsid w:val="5EBF6948"/>
    <w:rsid w:val="5ED52E57"/>
    <w:rsid w:val="5EE17A3A"/>
    <w:rsid w:val="5EE976E9"/>
    <w:rsid w:val="5EEE1656"/>
    <w:rsid w:val="5EEE2D45"/>
    <w:rsid w:val="5EF2633A"/>
    <w:rsid w:val="5EF446B1"/>
    <w:rsid w:val="5F0129B4"/>
    <w:rsid w:val="5F145886"/>
    <w:rsid w:val="5F223BC2"/>
    <w:rsid w:val="5F2D4A41"/>
    <w:rsid w:val="5F345891"/>
    <w:rsid w:val="5F48011D"/>
    <w:rsid w:val="5F48020E"/>
    <w:rsid w:val="5F5532D8"/>
    <w:rsid w:val="5F5C5B94"/>
    <w:rsid w:val="5F7258D9"/>
    <w:rsid w:val="5F7F766B"/>
    <w:rsid w:val="5F8D0A96"/>
    <w:rsid w:val="5F987D48"/>
    <w:rsid w:val="5FA13D31"/>
    <w:rsid w:val="5FA54D98"/>
    <w:rsid w:val="5FA5629C"/>
    <w:rsid w:val="5FA568AF"/>
    <w:rsid w:val="5FB40EC0"/>
    <w:rsid w:val="5FC41A2F"/>
    <w:rsid w:val="5FD650D9"/>
    <w:rsid w:val="5FD96977"/>
    <w:rsid w:val="5FF437B1"/>
    <w:rsid w:val="600423CC"/>
    <w:rsid w:val="60145C01"/>
    <w:rsid w:val="60295805"/>
    <w:rsid w:val="604150E4"/>
    <w:rsid w:val="604616F5"/>
    <w:rsid w:val="60567FC7"/>
    <w:rsid w:val="605A34C9"/>
    <w:rsid w:val="605B55DE"/>
    <w:rsid w:val="606A1982"/>
    <w:rsid w:val="606F57C8"/>
    <w:rsid w:val="607F3CF2"/>
    <w:rsid w:val="608D17DF"/>
    <w:rsid w:val="60A833B5"/>
    <w:rsid w:val="60AA795C"/>
    <w:rsid w:val="60B151FE"/>
    <w:rsid w:val="60C10052"/>
    <w:rsid w:val="60C73CD8"/>
    <w:rsid w:val="60D21FA9"/>
    <w:rsid w:val="60D41EA0"/>
    <w:rsid w:val="60E43825"/>
    <w:rsid w:val="60E83EE3"/>
    <w:rsid w:val="60FD13F4"/>
    <w:rsid w:val="60FF44E6"/>
    <w:rsid w:val="6133370E"/>
    <w:rsid w:val="61372559"/>
    <w:rsid w:val="61582A10"/>
    <w:rsid w:val="61693FC9"/>
    <w:rsid w:val="616F265D"/>
    <w:rsid w:val="616F618B"/>
    <w:rsid w:val="617B67ED"/>
    <w:rsid w:val="618272BC"/>
    <w:rsid w:val="619F2C51"/>
    <w:rsid w:val="61A84853"/>
    <w:rsid w:val="61B60772"/>
    <w:rsid w:val="61C176C2"/>
    <w:rsid w:val="61D624CC"/>
    <w:rsid w:val="61D6397A"/>
    <w:rsid w:val="61D70C94"/>
    <w:rsid w:val="61E0223F"/>
    <w:rsid w:val="61E16416"/>
    <w:rsid w:val="61FA3F8D"/>
    <w:rsid w:val="621A475A"/>
    <w:rsid w:val="622E6744"/>
    <w:rsid w:val="623C4D12"/>
    <w:rsid w:val="624110B6"/>
    <w:rsid w:val="62514EBA"/>
    <w:rsid w:val="62567CE3"/>
    <w:rsid w:val="627D6579"/>
    <w:rsid w:val="62843EF0"/>
    <w:rsid w:val="628F1247"/>
    <w:rsid w:val="629666A6"/>
    <w:rsid w:val="629D3C8C"/>
    <w:rsid w:val="62A025A8"/>
    <w:rsid w:val="62BC7E8A"/>
    <w:rsid w:val="62C101B9"/>
    <w:rsid w:val="62C51B4C"/>
    <w:rsid w:val="62C6134F"/>
    <w:rsid w:val="62D028F3"/>
    <w:rsid w:val="62D80294"/>
    <w:rsid w:val="62E33669"/>
    <w:rsid w:val="62F2510A"/>
    <w:rsid w:val="632219EB"/>
    <w:rsid w:val="6337099F"/>
    <w:rsid w:val="633F6CEC"/>
    <w:rsid w:val="633F7C26"/>
    <w:rsid w:val="634D3D86"/>
    <w:rsid w:val="635C1775"/>
    <w:rsid w:val="636158AC"/>
    <w:rsid w:val="63730C63"/>
    <w:rsid w:val="637A5D7B"/>
    <w:rsid w:val="63844E4C"/>
    <w:rsid w:val="638F21AA"/>
    <w:rsid w:val="63907D6D"/>
    <w:rsid w:val="63B12046"/>
    <w:rsid w:val="63C25461"/>
    <w:rsid w:val="63D9082E"/>
    <w:rsid w:val="63EF04E5"/>
    <w:rsid w:val="63F45EE5"/>
    <w:rsid w:val="64032DDD"/>
    <w:rsid w:val="64331FA4"/>
    <w:rsid w:val="644749E5"/>
    <w:rsid w:val="644A17E9"/>
    <w:rsid w:val="647A3331"/>
    <w:rsid w:val="647E189B"/>
    <w:rsid w:val="64886162"/>
    <w:rsid w:val="64A54C80"/>
    <w:rsid w:val="64A556C7"/>
    <w:rsid w:val="64BD4EC3"/>
    <w:rsid w:val="64C23D23"/>
    <w:rsid w:val="64CB497D"/>
    <w:rsid w:val="64DE1CA0"/>
    <w:rsid w:val="64E02555"/>
    <w:rsid w:val="64F232CD"/>
    <w:rsid w:val="64F47DAF"/>
    <w:rsid w:val="650D593F"/>
    <w:rsid w:val="650F6997"/>
    <w:rsid w:val="65147126"/>
    <w:rsid w:val="651632BE"/>
    <w:rsid w:val="6516429F"/>
    <w:rsid w:val="65285696"/>
    <w:rsid w:val="652E528B"/>
    <w:rsid w:val="65320A31"/>
    <w:rsid w:val="65375529"/>
    <w:rsid w:val="65565510"/>
    <w:rsid w:val="6561580A"/>
    <w:rsid w:val="65654AAD"/>
    <w:rsid w:val="65760E72"/>
    <w:rsid w:val="659749DF"/>
    <w:rsid w:val="65B14912"/>
    <w:rsid w:val="65C15BCF"/>
    <w:rsid w:val="65D25994"/>
    <w:rsid w:val="65DE239D"/>
    <w:rsid w:val="65ED6B26"/>
    <w:rsid w:val="65F3435E"/>
    <w:rsid w:val="65F868D4"/>
    <w:rsid w:val="65FF515C"/>
    <w:rsid w:val="661F1936"/>
    <w:rsid w:val="662266DD"/>
    <w:rsid w:val="66231BF9"/>
    <w:rsid w:val="6623329E"/>
    <w:rsid w:val="662526B7"/>
    <w:rsid w:val="6635155F"/>
    <w:rsid w:val="6638053A"/>
    <w:rsid w:val="66521C9E"/>
    <w:rsid w:val="666B5235"/>
    <w:rsid w:val="66740471"/>
    <w:rsid w:val="668426AA"/>
    <w:rsid w:val="66923FB1"/>
    <w:rsid w:val="66972518"/>
    <w:rsid w:val="66AF49B1"/>
    <w:rsid w:val="66B94688"/>
    <w:rsid w:val="66CB4B3F"/>
    <w:rsid w:val="66DB038A"/>
    <w:rsid w:val="66F244A4"/>
    <w:rsid w:val="66FD0A16"/>
    <w:rsid w:val="670818F0"/>
    <w:rsid w:val="671D4605"/>
    <w:rsid w:val="672E435F"/>
    <w:rsid w:val="6755056F"/>
    <w:rsid w:val="67583592"/>
    <w:rsid w:val="676B7381"/>
    <w:rsid w:val="676C08A1"/>
    <w:rsid w:val="67733A14"/>
    <w:rsid w:val="677A6EFE"/>
    <w:rsid w:val="67A840C2"/>
    <w:rsid w:val="67BD7A0A"/>
    <w:rsid w:val="67C72605"/>
    <w:rsid w:val="67D24FE6"/>
    <w:rsid w:val="67E40C0D"/>
    <w:rsid w:val="67EF72F2"/>
    <w:rsid w:val="67F33B6B"/>
    <w:rsid w:val="68092197"/>
    <w:rsid w:val="68180077"/>
    <w:rsid w:val="681E1AB1"/>
    <w:rsid w:val="68203394"/>
    <w:rsid w:val="68441260"/>
    <w:rsid w:val="684B4E42"/>
    <w:rsid w:val="684F1371"/>
    <w:rsid w:val="6855297D"/>
    <w:rsid w:val="685823FB"/>
    <w:rsid w:val="686256A3"/>
    <w:rsid w:val="68676313"/>
    <w:rsid w:val="68725E31"/>
    <w:rsid w:val="68834760"/>
    <w:rsid w:val="688409D2"/>
    <w:rsid w:val="688A1CE3"/>
    <w:rsid w:val="68946C87"/>
    <w:rsid w:val="689A0C6D"/>
    <w:rsid w:val="68B53F18"/>
    <w:rsid w:val="68BA1DE6"/>
    <w:rsid w:val="68DA50E4"/>
    <w:rsid w:val="68E51EE8"/>
    <w:rsid w:val="68F16D24"/>
    <w:rsid w:val="68FC27C1"/>
    <w:rsid w:val="69054339"/>
    <w:rsid w:val="6906511B"/>
    <w:rsid w:val="69081974"/>
    <w:rsid w:val="69083092"/>
    <w:rsid w:val="690A51CE"/>
    <w:rsid w:val="69394F4A"/>
    <w:rsid w:val="693C17B0"/>
    <w:rsid w:val="69403D49"/>
    <w:rsid w:val="694C35C7"/>
    <w:rsid w:val="695344AB"/>
    <w:rsid w:val="69542547"/>
    <w:rsid w:val="69612E6E"/>
    <w:rsid w:val="6965553E"/>
    <w:rsid w:val="696613DA"/>
    <w:rsid w:val="69790C15"/>
    <w:rsid w:val="698E393B"/>
    <w:rsid w:val="69921ACE"/>
    <w:rsid w:val="69972680"/>
    <w:rsid w:val="69984203"/>
    <w:rsid w:val="699F24AB"/>
    <w:rsid w:val="69AA33EF"/>
    <w:rsid w:val="69B3469F"/>
    <w:rsid w:val="69C4527E"/>
    <w:rsid w:val="69D70EAF"/>
    <w:rsid w:val="69D947F6"/>
    <w:rsid w:val="69F46695"/>
    <w:rsid w:val="69FA5949"/>
    <w:rsid w:val="6A0268CC"/>
    <w:rsid w:val="6A1933AF"/>
    <w:rsid w:val="6A1D6A52"/>
    <w:rsid w:val="6A1E3DD4"/>
    <w:rsid w:val="6A2236CE"/>
    <w:rsid w:val="6A260A0B"/>
    <w:rsid w:val="6A28258A"/>
    <w:rsid w:val="6A2D46BE"/>
    <w:rsid w:val="6A2E74FB"/>
    <w:rsid w:val="6A342196"/>
    <w:rsid w:val="6A445335"/>
    <w:rsid w:val="6A4B221F"/>
    <w:rsid w:val="6A9242F2"/>
    <w:rsid w:val="6A995680"/>
    <w:rsid w:val="6AB341C7"/>
    <w:rsid w:val="6AB562CE"/>
    <w:rsid w:val="6AED5955"/>
    <w:rsid w:val="6AF404EB"/>
    <w:rsid w:val="6AFD30D6"/>
    <w:rsid w:val="6B314F94"/>
    <w:rsid w:val="6B3D66F3"/>
    <w:rsid w:val="6B43383E"/>
    <w:rsid w:val="6B572E46"/>
    <w:rsid w:val="6B6A62F6"/>
    <w:rsid w:val="6B6B3766"/>
    <w:rsid w:val="6B6B3C52"/>
    <w:rsid w:val="6B74666F"/>
    <w:rsid w:val="6B86337D"/>
    <w:rsid w:val="6B976644"/>
    <w:rsid w:val="6BA668F2"/>
    <w:rsid w:val="6BA73A52"/>
    <w:rsid w:val="6BBA4C6E"/>
    <w:rsid w:val="6BBF2EC5"/>
    <w:rsid w:val="6BD02C9F"/>
    <w:rsid w:val="6BD8764A"/>
    <w:rsid w:val="6BDB5825"/>
    <w:rsid w:val="6BDF1D02"/>
    <w:rsid w:val="6BE42B9C"/>
    <w:rsid w:val="6BE66643"/>
    <w:rsid w:val="6BE9303C"/>
    <w:rsid w:val="6BF31B32"/>
    <w:rsid w:val="6C223454"/>
    <w:rsid w:val="6C294EE1"/>
    <w:rsid w:val="6C2A1D16"/>
    <w:rsid w:val="6C3808E8"/>
    <w:rsid w:val="6C6800DC"/>
    <w:rsid w:val="6C692B9D"/>
    <w:rsid w:val="6C765F8E"/>
    <w:rsid w:val="6C8D4D71"/>
    <w:rsid w:val="6C9E47D4"/>
    <w:rsid w:val="6CAC722D"/>
    <w:rsid w:val="6CB3788C"/>
    <w:rsid w:val="6CBE3A9C"/>
    <w:rsid w:val="6CCE7137"/>
    <w:rsid w:val="6CE52A4C"/>
    <w:rsid w:val="6CFC3DFC"/>
    <w:rsid w:val="6D036CF1"/>
    <w:rsid w:val="6D0C2328"/>
    <w:rsid w:val="6D136AF8"/>
    <w:rsid w:val="6D155AE6"/>
    <w:rsid w:val="6D1B70E4"/>
    <w:rsid w:val="6D2777EB"/>
    <w:rsid w:val="6D36756B"/>
    <w:rsid w:val="6D4B2F1B"/>
    <w:rsid w:val="6D5A4709"/>
    <w:rsid w:val="6D6261FE"/>
    <w:rsid w:val="6D6472B4"/>
    <w:rsid w:val="6D6D2444"/>
    <w:rsid w:val="6D75028E"/>
    <w:rsid w:val="6D7C1B79"/>
    <w:rsid w:val="6D85297B"/>
    <w:rsid w:val="6DA72662"/>
    <w:rsid w:val="6DE15EFE"/>
    <w:rsid w:val="6DE3363E"/>
    <w:rsid w:val="6DF977C3"/>
    <w:rsid w:val="6DFD2F7B"/>
    <w:rsid w:val="6E0C76AD"/>
    <w:rsid w:val="6E124783"/>
    <w:rsid w:val="6E146160"/>
    <w:rsid w:val="6E1B14E6"/>
    <w:rsid w:val="6E3E0535"/>
    <w:rsid w:val="6E71182F"/>
    <w:rsid w:val="6E8201DA"/>
    <w:rsid w:val="6E8C3967"/>
    <w:rsid w:val="6E8C76FD"/>
    <w:rsid w:val="6EA17868"/>
    <w:rsid w:val="6EAB386F"/>
    <w:rsid w:val="6EB14284"/>
    <w:rsid w:val="6EB27F0E"/>
    <w:rsid w:val="6EC97728"/>
    <w:rsid w:val="6ECD0308"/>
    <w:rsid w:val="6ECD0D5C"/>
    <w:rsid w:val="6ED2588F"/>
    <w:rsid w:val="6ED75CA7"/>
    <w:rsid w:val="6EDC68C1"/>
    <w:rsid w:val="6EE90259"/>
    <w:rsid w:val="6F076131"/>
    <w:rsid w:val="6F1454EF"/>
    <w:rsid w:val="6F27753E"/>
    <w:rsid w:val="6F367133"/>
    <w:rsid w:val="6F3B4EAC"/>
    <w:rsid w:val="6F3B4F58"/>
    <w:rsid w:val="6F4E0E76"/>
    <w:rsid w:val="6F5901D3"/>
    <w:rsid w:val="6F5C623E"/>
    <w:rsid w:val="6F5E09C2"/>
    <w:rsid w:val="6F686ABA"/>
    <w:rsid w:val="6F785A19"/>
    <w:rsid w:val="6FA127DE"/>
    <w:rsid w:val="6FA32AFD"/>
    <w:rsid w:val="6FA51804"/>
    <w:rsid w:val="6FB22B5D"/>
    <w:rsid w:val="6FB83F4B"/>
    <w:rsid w:val="6FD40219"/>
    <w:rsid w:val="6FD81458"/>
    <w:rsid w:val="6FE155A0"/>
    <w:rsid w:val="6FEB3440"/>
    <w:rsid w:val="6FEF1A29"/>
    <w:rsid w:val="70177432"/>
    <w:rsid w:val="702874AA"/>
    <w:rsid w:val="7029781C"/>
    <w:rsid w:val="705555DB"/>
    <w:rsid w:val="7056748D"/>
    <w:rsid w:val="705D2CAC"/>
    <w:rsid w:val="70667D29"/>
    <w:rsid w:val="7072390D"/>
    <w:rsid w:val="707F384C"/>
    <w:rsid w:val="70800F07"/>
    <w:rsid w:val="708741CD"/>
    <w:rsid w:val="709213D8"/>
    <w:rsid w:val="709C6B0E"/>
    <w:rsid w:val="70A50DC2"/>
    <w:rsid w:val="70B051ED"/>
    <w:rsid w:val="70BF72A0"/>
    <w:rsid w:val="70D74A0D"/>
    <w:rsid w:val="70FA0C49"/>
    <w:rsid w:val="71041EC4"/>
    <w:rsid w:val="710A43B5"/>
    <w:rsid w:val="711A6DEF"/>
    <w:rsid w:val="71220CDB"/>
    <w:rsid w:val="712418CA"/>
    <w:rsid w:val="7124558B"/>
    <w:rsid w:val="71310365"/>
    <w:rsid w:val="71381560"/>
    <w:rsid w:val="713902C3"/>
    <w:rsid w:val="713C6D66"/>
    <w:rsid w:val="7141612A"/>
    <w:rsid w:val="714D2D21"/>
    <w:rsid w:val="71591D02"/>
    <w:rsid w:val="716E0CAA"/>
    <w:rsid w:val="717A47E2"/>
    <w:rsid w:val="717F125B"/>
    <w:rsid w:val="718A2C3F"/>
    <w:rsid w:val="718F7CF4"/>
    <w:rsid w:val="71A721D3"/>
    <w:rsid w:val="71C8609C"/>
    <w:rsid w:val="71CF498A"/>
    <w:rsid w:val="71D945B4"/>
    <w:rsid w:val="71DD37A7"/>
    <w:rsid w:val="71E96CB2"/>
    <w:rsid w:val="71F150CB"/>
    <w:rsid w:val="71F2677E"/>
    <w:rsid w:val="71F3471B"/>
    <w:rsid w:val="71F4423C"/>
    <w:rsid w:val="72144523"/>
    <w:rsid w:val="72315D7F"/>
    <w:rsid w:val="72374879"/>
    <w:rsid w:val="723D0FE7"/>
    <w:rsid w:val="725C12DB"/>
    <w:rsid w:val="72621DAD"/>
    <w:rsid w:val="726B08C0"/>
    <w:rsid w:val="727C0613"/>
    <w:rsid w:val="72912BF8"/>
    <w:rsid w:val="72A363ED"/>
    <w:rsid w:val="72B71FE3"/>
    <w:rsid w:val="72BA7F38"/>
    <w:rsid w:val="72C60FDD"/>
    <w:rsid w:val="72D354A8"/>
    <w:rsid w:val="72DE188C"/>
    <w:rsid w:val="72E20183"/>
    <w:rsid w:val="72E967EB"/>
    <w:rsid w:val="72EE2610"/>
    <w:rsid w:val="72F253BE"/>
    <w:rsid w:val="73100258"/>
    <w:rsid w:val="73326672"/>
    <w:rsid w:val="733A0812"/>
    <w:rsid w:val="733C2886"/>
    <w:rsid w:val="733D0B73"/>
    <w:rsid w:val="73440153"/>
    <w:rsid w:val="73591E49"/>
    <w:rsid w:val="73670C47"/>
    <w:rsid w:val="736F6A9F"/>
    <w:rsid w:val="738372F0"/>
    <w:rsid w:val="73921039"/>
    <w:rsid w:val="73981D05"/>
    <w:rsid w:val="739D313F"/>
    <w:rsid w:val="739E729B"/>
    <w:rsid w:val="73A6739C"/>
    <w:rsid w:val="73B07FAD"/>
    <w:rsid w:val="73B70925"/>
    <w:rsid w:val="73B72AAA"/>
    <w:rsid w:val="73BA61B6"/>
    <w:rsid w:val="73C379A0"/>
    <w:rsid w:val="73C50132"/>
    <w:rsid w:val="73D40078"/>
    <w:rsid w:val="73E76345"/>
    <w:rsid w:val="73F9695B"/>
    <w:rsid w:val="74040836"/>
    <w:rsid w:val="7405752D"/>
    <w:rsid w:val="74287FE2"/>
    <w:rsid w:val="74316B01"/>
    <w:rsid w:val="7435253B"/>
    <w:rsid w:val="7467234B"/>
    <w:rsid w:val="747A67B4"/>
    <w:rsid w:val="747B5C67"/>
    <w:rsid w:val="747F4BD0"/>
    <w:rsid w:val="747F6C1C"/>
    <w:rsid w:val="74B75A72"/>
    <w:rsid w:val="74C24578"/>
    <w:rsid w:val="74C517E5"/>
    <w:rsid w:val="74CE092E"/>
    <w:rsid w:val="74D05988"/>
    <w:rsid w:val="74D51B1D"/>
    <w:rsid w:val="74D71922"/>
    <w:rsid w:val="74DF3287"/>
    <w:rsid w:val="74E30041"/>
    <w:rsid w:val="75051555"/>
    <w:rsid w:val="750F0CD1"/>
    <w:rsid w:val="750F4EE4"/>
    <w:rsid w:val="75120509"/>
    <w:rsid w:val="751244D2"/>
    <w:rsid w:val="7513490F"/>
    <w:rsid w:val="75162B6A"/>
    <w:rsid w:val="75197791"/>
    <w:rsid w:val="752C70F1"/>
    <w:rsid w:val="75410D8E"/>
    <w:rsid w:val="754331C2"/>
    <w:rsid w:val="75440463"/>
    <w:rsid w:val="754D7FB9"/>
    <w:rsid w:val="755521A4"/>
    <w:rsid w:val="75574080"/>
    <w:rsid w:val="757371EE"/>
    <w:rsid w:val="757529FD"/>
    <w:rsid w:val="75771766"/>
    <w:rsid w:val="757B458A"/>
    <w:rsid w:val="758A3E4A"/>
    <w:rsid w:val="75A5486F"/>
    <w:rsid w:val="75B33C9E"/>
    <w:rsid w:val="75B87058"/>
    <w:rsid w:val="75FC4CC7"/>
    <w:rsid w:val="7601232C"/>
    <w:rsid w:val="760F58A1"/>
    <w:rsid w:val="762E113A"/>
    <w:rsid w:val="76675F0A"/>
    <w:rsid w:val="76681D7C"/>
    <w:rsid w:val="76767CD6"/>
    <w:rsid w:val="767945B8"/>
    <w:rsid w:val="767A6704"/>
    <w:rsid w:val="767C626F"/>
    <w:rsid w:val="76A64854"/>
    <w:rsid w:val="76C42E14"/>
    <w:rsid w:val="76CC19C1"/>
    <w:rsid w:val="76E5508B"/>
    <w:rsid w:val="76EF4890"/>
    <w:rsid w:val="76FA74A7"/>
    <w:rsid w:val="76FE0B9E"/>
    <w:rsid w:val="770B5F03"/>
    <w:rsid w:val="770F4E53"/>
    <w:rsid w:val="77153EB3"/>
    <w:rsid w:val="771B097C"/>
    <w:rsid w:val="771F0E85"/>
    <w:rsid w:val="77404442"/>
    <w:rsid w:val="775D295A"/>
    <w:rsid w:val="776720B4"/>
    <w:rsid w:val="777A707A"/>
    <w:rsid w:val="779508E7"/>
    <w:rsid w:val="77AF5F25"/>
    <w:rsid w:val="77B567BC"/>
    <w:rsid w:val="77C56794"/>
    <w:rsid w:val="77C65BAE"/>
    <w:rsid w:val="77CF3479"/>
    <w:rsid w:val="77D1052F"/>
    <w:rsid w:val="77D30D65"/>
    <w:rsid w:val="77DA5F7F"/>
    <w:rsid w:val="77F9775E"/>
    <w:rsid w:val="781518A1"/>
    <w:rsid w:val="78253FC5"/>
    <w:rsid w:val="782C7B34"/>
    <w:rsid w:val="78362761"/>
    <w:rsid w:val="7838133F"/>
    <w:rsid w:val="78627073"/>
    <w:rsid w:val="78682A16"/>
    <w:rsid w:val="786B1CF2"/>
    <w:rsid w:val="786D6DDF"/>
    <w:rsid w:val="78733307"/>
    <w:rsid w:val="78762BBB"/>
    <w:rsid w:val="788B1F91"/>
    <w:rsid w:val="78B0451D"/>
    <w:rsid w:val="78B10039"/>
    <w:rsid w:val="78B20DC3"/>
    <w:rsid w:val="78B43685"/>
    <w:rsid w:val="78CD5055"/>
    <w:rsid w:val="78CF3B79"/>
    <w:rsid w:val="78D8512F"/>
    <w:rsid w:val="78DA610F"/>
    <w:rsid w:val="78E468C4"/>
    <w:rsid w:val="78E70A55"/>
    <w:rsid w:val="78E85544"/>
    <w:rsid w:val="790243F1"/>
    <w:rsid w:val="790A295D"/>
    <w:rsid w:val="79135C1A"/>
    <w:rsid w:val="793B2510"/>
    <w:rsid w:val="79642569"/>
    <w:rsid w:val="796A0E04"/>
    <w:rsid w:val="79782709"/>
    <w:rsid w:val="79821847"/>
    <w:rsid w:val="79842F8F"/>
    <w:rsid w:val="79B16059"/>
    <w:rsid w:val="79B235FF"/>
    <w:rsid w:val="79CB7E1A"/>
    <w:rsid w:val="79E776EC"/>
    <w:rsid w:val="7A013854"/>
    <w:rsid w:val="7A070468"/>
    <w:rsid w:val="7A1B5258"/>
    <w:rsid w:val="7A3367C9"/>
    <w:rsid w:val="7A3D2F73"/>
    <w:rsid w:val="7A4B43F7"/>
    <w:rsid w:val="7A531646"/>
    <w:rsid w:val="7A5D49B2"/>
    <w:rsid w:val="7A680637"/>
    <w:rsid w:val="7A763723"/>
    <w:rsid w:val="7A7A1B91"/>
    <w:rsid w:val="7A851402"/>
    <w:rsid w:val="7A980773"/>
    <w:rsid w:val="7AB254BD"/>
    <w:rsid w:val="7ABB6A0C"/>
    <w:rsid w:val="7AC16445"/>
    <w:rsid w:val="7AC40A76"/>
    <w:rsid w:val="7AC57FF8"/>
    <w:rsid w:val="7ACE3CAA"/>
    <w:rsid w:val="7AE96D6B"/>
    <w:rsid w:val="7AF52CD4"/>
    <w:rsid w:val="7AF71509"/>
    <w:rsid w:val="7B0B3567"/>
    <w:rsid w:val="7B1524A9"/>
    <w:rsid w:val="7B154834"/>
    <w:rsid w:val="7B1941FF"/>
    <w:rsid w:val="7B1F268D"/>
    <w:rsid w:val="7B2A0C04"/>
    <w:rsid w:val="7B310ABC"/>
    <w:rsid w:val="7B3A0735"/>
    <w:rsid w:val="7B4038F6"/>
    <w:rsid w:val="7B4E6013"/>
    <w:rsid w:val="7B555909"/>
    <w:rsid w:val="7B6A44CF"/>
    <w:rsid w:val="7B6C4054"/>
    <w:rsid w:val="7B715533"/>
    <w:rsid w:val="7B75733B"/>
    <w:rsid w:val="7B8A41FB"/>
    <w:rsid w:val="7B9808A1"/>
    <w:rsid w:val="7BA55F72"/>
    <w:rsid w:val="7BAE7724"/>
    <w:rsid w:val="7BB30110"/>
    <w:rsid w:val="7BBA49F5"/>
    <w:rsid w:val="7BC167E5"/>
    <w:rsid w:val="7BC2255D"/>
    <w:rsid w:val="7BCE1271"/>
    <w:rsid w:val="7BEB3862"/>
    <w:rsid w:val="7BF070CA"/>
    <w:rsid w:val="7BF577F2"/>
    <w:rsid w:val="7BFC5F16"/>
    <w:rsid w:val="7C0D255E"/>
    <w:rsid w:val="7C11383C"/>
    <w:rsid w:val="7C1323C2"/>
    <w:rsid w:val="7C1A0AA3"/>
    <w:rsid w:val="7C204A97"/>
    <w:rsid w:val="7C39753F"/>
    <w:rsid w:val="7C460A98"/>
    <w:rsid w:val="7C4A007F"/>
    <w:rsid w:val="7C4A7FD6"/>
    <w:rsid w:val="7C5B2D0B"/>
    <w:rsid w:val="7C6D767C"/>
    <w:rsid w:val="7C720E3E"/>
    <w:rsid w:val="7C722286"/>
    <w:rsid w:val="7C736CB8"/>
    <w:rsid w:val="7C801699"/>
    <w:rsid w:val="7C8021FC"/>
    <w:rsid w:val="7C821532"/>
    <w:rsid w:val="7C9E6B26"/>
    <w:rsid w:val="7CDF2E6B"/>
    <w:rsid w:val="7CE2477D"/>
    <w:rsid w:val="7CF0070F"/>
    <w:rsid w:val="7CF533F4"/>
    <w:rsid w:val="7CF72A43"/>
    <w:rsid w:val="7CFB2A3A"/>
    <w:rsid w:val="7D005B13"/>
    <w:rsid w:val="7D09707C"/>
    <w:rsid w:val="7D1376F7"/>
    <w:rsid w:val="7D1C7A4B"/>
    <w:rsid w:val="7D235F79"/>
    <w:rsid w:val="7D341279"/>
    <w:rsid w:val="7D5E6CE3"/>
    <w:rsid w:val="7D5F7797"/>
    <w:rsid w:val="7D631435"/>
    <w:rsid w:val="7D690027"/>
    <w:rsid w:val="7D721472"/>
    <w:rsid w:val="7D9447FF"/>
    <w:rsid w:val="7DC07E18"/>
    <w:rsid w:val="7DCD37D5"/>
    <w:rsid w:val="7DDB779C"/>
    <w:rsid w:val="7DF12C86"/>
    <w:rsid w:val="7DFA182D"/>
    <w:rsid w:val="7DFB58B2"/>
    <w:rsid w:val="7E086234"/>
    <w:rsid w:val="7E0E5265"/>
    <w:rsid w:val="7E132BFC"/>
    <w:rsid w:val="7E192B5A"/>
    <w:rsid w:val="7E1E270C"/>
    <w:rsid w:val="7E1F5A45"/>
    <w:rsid w:val="7E2677F9"/>
    <w:rsid w:val="7E2930D0"/>
    <w:rsid w:val="7E2B383A"/>
    <w:rsid w:val="7E2B6DB7"/>
    <w:rsid w:val="7E36388D"/>
    <w:rsid w:val="7E3D3AA0"/>
    <w:rsid w:val="7E4D42CE"/>
    <w:rsid w:val="7E523526"/>
    <w:rsid w:val="7E52728D"/>
    <w:rsid w:val="7E562688"/>
    <w:rsid w:val="7E5D4D34"/>
    <w:rsid w:val="7E5E1DC9"/>
    <w:rsid w:val="7E677F35"/>
    <w:rsid w:val="7E883AB4"/>
    <w:rsid w:val="7E8A49B8"/>
    <w:rsid w:val="7E8D52F1"/>
    <w:rsid w:val="7E8E2DEF"/>
    <w:rsid w:val="7EA10916"/>
    <w:rsid w:val="7EAA1E6D"/>
    <w:rsid w:val="7EB749C6"/>
    <w:rsid w:val="7EC053A2"/>
    <w:rsid w:val="7ECE5A2C"/>
    <w:rsid w:val="7ECF1219"/>
    <w:rsid w:val="7ED76894"/>
    <w:rsid w:val="7EE772AD"/>
    <w:rsid w:val="7F06736E"/>
    <w:rsid w:val="7F0904F6"/>
    <w:rsid w:val="7F224FC2"/>
    <w:rsid w:val="7F2958E0"/>
    <w:rsid w:val="7F3C187F"/>
    <w:rsid w:val="7F55311E"/>
    <w:rsid w:val="7F686F78"/>
    <w:rsid w:val="7F7C6F35"/>
    <w:rsid w:val="7F8E7C23"/>
    <w:rsid w:val="7F977D28"/>
    <w:rsid w:val="7F9B35C4"/>
    <w:rsid w:val="7FA1619F"/>
    <w:rsid w:val="7FB10200"/>
    <w:rsid w:val="7FBD035B"/>
    <w:rsid w:val="7FCA19E0"/>
    <w:rsid w:val="7FDF7F07"/>
    <w:rsid w:val="7FE64A6C"/>
    <w:rsid w:val="7FEF265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7">
    <w:name w:val="heading 4"/>
    <w:basedOn w:val="1"/>
    <w:next w:val="1"/>
    <w:qFormat/>
    <w:uiPriority w:val="1"/>
    <w:pPr>
      <w:spacing w:before="36"/>
      <w:ind w:left="714"/>
      <w:outlineLvl w:val="4"/>
    </w:pPr>
    <w:rPr>
      <w:rFonts w:ascii="宋体" w:hAnsi="宋体" w:eastAsia="宋体"/>
      <w:b/>
      <w:bCs/>
      <w:sz w:val="24"/>
      <w:szCs w:val="24"/>
    </w:rPr>
  </w:style>
  <w:style w:type="character" w:default="1" w:styleId="20">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Indent 2"/>
    <w:basedOn w:val="1"/>
    <w:next w:val="3"/>
    <w:qFormat/>
    <w:uiPriority w:val="0"/>
    <w:pPr>
      <w:spacing w:line="620" w:lineRule="exact"/>
      <w:ind w:left="105" w:firstLine="645"/>
    </w:pPr>
    <w:rPr>
      <w:rFonts w:ascii="仿宋_GB2312" w:eastAsia="仿宋_GB2312"/>
      <w:sz w:val="30"/>
    </w:rPr>
  </w:style>
  <w:style w:type="paragraph" w:customStyle="1" w:styleId="3">
    <w:name w:val="简单回函地址"/>
    <w:basedOn w:val="1"/>
    <w:next w:val="4"/>
    <w:qFormat/>
    <w:uiPriority w:val="0"/>
  </w:style>
  <w:style w:type="paragraph" w:customStyle="1" w:styleId="4">
    <w:name w:val="正文2"/>
    <w:basedOn w:val="1"/>
    <w:qFormat/>
    <w:uiPriority w:val="0"/>
    <w:pPr>
      <w:autoSpaceDE w:val="0"/>
      <w:autoSpaceDN w:val="0"/>
      <w:spacing w:line="480" w:lineRule="exact"/>
      <w:ind w:left="556"/>
      <w:textAlignment w:val="bottom"/>
    </w:pPr>
    <w:rPr>
      <w:color w:val="000000"/>
      <w:sz w:val="28"/>
    </w:rPr>
  </w:style>
  <w:style w:type="paragraph" w:styleId="8">
    <w:name w:val="annotation text"/>
    <w:basedOn w:val="1"/>
    <w:qFormat/>
    <w:uiPriority w:val="0"/>
    <w:pPr>
      <w:jc w:val="left"/>
    </w:pPr>
  </w:style>
  <w:style w:type="paragraph" w:styleId="9">
    <w:name w:val="Salutation"/>
    <w:basedOn w:val="1"/>
    <w:next w:val="1"/>
    <w:qFormat/>
    <w:uiPriority w:val="0"/>
  </w:style>
  <w:style w:type="paragraph" w:styleId="10">
    <w:name w:val="Body Text"/>
    <w:basedOn w:val="1"/>
    <w:qFormat/>
    <w:uiPriority w:val="1"/>
    <w:pPr>
      <w:spacing w:before="55"/>
      <w:ind w:left="234"/>
    </w:pPr>
    <w:rPr>
      <w:rFonts w:ascii="宋体" w:hAnsi="宋体" w:eastAsia="宋体"/>
      <w:sz w:val="24"/>
      <w:szCs w:val="24"/>
    </w:rPr>
  </w:style>
  <w:style w:type="paragraph" w:styleId="11">
    <w:name w:val="Body Text Indent"/>
    <w:basedOn w:val="1"/>
    <w:next w:val="1"/>
    <w:qFormat/>
    <w:uiPriority w:val="0"/>
    <w:pPr>
      <w:ind w:firstLine="627"/>
    </w:pPr>
    <w:rPr>
      <w:sz w:val="32"/>
    </w:rPr>
  </w:style>
  <w:style w:type="paragraph" w:styleId="12">
    <w:name w:val="toc 3"/>
    <w:basedOn w:val="1"/>
    <w:next w:val="1"/>
    <w:unhideWhenUsed/>
    <w:qFormat/>
    <w:uiPriority w:val="39"/>
    <w:pPr>
      <w:ind w:left="840" w:leftChars="400"/>
    </w:pPr>
    <w:rPr>
      <w:szCs w:val="22"/>
    </w:rPr>
  </w:style>
  <w:style w:type="paragraph" w:styleId="13">
    <w:name w:val="footer"/>
    <w:basedOn w:val="1"/>
    <w:qFormat/>
    <w:uiPriority w:val="99"/>
    <w:pPr>
      <w:tabs>
        <w:tab w:val="center" w:pos="4153"/>
        <w:tab w:val="right" w:pos="8306"/>
      </w:tabs>
      <w:snapToGrid w:val="0"/>
      <w:jc w:val="left"/>
    </w:pPr>
    <w:rPr>
      <w:kern w:val="0"/>
      <w:sz w:val="18"/>
      <w:szCs w:val="20"/>
    </w:rPr>
  </w:style>
  <w:style w:type="paragraph" w:styleId="14">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6">
    <w:name w:val="Body Text First Indent 2"/>
    <w:basedOn w:val="11"/>
    <w:next w:val="1"/>
    <w:qFormat/>
    <w:uiPriority w:val="0"/>
    <w:pPr>
      <w:spacing w:after="120" w:afterLines="0"/>
      <w:ind w:left="420" w:leftChars="200" w:firstLine="420" w:firstLineChars="200"/>
    </w:pPr>
    <w:rPr>
      <w:sz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9">
    <w:name w:val="Table Theme"/>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Hyperlink"/>
    <w:basedOn w:val="20"/>
    <w:qFormat/>
    <w:uiPriority w:val="0"/>
    <w:rPr>
      <w:color w:val="0000FF"/>
      <w:u w:val="single"/>
    </w:rPr>
  </w:style>
  <w:style w:type="paragraph" w:customStyle="1" w:styleId="24">
    <w:name w:val="样式3"/>
    <w:basedOn w:val="25"/>
    <w:next w:val="1"/>
    <w:qFormat/>
    <w:uiPriority w:val="0"/>
    <w:pPr>
      <w:tabs>
        <w:tab w:val="left" w:pos="6351"/>
      </w:tabs>
      <w:spacing w:line="360" w:lineRule="auto"/>
      <w:ind w:firstLine="200" w:firstLineChars="200"/>
    </w:pPr>
    <w:rPr>
      <w:rFonts w:eastAsia="楷体_GB2312"/>
      <w:sz w:val="28"/>
      <w:szCs w:val="20"/>
    </w:rPr>
  </w:style>
  <w:style w:type="paragraph" w:customStyle="1" w:styleId="25">
    <w:name w:val="标题 2 + 左侧:  0.75 厘米 首行缩进:  0 厘米"/>
    <w:basedOn w:val="5"/>
    <w:next w:val="5"/>
    <w:qFormat/>
    <w:uiPriority w:val="0"/>
    <w:pPr>
      <w:tabs>
        <w:tab w:val="left" w:pos="6351"/>
      </w:tabs>
      <w:spacing w:before="100" w:beforeAutospacing="1" w:after="100" w:afterAutospacing="1" w:line="240" w:lineRule="auto"/>
      <w:ind w:left="425" w:firstLine="0" w:firstLineChars="0"/>
      <w:jc w:val="left"/>
    </w:pPr>
    <w:rPr>
      <w:rFonts w:eastAsia="宋体" w:cs="宋体"/>
      <w:sz w:val="30"/>
      <w:szCs w:val="20"/>
    </w:rPr>
  </w:style>
  <w:style w:type="paragraph" w:customStyle="1" w:styleId="26">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4"/>
    </w:rPr>
  </w:style>
  <w:style w:type="paragraph" w:customStyle="1" w:styleId="27">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8">
    <w:name w:val="11正文"/>
    <w:basedOn w:val="1"/>
    <w:qFormat/>
    <w:uiPriority w:val="0"/>
    <w:pPr>
      <w:spacing w:line="500" w:lineRule="exact"/>
      <w:ind w:firstLine="200" w:firstLineChars="200"/>
    </w:pPr>
    <w:rPr>
      <w:bCs/>
      <w:sz w:val="24"/>
    </w:rPr>
  </w:style>
  <w:style w:type="paragraph" w:customStyle="1" w:styleId="29">
    <w:name w:val="xl63"/>
    <w:basedOn w:val="1"/>
    <w:qFormat/>
    <w:uiPriority w:val="0"/>
    <w:pPr>
      <w:widowControl/>
      <w:spacing w:before="100" w:after="100"/>
      <w:jc w:val="center"/>
    </w:pPr>
    <w:rPr>
      <w:rFonts w:hint="eastAsia" w:ascii="黑体" w:hAnsi="宋体" w:eastAsia="黑体"/>
      <w:kern w:val="0"/>
      <w:sz w:val="24"/>
      <w:szCs w:val="20"/>
    </w:rPr>
  </w:style>
  <w:style w:type="paragraph" w:customStyle="1" w:styleId="30">
    <w:name w:val="流程图"/>
    <w:basedOn w:val="1"/>
    <w:qFormat/>
    <w:uiPriority w:val="0"/>
    <w:pPr>
      <w:tabs>
        <w:tab w:val="center" w:pos="0"/>
      </w:tabs>
    </w:pPr>
    <w:rPr>
      <w:rFonts w:eastAsia="楷体_GB2312"/>
      <w:sz w:val="24"/>
      <w:szCs w:val="20"/>
    </w:rPr>
  </w:style>
  <w:style w:type="paragraph" w:customStyle="1" w:styleId="31">
    <w:name w:val="表格文字"/>
    <w:basedOn w:val="10"/>
    <w:qFormat/>
    <w:uiPriority w:val="0"/>
    <w:pPr>
      <w:spacing w:before="100" w:beforeAutospacing="1" w:after="0"/>
    </w:pPr>
    <w:rPr>
      <w:szCs w:val="21"/>
    </w:rPr>
  </w:style>
  <w:style w:type="paragraph" w:customStyle="1" w:styleId="32">
    <w:name w:val="rpt_表项"/>
    <w:basedOn w:val="1"/>
    <w:qFormat/>
    <w:uiPriority w:val="99"/>
    <w:pPr>
      <w:spacing w:before="60" w:after="60"/>
      <w:jc w:val="center"/>
    </w:pPr>
    <w:rPr>
      <w:rFonts w:cs="宋体"/>
      <w:sz w:val="22"/>
      <w:szCs w:val="20"/>
    </w:rPr>
  </w:style>
  <w:style w:type="paragraph" w:customStyle="1" w:styleId="33">
    <w:name w:val="Table Paragraph"/>
    <w:basedOn w:val="1"/>
    <w:qFormat/>
    <w:uiPriority w:val="1"/>
  </w:style>
  <w:style w:type="character" w:customStyle="1" w:styleId="34">
    <w:name w:val="fontstyle01"/>
    <w:qFormat/>
    <w:uiPriority w:val="0"/>
    <w:rPr>
      <w:rFonts w:hint="eastAsia" w:ascii="宋体" w:hAnsi="宋体" w:eastAsia="宋体"/>
      <w:color w:val="000000"/>
      <w:sz w:val="22"/>
      <w:szCs w:val="22"/>
    </w:rPr>
  </w:style>
  <w:style w:type="paragraph" w:customStyle="1" w:styleId="35">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36">
    <w:name w:val="样式 表格 32 + 首行缩进:  2 字符"/>
    <w:basedOn w:val="1"/>
    <w:qFormat/>
    <w:uiPriority w:val="0"/>
    <w:pPr>
      <w:autoSpaceDE w:val="0"/>
      <w:autoSpaceDN w:val="0"/>
      <w:adjustRightInd w:val="0"/>
      <w:spacing w:line="0" w:lineRule="atLeast"/>
      <w:jc w:val="center"/>
      <w:textAlignment w:val="baseline"/>
    </w:pPr>
    <w:rPr>
      <w:rFonts w:cs="宋体"/>
      <w:kern w:val="0"/>
      <w:szCs w:val="21"/>
    </w:rPr>
  </w:style>
  <w:style w:type="paragraph" w:customStyle="1" w:styleId="37">
    <w:name w:val="样式9"/>
    <w:basedOn w:val="1"/>
    <w:qFormat/>
    <w:uiPriority w:val="0"/>
    <w:pPr>
      <w:adjustRightInd w:val="0"/>
      <w:snapToGrid w:val="0"/>
      <w:spacing w:line="360" w:lineRule="exact"/>
      <w:jc w:val="center"/>
    </w:pPr>
    <w:rPr>
      <w:rFonts w:hAnsi="宋体"/>
      <w:kern w:val="0"/>
      <w:szCs w:val="21"/>
    </w:rPr>
  </w:style>
  <w:style w:type="table" w:customStyle="1" w:styleId="38">
    <w:name w:val="Table Grid_0"/>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40">
    <w:name w:val="edri-正文"/>
    <w:basedOn w:val="1"/>
    <w:qFormat/>
    <w:uiPriority w:val="0"/>
    <w:pPr>
      <w:spacing w:before="156" w:beforeLines="50" w:line="300" w:lineRule="auto"/>
      <w:ind w:left="899" w:leftChars="428"/>
    </w:pPr>
    <w:rPr>
      <w:snapToGrid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10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59</Pages>
  <Words>48487</Words>
  <Characters>53713</Characters>
  <Lines>217</Lines>
  <Paragraphs>61</Paragraphs>
  <TotalTime>9</TotalTime>
  <ScaleCrop>false</ScaleCrop>
  <LinksUpToDate>false</LinksUpToDate>
  <CharactersWithSpaces>53942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2021-03-21T10:35:00Z</dcterms:created>
  <dc:creator>同体大悲</dc:creator>
  <cp:lastModifiedBy>ZF</cp:lastModifiedBy>
  <cp:lastPrinted>2023-12-15T09:44:00Z</cp:lastPrinted>
  <dcterms:modified xsi:type="dcterms:W3CDTF">2023-12-18T08:03:58Z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CDD29164B72F48AF83809C1E80C7D547_13</vt:lpwstr>
  </property>
  <property fmtid="{D5CDD505-2E9C-101B-9397-08002B2CF9AE}" pid="4" name="KSOSaveFontToCloudKey">
    <vt:lpwstr>788956_cloud</vt:lpwstr>
  </property>
</Properties>
</file>