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sz w:val="36"/>
          <w:szCs w:val="36"/>
        </w:rPr>
      </w:pPr>
      <w:bookmarkStart w:id="0" w:name="_Hlk57883707"/>
    </w:p>
    <w:p>
      <w:pPr>
        <w:rPr>
          <w:rFonts w:eastAsia="仿宋_GB2312"/>
          <w:sz w:val="36"/>
          <w:szCs w:val="36"/>
        </w:rPr>
      </w:pPr>
    </w:p>
    <w:p>
      <w:pPr>
        <w:rPr>
          <w:rFonts w:eastAsia="仿宋_GB2312"/>
          <w:sz w:val="36"/>
          <w:szCs w:val="36"/>
        </w:rPr>
      </w:pPr>
    </w:p>
    <w:p>
      <w:pPr>
        <w:rPr>
          <w:rFonts w:eastAsia="仿宋_GB2312"/>
          <w:sz w:val="36"/>
          <w:szCs w:val="36"/>
        </w:rPr>
      </w:pPr>
    </w:p>
    <w:bookmarkEnd w:id="0"/>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（生态影响类）</w:t>
      </w:r>
    </w:p>
    <w:p>
      <w:pPr>
        <w:adjustRightInd w:val="0"/>
        <w:snapToGrid w:val="0"/>
        <w:spacing w:line="288" w:lineRule="auto"/>
        <w:jc w:val="center"/>
        <w:rPr>
          <w:rFonts w:eastAsia="华文仿宋"/>
          <w:kern w:val="44"/>
          <w:sz w:val="52"/>
          <w:szCs w:val="52"/>
        </w:rPr>
      </w:pPr>
      <w:bookmarkStart w:id="1" w:name="_Hlk57883728"/>
    </w:p>
    <w:p>
      <w:pPr>
        <w:jc w:val="center"/>
        <w:rPr>
          <w:rFonts w:eastAsia="仿宋"/>
          <w:sz w:val="52"/>
          <w:szCs w:val="52"/>
        </w:rPr>
      </w:pP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bookmarkEnd w:id="1"/>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项目名称：</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铁北1侧HF井</w:t>
      </w:r>
      <w:r>
        <w:rPr>
          <w:rFonts w:eastAsia="仿宋_GB2312"/>
          <w:sz w:val="36"/>
          <w:szCs w:val="36"/>
          <w:u w:val="single"/>
        </w:rPr>
        <w:t xml:space="preserve">钻井工程   </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建设单位：</w:t>
      </w:r>
      <w:bookmarkStart w:id="2" w:name="_Hlk66954754"/>
      <w:r>
        <w:rPr>
          <w:rFonts w:eastAsia="仿宋_GB2312"/>
          <w:sz w:val="32"/>
          <w:szCs w:val="32"/>
          <w:u w:val="single"/>
        </w:rPr>
        <w:t>中国石油化工股份有限公司中原油田普光分公司</w:t>
      </w:r>
    </w:p>
    <w:bookmarkEnd w:id="2"/>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202</w:t>
      </w:r>
      <w:r>
        <w:rPr>
          <w:rFonts w:hint="eastAsia" w:eastAsia="仿宋_GB2312"/>
          <w:sz w:val="36"/>
          <w:szCs w:val="36"/>
          <w:u w:val="single"/>
        </w:rPr>
        <w:t>3</w:t>
      </w:r>
      <w:r>
        <w:rPr>
          <w:rFonts w:eastAsia="仿宋_GB2312"/>
          <w:sz w:val="36"/>
          <w:szCs w:val="36"/>
          <w:u w:val="single"/>
        </w:rPr>
        <w:t>年</w:t>
      </w:r>
      <w:r>
        <w:rPr>
          <w:rFonts w:hint="eastAsia" w:eastAsia="仿宋_GB2312"/>
          <w:sz w:val="36"/>
          <w:szCs w:val="36"/>
          <w:u w:val="single"/>
        </w:rPr>
        <w:t>1</w:t>
      </w:r>
      <w:r>
        <w:rPr>
          <w:rFonts w:hint="eastAsia" w:eastAsia="仿宋_GB2312"/>
          <w:sz w:val="36"/>
          <w:szCs w:val="36"/>
          <w:u w:val="single"/>
          <w:lang w:val="en-US" w:eastAsia="zh-CN"/>
        </w:rPr>
        <w:t>2</w:t>
      </w:r>
      <w:r>
        <w:rPr>
          <w:rFonts w:eastAsia="仿宋_GB2312"/>
          <w:sz w:val="36"/>
          <w:szCs w:val="36"/>
          <w:u w:val="single"/>
        </w:rPr>
        <w:t xml:space="preserve">月   </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Cs w:val="21"/>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pPr>
        <w:pStyle w:val="3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44"/>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4"/>
        <w:gridCol w:w="3135"/>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建设项目名称</w:t>
            </w:r>
          </w:p>
        </w:tc>
        <w:tc>
          <w:tcPr>
            <w:tcW w:w="7655" w:type="dxa"/>
            <w:gridSpan w:val="3"/>
            <w:vAlign w:val="center"/>
          </w:tcPr>
          <w:p>
            <w:pPr>
              <w:adjustRightInd w:val="0"/>
              <w:snapToGrid w:val="0"/>
              <w:jc w:val="center"/>
              <w:rPr>
                <w:szCs w:val="21"/>
              </w:rPr>
            </w:pPr>
            <w:r>
              <w:rPr>
                <w:rFonts w:hint="eastAsia"/>
                <w:szCs w:val="21"/>
              </w:rPr>
              <w:t>铁北1侧HF井</w:t>
            </w:r>
            <w:r>
              <w:rPr>
                <w:szCs w:val="21"/>
              </w:rPr>
              <w:t>钻井工程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34" w:type="dxa"/>
            <w:tcMar>
              <w:top w:w="16" w:type="dxa"/>
              <w:left w:w="16" w:type="dxa"/>
              <w:right w:w="16" w:type="dxa"/>
            </w:tcMar>
            <w:vAlign w:val="center"/>
          </w:tcPr>
          <w:p>
            <w:pPr>
              <w:adjustRightInd w:val="0"/>
              <w:snapToGrid w:val="0"/>
              <w:jc w:val="center"/>
              <w:rPr>
                <w:szCs w:val="21"/>
              </w:rPr>
            </w:pPr>
            <w:r>
              <w:rPr>
                <w:szCs w:val="21"/>
              </w:rPr>
              <w:t>项目代码</w:t>
            </w:r>
          </w:p>
        </w:tc>
        <w:tc>
          <w:tcPr>
            <w:tcW w:w="7655" w:type="dxa"/>
            <w:gridSpan w:val="3"/>
            <w:vAlign w:val="center"/>
          </w:tcPr>
          <w:p>
            <w:pPr>
              <w:adjustRightInd w:val="0"/>
              <w:snapToGrid w:val="0"/>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建设单位联系人</w:t>
            </w:r>
          </w:p>
        </w:tc>
        <w:tc>
          <w:tcPr>
            <w:tcW w:w="3135" w:type="dxa"/>
            <w:vAlign w:val="center"/>
          </w:tcPr>
          <w:p>
            <w:pPr>
              <w:adjustRightInd w:val="0"/>
              <w:snapToGrid w:val="0"/>
              <w:jc w:val="center"/>
              <w:rPr>
                <w:szCs w:val="21"/>
              </w:rPr>
            </w:pPr>
            <w:r>
              <w:rPr>
                <w:szCs w:val="21"/>
              </w:rPr>
              <w:t>贺贤伟</w:t>
            </w:r>
          </w:p>
        </w:tc>
        <w:tc>
          <w:tcPr>
            <w:tcW w:w="1968" w:type="dxa"/>
            <w:vAlign w:val="center"/>
          </w:tcPr>
          <w:p>
            <w:pPr>
              <w:adjustRightInd w:val="0"/>
              <w:snapToGrid w:val="0"/>
              <w:jc w:val="center"/>
              <w:rPr>
                <w:szCs w:val="21"/>
              </w:rPr>
            </w:pPr>
            <w:r>
              <w:rPr>
                <w:szCs w:val="21"/>
              </w:rPr>
              <w:t>联系方式</w:t>
            </w:r>
          </w:p>
        </w:tc>
        <w:tc>
          <w:tcPr>
            <w:tcW w:w="2552" w:type="dxa"/>
            <w:vAlign w:val="center"/>
          </w:tcPr>
          <w:p>
            <w:pPr>
              <w:adjustRightInd w:val="0"/>
              <w:snapToGrid w:val="0"/>
              <w:jc w:val="center"/>
              <w:rPr>
                <w:szCs w:val="21"/>
              </w:rPr>
            </w:pPr>
            <w:r>
              <w:rPr>
                <w:szCs w:val="21"/>
              </w:rPr>
              <w:t>0818-4776659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tcMar>
              <w:top w:w="16" w:type="dxa"/>
              <w:left w:w="16" w:type="dxa"/>
              <w:right w:w="16" w:type="dxa"/>
            </w:tcMar>
            <w:vAlign w:val="center"/>
          </w:tcPr>
          <w:p>
            <w:pPr>
              <w:adjustRightInd w:val="0"/>
              <w:snapToGrid w:val="0"/>
              <w:jc w:val="center"/>
              <w:rPr>
                <w:szCs w:val="21"/>
              </w:rPr>
            </w:pPr>
            <w:r>
              <w:rPr>
                <w:szCs w:val="21"/>
              </w:rPr>
              <w:t>建设地点</w:t>
            </w:r>
          </w:p>
        </w:tc>
        <w:tc>
          <w:tcPr>
            <w:tcW w:w="7655" w:type="dxa"/>
            <w:gridSpan w:val="3"/>
            <w:vAlign w:val="center"/>
          </w:tcPr>
          <w:p>
            <w:pPr>
              <w:adjustRightInd w:val="0"/>
              <w:snapToGrid w:val="0"/>
              <w:jc w:val="center"/>
              <w:rPr>
                <w:szCs w:val="21"/>
              </w:rPr>
            </w:pPr>
            <w:r>
              <w:rPr>
                <w:szCs w:val="21"/>
                <w:u w:val="single"/>
              </w:rPr>
              <w:t xml:space="preserve">四川 </w:t>
            </w:r>
            <w:r>
              <w:rPr>
                <w:szCs w:val="21"/>
              </w:rPr>
              <w:t>省</w:t>
            </w:r>
            <w:r>
              <w:rPr>
                <w:szCs w:val="21"/>
                <w:u w:val="single"/>
              </w:rPr>
              <w:t xml:space="preserve"> </w:t>
            </w:r>
            <w:r>
              <w:rPr>
                <w:rFonts w:hint="eastAsia"/>
                <w:szCs w:val="21"/>
                <w:u w:val="single"/>
              </w:rPr>
              <w:t>达州</w:t>
            </w:r>
            <w:r>
              <w:rPr>
                <w:szCs w:val="21"/>
                <w:u w:val="single"/>
              </w:rPr>
              <w:t xml:space="preserve"> </w:t>
            </w:r>
            <w:r>
              <w:rPr>
                <w:szCs w:val="21"/>
              </w:rPr>
              <w:t>市</w:t>
            </w:r>
            <w:r>
              <w:rPr>
                <w:szCs w:val="21"/>
                <w:u w:val="single"/>
              </w:rPr>
              <w:t xml:space="preserve"> </w:t>
            </w:r>
            <w:r>
              <w:rPr>
                <w:rFonts w:hint="eastAsia"/>
                <w:szCs w:val="21"/>
                <w:u w:val="single"/>
              </w:rPr>
              <w:t>宣汉</w:t>
            </w:r>
            <w:r>
              <w:rPr>
                <w:szCs w:val="21"/>
                <w:u w:val="single"/>
              </w:rPr>
              <w:t xml:space="preserve"> </w:t>
            </w:r>
            <w:r>
              <w:rPr>
                <w:szCs w:val="21"/>
              </w:rPr>
              <w:t>县</w:t>
            </w:r>
            <w:r>
              <w:rPr>
                <w:szCs w:val="21"/>
                <w:u w:val="single"/>
              </w:rPr>
              <w:t xml:space="preserve"> </w:t>
            </w:r>
            <w:r>
              <w:rPr>
                <w:rFonts w:hint="eastAsia"/>
                <w:szCs w:val="21"/>
                <w:u w:val="single"/>
              </w:rPr>
              <w:t xml:space="preserve">大成 </w:t>
            </w:r>
            <w:r>
              <w:rPr>
                <w:rFonts w:hint="eastAsia"/>
                <w:szCs w:val="21"/>
              </w:rPr>
              <w:t>镇</w:t>
            </w:r>
            <w:r>
              <w:rPr>
                <w:szCs w:val="21"/>
                <w:u w:val="single"/>
              </w:rPr>
              <w:t xml:space="preserve"> </w:t>
            </w:r>
            <w:r>
              <w:rPr>
                <w:rFonts w:hint="eastAsia"/>
                <w:szCs w:val="21"/>
                <w:u w:val="single"/>
              </w:rPr>
              <w:t>大地村</w:t>
            </w:r>
            <w:r>
              <w:rPr>
                <w:szCs w:val="21"/>
                <w:u w:val="single"/>
              </w:rPr>
              <w:t xml:space="preserve"> </w:t>
            </w:r>
            <w:r>
              <w:rPr>
                <w:rFonts w:hint="eastAsia"/>
                <w:szCs w:val="21"/>
                <w:u w:val="single"/>
              </w:rPr>
              <w:t>1</w:t>
            </w:r>
            <w:r>
              <w:rPr>
                <w:szCs w:val="21"/>
                <w:u w:val="single"/>
              </w:rPr>
              <w:t>组</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4" w:type="dxa"/>
            <w:tcMar>
              <w:top w:w="16" w:type="dxa"/>
              <w:left w:w="16" w:type="dxa"/>
              <w:right w:w="16" w:type="dxa"/>
            </w:tcMar>
            <w:vAlign w:val="center"/>
          </w:tcPr>
          <w:p>
            <w:pPr>
              <w:adjustRightInd w:val="0"/>
              <w:snapToGrid w:val="0"/>
              <w:jc w:val="center"/>
              <w:rPr>
                <w:szCs w:val="21"/>
              </w:rPr>
            </w:pPr>
            <w:r>
              <w:rPr>
                <w:szCs w:val="21"/>
              </w:rPr>
              <w:t>地理坐标</w:t>
            </w:r>
          </w:p>
        </w:tc>
        <w:tc>
          <w:tcPr>
            <w:tcW w:w="7655" w:type="dxa"/>
            <w:gridSpan w:val="3"/>
            <w:vAlign w:val="center"/>
          </w:tcPr>
          <w:p>
            <w:pPr>
              <w:adjustRightInd w:val="0"/>
              <w:snapToGrid w:val="0"/>
              <w:jc w:val="center"/>
              <w:rPr>
                <w:szCs w:val="21"/>
              </w:rPr>
            </w:pPr>
            <w:r>
              <w:rPr>
                <w:szCs w:val="21"/>
              </w:rPr>
              <w:t>（</w:t>
            </w:r>
            <w:r>
              <w:rPr>
                <w:szCs w:val="21"/>
                <w:u w:val="single"/>
              </w:rPr>
              <w:t>10</w:t>
            </w:r>
            <w:r>
              <w:rPr>
                <w:rFonts w:hint="eastAsia"/>
                <w:szCs w:val="21"/>
                <w:u w:val="single"/>
              </w:rPr>
              <w:t>7</w:t>
            </w:r>
            <w:r>
              <w:rPr>
                <w:szCs w:val="21"/>
              </w:rPr>
              <w:t>度</w:t>
            </w:r>
            <w:r>
              <w:rPr>
                <w:szCs w:val="21"/>
                <w:u w:val="single"/>
              </w:rPr>
              <w:t xml:space="preserve"> </w:t>
            </w:r>
            <w:r>
              <w:rPr>
                <w:rFonts w:hint="eastAsia"/>
                <w:szCs w:val="21"/>
                <w:u w:val="single"/>
              </w:rPr>
              <w:t>30</w:t>
            </w:r>
            <w:r>
              <w:rPr>
                <w:szCs w:val="21"/>
                <w:u w:val="single"/>
              </w:rPr>
              <w:t xml:space="preserve"> </w:t>
            </w:r>
            <w:r>
              <w:rPr>
                <w:szCs w:val="21"/>
              </w:rPr>
              <w:t>分</w:t>
            </w:r>
            <w:r>
              <w:rPr>
                <w:szCs w:val="21"/>
                <w:u w:val="single"/>
              </w:rPr>
              <w:t xml:space="preserve"> </w:t>
            </w:r>
            <w:r>
              <w:rPr>
                <w:rFonts w:hint="eastAsia"/>
                <w:szCs w:val="21"/>
                <w:u w:val="single"/>
              </w:rPr>
              <w:t xml:space="preserve">47.921 </w:t>
            </w:r>
            <w:r>
              <w:rPr>
                <w:szCs w:val="21"/>
              </w:rPr>
              <w:t>秒，</w:t>
            </w:r>
            <w:r>
              <w:rPr>
                <w:szCs w:val="21"/>
                <w:u w:val="single"/>
              </w:rPr>
              <w:t xml:space="preserve"> 31 </w:t>
            </w:r>
            <w:r>
              <w:rPr>
                <w:szCs w:val="21"/>
              </w:rPr>
              <w:t>度</w:t>
            </w:r>
            <w:r>
              <w:rPr>
                <w:szCs w:val="21"/>
                <w:u w:val="single"/>
              </w:rPr>
              <w:t xml:space="preserve"> </w:t>
            </w:r>
            <w:r>
              <w:rPr>
                <w:rFonts w:hint="eastAsia"/>
                <w:szCs w:val="21"/>
                <w:u w:val="single"/>
              </w:rPr>
              <w:t>24</w:t>
            </w:r>
            <w:r>
              <w:rPr>
                <w:szCs w:val="21"/>
                <w:u w:val="single"/>
              </w:rPr>
              <w:t xml:space="preserve"> </w:t>
            </w:r>
            <w:r>
              <w:rPr>
                <w:szCs w:val="21"/>
              </w:rPr>
              <w:t>分</w:t>
            </w:r>
            <w:r>
              <w:rPr>
                <w:rFonts w:hint="eastAsia"/>
                <w:szCs w:val="21"/>
              </w:rPr>
              <w:t>34.460</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34" w:type="dxa"/>
            <w:tcMar>
              <w:top w:w="16" w:type="dxa"/>
              <w:left w:w="16" w:type="dxa"/>
              <w:right w:w="16" w:type="dxa"/>
            </w:tcMar>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行业类别</w:t>
            </w:r>
          </w:p>
        </w:tc>
        <w:tc>
          <w:tcPr>
            <w:tcW w:w="3135" w:type="dxa"/>
            <w:vAlign w:val="center"/>
          </w:tcPr>
          <w:p>
            <w:pPr>
              <w:adjustRightInd w:val="0"/>
              <w:snapToGrid w:val="0"/>
              <w:jc w:val="center"/>
              <w:rPr>
                <w:szCs w:val="21"/>
              </w:rPr>
            </w:pPr>
            <w:r>
              <w:rPr>
                <w:szCs w:val="21"/>
              </w:rPr>
              <w:t>四十六、专业技术服务业</w:t>
            </w:r>
          </w:p>
          <w:p>
            <w:pPr>
              <w:adjustRightInd w:val="0"/>
              <w:snapToGrid w:val="0"/>
              <w:jc w:val="center"/>
              <w:rPr>
                <w:szCs w:val="21"/>
              </w:rPr>
            </w:pPr>
            <w:r>
              <w:rPr>
                <w:szCs w:val="21"/>
              </w:rPr>
              <w:t>99</w:t>
            </w:r>
            <w:bookmarkStart w:id="3" w:name="_Hlk67602426"/>
            <w:r>
              <w:rPr>
                <w:szCs w:val="21"/>
              </w:rPr>
              <w:t>陆地矿产资源地质勘查</w:t>
            </w:r>
          </w:p>
          <w:p>
            <w:pPr>
              <w:adjustRightInd w:val="0"/>
              <w:snapToGrid w:val="0"/>
              <w:jc w:val="center"/>
              <w:rPr>
                <w:szCs w:val="21"/>
              </w:rPr>
            </w:pPr>
            <w:r>
              <w:rPr>
                <w:szCs w:val="21"/>
              </w:rPr>
              <w:t>（含油气资源勘探）</w:t>
            </w:r>
            <w:bookmarkEnd w:id="3"/>
          </w:p>
        </w:tc>
        <w:tc>
          <w:tcPr>
            <w:tcW w:w="1968" w:type="dxa"/>
            <w:vAlign w:val="center"/>
          </w:tcPr>
          <w:p>
            <w:pPr>
              <w:adjustRightInd w:val="0"/>
              <w:snapToGrid w:val="0"/>
              <w:jc w:val="center"/>
              <w:rPr>
                <w:szCs w:val="21"/>
              </w:rPr>
            </w:pPr>
            <w:r>
              <w:rPr>
                <w:szCs w:val="21"/>
              </w:rPr>
              <w:t>用地（用海）面积（m</w:t>
            </w:r>
            <w:r>
              <w:rPr>
                <w:szCs w:val="21"/>
                <w:vertAlign w:val="superscript"/>
              </w:rPr>
              <w:t>2</w:t>
            </w:r>
            <w:r>
              <w:rPr>
                <w:szCs w:val="21"/>
              </w:rPr>
              <w:t>）/长度（km）</w:t>
            </w:r>
          </w:p>
        </w:tc>
        <w:tc>
          <w:tcPr>
            <w:tcW w:w="2552" w:type="dxa"/>
            <w:vAlign w:val="center"/>
          </w:tcPr>
          <w:p>
            <w:pPr>
              <w:adjustRightInd w:val="0"/>
              <w:snapToGrid w:val="0"/>
              <w:jc w:val="center"/>
              <w:rPr>
                <w:rFonts w:hint="default" w:eastAsia="宋体"/>
                <w:szCs w:val="21"/>
                <w:lang w:val="en-US" w:eastAsia="zh-CN"/>
              </w:rPr>
            </w:pPr>
            <w:r>
              <w:rPr>
                <w:rFonts w:hint="eastAsia"/>
                <w:szCs w:val="21"/>
                <w:lang w:val="en-US" w:eastAsia="zh-CN"/>
              </w:rPr>
              <w:t>15439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34" w:type="dxa"/>
            <w:tcMar>
              <w:top w:w="16" w:type="dxa"/>
              <w:left w:w="16" w:type="dxa"/>
              <w:right w:w="16" w:type="dxa"/>
            </w:tcMar>
            <w:vAlign w:val="center"/>
          </w:tcPr>
          <w:p>
            <w:pPr>
              <w:adjustRightInd w:val="0"/>
              <w:snapToGrid w:val="0"/>
              <w:jc w:val="center"/>
              <w:rPr>
                <w:szCs w:val="21"/>
              </w:rPr>
            </w:pPr>
            <w:r>
              <w:rPr>
                <w:szCs w:val="21"/>
              </w:rPr>
              <w:t>建设性质</w:t>
            </w:r>
          </w:p>
        </w:tc>
        <w:tc>
          <w:tcPr>
            <w:tcW w:w="3135" w:type="dxa"/>
            <w:vAlign w:val="center"/>
          </w:tcPr>
          <w:p>
            <w:pPr>
              <w:adjustRightInd w:val="0"/>
              <w:snapToGrid w:val="0"/>
              <w:ind w:left="210" w:leftChars="100"/>
              <w:jc w:val="left"/>
              <w:rPr>
                <w:szCs w:val="21"/>
              </w:rPr>
            </w:pPr>
            <w:r>
              <w:rPr>
                <w:szCs w:val="21"/>
              </w:rPr>
              <w:sym w:font="Wingdings" w:char="00A8"/>
            </w:r>
            <w:r>
              <w:rPr>
                <w:szCs w:val="21"/>
              </w:rPr>
              <w:t>新建（迁建）</w:t>
            </w:r>
          </w:p>
          <w:p>
            <w:pPr>
              <w:adjustRightInd w:val="0"/>
              <w:snapToGrid w:val="0"/>
              <w:ind w:left="210" w:leftChars="100"/>
              <w:jc w:val="left"/>
              <w:rPr>
                <w:szCs w:val="21"/>
              </w:rPr>
            </w:pPr>
            <w:r>
              <w:rPr>
                <w:rFonts w:hint="eastAsia"/>
                <w:szCs w:val="21"/>
                <w:lang w:eastAsia="zh-CN"/>
              </w:rPr>
              <w:t>□</w:t>
            </w:r>
            <w:r>
              <w:rPr>
                <w:szCs w:val="21"/>
              </w:rPr>
              <w:t>改建</w:t>
            </w:r>
          </w:p>
          <w:p>
            <w:pPr>
              <w:adjustRightInd w:val="0"/>
              <w:snapToGrid w:val="0"/>
              <w:ind w:left="210" w:leftChars="100"/>
              <w:jc w:val="left"/>
              <w:rPr>
                <w:szCs w:val="21"/>
              </w:rPr>
            </w:pPr>
            <w:r>
              <w:rPr>
                <w:rFonts w:hint="eastAsia"/>
                <w:szCs w:val="21"/>
                <w:lang w:eastAsia="zh-CN"/>
              </w:rPr>
              <w:t>☑</w:t>
            </w:r>
            <w:r>
              <w:rPr>
                <w:szCs w:val="21"/>
              </w:rPr>
              <w:t>扩建</w:t>
            </w:r>
          </w:p>
          <w:p>
            <w:pPr>
              <w:adjustRightInd w:val="0"/>
              <w:snapToGrid w:val="0"/>
              <w:ind w:left="210" w:leftChars="100"/>
              <w:jc w:val="left"/>
              <w:rPr>
                <w:szCs w:val="21"/>
              </w:rPr>
            </w:pPr>
            <w:r>
              <w:rPr>
                <w:rFonts w:hint="eastAsia"/>
                <w:szCs w:val="21"/>
                <w:lang w:eastAsia="zh-CN"/>
              </w:rPr>
              <w:t>□</w:t>
            </w:r>
            <w:r>
              <w:rPr>
                <w:szCs w:val="21"/>
              </w:rPr>
              <w:t>技术改造</w:t>
            </w:r>
          </w:p>
        </w:tc>
        <w:tc>
          <w:tcPr>
            <w:tcW w:w="1968"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552" w:type="dxa"/>
            <w:vAlign w:val="center"/>
          </w:tcPr>
          <w:p>
            <w:pPr>
              <w:adjustRightInd w:val="0"/>
              <w:snapToGrid w:val="0"/>
              <w:jc w:val="left"/>
              <w:rPr>
                <w:szCs w:val="21"/>
              </w:rPr>
            </w:pPr>
            <w:r>
              <w:rPr>
                <w:szCs w:val="21"/>
              </w:rPr>
              <w:sym w:font="Wingdings" w:char="00FE"/>
            </w:r>
            <w:r>
              <w:rPr>
                <w:szCs w:val="21"/>
              </w:rPr>
              <w:t>首次申报项目</w:t>
            </w:r>
          </w:p>
          <w:p>
            <w:pPr>
              <w:adjustRightInd w:val="0"/>
              <w:snapToGrid w:val="0"/>
              <w:jc w:val="left"/>
              <w:rPr>
                <w:szCs w:val="21"/>
              </w:rPr>
            </w:pPr>
            <w:r>
              <w:rPr>
                <w:szCs w:val="21"/>
              </w:rPr>
              <w:t>□不予批准后再次申报项目</w:t>
            </w:r>
          </w:p>
          <w:p>
            <w:pPr>
              <w:adjustRightInd w:val="0"/>
              <w:snapToGrid w:val="0"/>
              <w:jc w:val="left"/>
              <w:rPr>
                <w:szCs w:val="21"/>
              </w:rPr>
            </w:pPr>
            <w:r>
              <w:rPr>
                <w:szCs w:val="21"/>
              </w:rPr>
              <w:t>□超五年重新审核项目</w:t>
            </w:r>
          </w:p>
          <w:p>
            <w:pPr>
              <w:adjustRightInd w:val="0"/>
              <w:snapToGrid w:val="0"/>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34"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3135" w:type="dxa"/>
            <w:vAlign w:val="center"/>
          </w:tcPr>
          <w:p>
            <w:pPr>
              <w:adjustRightInd w:val="0"/>
              <w:snapToGrid w:val="0"/>
              <w:jc w:val="center"/>
              <w:rPr>
                <w:szCs w:val="21"/>
              </w:rPr>
            </w:pPr>
            <w:r>
              <w:rPr>
                <w:rFonts w:hint="eastAsia"/>
                <w:szCs w:val="21"/>
              </w:rPr>
              <w:t>/</w:t>
            </w:r>
          </w:p>
        </w:tc>
        <w:tc>
          <w:tcPr>
            <w:tcW w:w="1968" w:type="dxa"/>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552"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4" w:type="dxa"/>
            <w:tcMar>
              <w:top w:w="16" w:type="dxa"/>
              <w:left w:w="16" w:type="dxa"/>
              <w:right w:w="16" w:type="dxa"/>
            </w:tcMar>
            <w:vAlign w:val="center"/>
          </w:tcPr>
          <w:p>
            <w:pPr>
              <w:adjustRightInd w:val="0"/>
              <w:snapToGrid w:val="0"/>
              <w:jc w:val="center"/>
              <w:rPr>
                <w:szCs w:val="21"/>
              </w:rPr>
            </w:pPr>
            <w:r>
              <w:rPr>
                <w:szCs w:val="21"/>
              </w:rPr>
              <w:t>总投资（万元）</w:t>
            </w:r>
          </w:p>
        </w:tc>
        <w:tc>
          <w:tcPr>
            <w:tcW w:w="3135" w:type="dxa"/>
            <w:vAlign w:val="center"/>
          </w:tcPr>
          <w:p>
            <w:pPr>
              <w:adjustRightInd w:val="0"/>
              <w:snapToGrid w:val="0"/>
              <w:jc w:val="center"/>
              <w:rPr>
                <w:szCs w:val="21"/>
              </w:rPr>
            </w:pPr>
            <w:r>
              <w:rPr>
                <w:rFonts w:hint="eastAsia"/>
                <w:szCs w:val="21"/>
              </w:rPr>
              <w:t>5000</w:t>
            </w:r>
          </w:p>
        </w:tc>
        <w:tc>
          <w:tcPr>
            <w:tcW w:w="1968" w:type="dxa"/>
            <w:tcMar>
              <w:top w:w="16" w:type="dxa"/>
              <w:left w:w="16" w:type="dxa"/>
              <w:right w:w="16" w:type="dxa"/>
            </w:tcMar>
            <w:vAlign w:val="center"/>
          </w:tcPr>
          <w:p>
            <w:pPr>
              <w:adjustRightInd w:val="0"/>
              <w:snapToGrid w:val="0"/>
              <w:jc w:val="center"/>
              <w:rPr>
                <w:szCs w:val="21"/>
              </w:rPr>
            </w:pPr>
            <w:r>
              <w:rPr>
                <w:szCs w:val="21"/>
              </w:rPr>
              <w:t>环保投资（万元）</w:t>
            </w:r>
          </w:p>
        </w:tc>
        <w:tc>
          <w:tcPr>
            <w:tcW w:w="2552" w:type="dxa"/>
            <w:vAlign w:val="center"/>
          </w:tcPr>
          <w:p>
            <w:pPr>
              <w:adjustRightInd w:val="0"/>
              <w:snapToGrid w:val="0"/>
              <w:jc w:val="center"/>
              <w:rPr>
                <w:rFonts w:hint="default" w:eastAsia="宋体"/>
                <w:szCs w:val="21"/>
                <w:lang w:val="en-US" w:eastAsia="zh-CN"/>
              </w:rPr>
            </w:pPr>
            <w:r>
              <w:rPr>
                <w:rFonts w:hint="eastAsia"/>
                <w:szCs w:val="21"/>
                <w:lang w:val="en-US" w:eastAsia="zh-CN"/>
              </w:rPr>
              <w:t>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34" w:type="dxa"/>
            <w:tcMar>
              <w:top w:w="16" w:type="dxa"/>
              <w:left w:w="16" w:type="dxa"/>
              <w:right w:w="16" w:type="dxa"/>
            </w:tcMar>
            <w:vAlign w:val="center"/>
          </w:tcPr>
          <w:p>
            <w:pPr>
              <w:adjustRightInd w:val="0"/>
              <w:snapToGrid w:val="0"/>
              <w:jc w:val="center"/>
              <w:rPr>
                <w:szCs w:val="21"/>
              </w:rPr>
            </w:pPr>
            <w:r>
              <w:rPr>
                <w:szCs w:val="21"/>
              </w:rPr>
              <w:t>环保投资占比（%）</w:t>
            </w:r>
          </w:p>
        </w:tc>
        <w:tc>
          <w:tcPr>
            <w:tcW w:w="3135" w:type="dxa"/>
            <w:vAlign w:val="center"/>
          </w:tcPr>
          <w:p>
            <w:pPr>
              <w:adjustRightInd w:val="0"/>
              <w:snapToGrid w:val="0"/>
              <w:jc w:val="center"/>
              <w:rPr>
                <w:rFonts w:hint="default" w:eastAsia="宋体"/>
                <w:szCs w:val="21"/>
                <w:lang w:val="en-US" w:eastAsia="zh-CN"/>
              </w:rPr>
            </w:pPr>
            <w:r>
              <w:rPr>
                <w:rFonts w:hint="eastAsia"/>
                <w:szCs w:val="21"/>
                <w:lang w:val="en-US" w:eastAsia="zh-CN"/>
              </w:rPr>
              <w:t>3.46</w:t>
            </w:r>
          </w:p>
        </w:tc>
        <w:tc>
          <w:tcPr>
            <w:tcW w:w="1968" w:type="dxa"/>
            <w:tcMar>
              <w:top w:w="16" w:type="dxa"/>
              <w:left w:w="16" w:type="dxa"/>
              <w:right w:w="16" w:type="dxa"/>
            </w:tcMar>
            <w:vAlign w:val="center"/>
          </w:tcPr>
          <w:p>
            <w:pPr>
              <w:adjustRightInd w:val="0"/>
              <w:snapToGrid w:val="0"/>
              <w:jc w:val="center"/>
              <w:rPr>
                <w:szCs w:val="21"/>
              </w:rPr>
            </w:pPr>
            <w:r>
              <w:rPr>
                <w:szCs w:val="21"/>
              </w:rPr>
              <w:t>施工工期</w:t>
            </w:r>
          </w:p>
        </w:tc>
        <w:tc>
          <w:tcPr>
            <w:tcW w:w="2552" w:type="dxa"/>
            <w:vAlign w:val="center"/>
          </w:tcPr>
          <w:p>
            <w:pPr>
              <w:adjustRightInd w:val="0"/>
              <w:snapToGrid w:val="0"/>
              <w:jc w:val="center"/>
              <w:rPr>
                <w:rFonts w:hint="default" w:eastAsia="宋体"/>
                <w:szCs w:val="21"/>
                <w:lang w:val="en-US" w:eastAsia="zh-CN"/>
              </w:rPr>
            </w:pPr>
            <w:r>
              <w:rPr>
                <w:rFonts w:hint="eastAsia"/>
                <w:szCs w:val="21"/>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djustRightInd w:val="0"/>
              <w:snapToGrid w:val="0"/>
              <w:jc w:val="center"/>
              <w:rPr>
                <w:szCs w:val="21"/>
              </w:rPr>
            </w:pPr>
            <w:r>
              <w:rPr>
                <w:szCs w:val="21"/>
              </w:rPr>
              <w:t>是否开工建设</w:t>
            </w:r>
          </w:p>
        </w:tc>
        <w:tc>
          <w:tcPr>
            <w:tcW w:w="7655" w:type="dxa"/>
            <w:gridSpan w:val="3"/>
            <w:vAlign w:val="center"/>
          </w:tcPr>
          <w:p>
            <w:pPr>
              <w:adjustRightInd w:val="0"/>
              <w:snapToGrid w:val="0"/>
              <w:ind w:firstLine="105"/>
              <w:jc w:val="left"/>
              <w:rPr>
                <w:szCs w:val="21"/>
              </w:rPr>
            </w:pPr>
            <w:r>
              <w:rPr>
                <w:szCs w:val="21"/>
              </w:rPr>
              <w:sym w:font="Wingdings 2" w:char="F052"/>
            </w:r>
            <w:r>
              <w:rPr>
                <w:szCs w:val="21"/>
              </w:rPr>
              <w:t>否</w:t>
            </w:r>
          </w:p>
          <w:p>
            <w:pPr>
              <w:adjustRightInd w:val="0"/>
              <w:snapToGrid w:val="0"/>
              <w:ind w:firstLine="92"/>
              <w:jc w:val="left"/>
              <w:rPr>
                <w:szCs w:val="21"/>
              </w:rPr>
            </w:pPr>
            <w:r>
              <w:rPr>
                <w:szCs w:val="21"/>
              </w:rPr>
              <w:t>□是：</w:t>
            </w:r>
            <w:r>
              <w:rPr>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专项评价设置情况</w:t>
            </w:r>
          </w:p>
        </w:tc>
        <w:tc>
          <w:tcPr>
            <w:tcW w:w="7655" w:type="dxa"/>
            <w:gridSpan w:val="3"/>
            <w:tcMar>
              <w:top w:w="16" w:type="dxa"/>
              <w:left w:w="16" w:type="dxa"/>
              <w:right w:w="16" w:type="dxa"/>
            </w:tcMar>
            <w:vAlign w:val="center"/>
          </w:tcPr>
          <w:tbl>
            <w:tblPr>
              <w:tblStyle w:val="44"/>
              <w:tblW w:w="7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3"/>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rPr>
                      <w:sz w:val="18"/>
                      <w:szCs w:val="18"/>
                    </w:rPr>
                  </w:pPr>
                  <w:r>
                    <w:rPr>
                      <w:sz w:val="18"/>
                      <w:szCs w:val="18"/>
                    </w:rPr>
                    <w:t>专项评价的类别</w:t>
                  </w:r>
                </w:p>
              </w:tc>
              <w:tc>
                <w:tcPr>
                  <w:tcW w:w="6020" w:type="dxa"/>
                  <w:vAlign w:val="center"/>
                </w:tcPr>
                <w:p>
                  <w:pPr>
                    <w:autoSpaceDE w:val="0"/>
                    <w:autoSpaceDN w:val="0"/>
                    <w:adjustRightInd w:val="0"/>
                    <w:snapToGrid w:val="0"/>
                    <w:jc w:val="center"/>
                    <w:rPr>
                      <w:sz w:val="18"/>
                      <w:szCs w:val="18"/>
                    </w:rPr>
                  </w:pPr>
                  <w:r>
                    <w:rPr>
                      <w:sz w:val="18"/>
                      <w:szCs w:val="18"/>
                    </w:rPr>
                    <w:t>设置理由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地表水</w:t>
                  </w:r>
                </w:p>
              </w:tc>
              <w:tc>
                <w:tcPr>
                  <w:tcW w:w="6020" w:type="dxa"/>
                  <w:vAlign w:val="center"/>
                </w:tcPr>
                <w:p>
                  <w:pPr>
                    <w:autoSpaceDE w:val="0"/>
                    <w:autoSpaceDN w:val="0"/>
                    <w:adjustRightInd w:val="0"/>
                    <w:snapToGrid w:val="0"/>
                    <w:jc w:val="center"/>
                    <w:rPr>
                      <w:sz w:val="18"/>
                      <w:szCs w:val="18"/>
                    </w:rPr>
                  </w:pPr>
                  <w:r>
                    <w:rPr>
                      <w:sz w:val="18"/>
                      <w:szCs w:val="18"/>
                    </w:rPr>
                    <w:t>本项目不属于《建设项目环境影响报告表编制技术指南》（生态影响类）（试行）中地表水专章内项目，因此不设置地表水专章</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地下水</w:t>
                  </w:r>
                </w:p>
              </w:tc>
              <w:tc>
                <w:tcPr>
                  <w:tcW w:w="6020" w:type="dxa"/>
                  <w:vAlign w:val="center"/>
                </w:tcPr>
                <w:p>
                  <w:pPr>
                    <w:autoSpaceDE w:val="0"/>
                    <w:autoSpaceDN w:val="0"/>
                    <w:adjustRightInd w:val="0"/>
                    <w:snapToGrid w:val="0"/>
                    <w:jc w:val="center"/>
                    <w:rPr>
                      <w:sz w:val="18"/>
                      <w:szCs w:val="18"/>
                    </w:rPr>
                  </w:pPr>
                  <w:r>
                    <w:rPr>
                      <w:sz w:val="18"/>
                      <w:szCs w:val="18"/>
                    </w:rPr>
                    <w:t>拟建项目为专业技术服务业类项目中的陆地矿产资源地质勘查（含油气资源勘探）；二氧化碳地质封存，根据《建设项目环境影响报告表编制技术指南》（生态影响类）（试行）不设置地下水专题，但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生态</w:t>
                  </w:r>
                </w:p>
              </w:tc>
              <w:tc>
                <w:tcPr>
                  <w:tcW w:w="6020" w:type="dxa"/>
                  <w:vAlign w:val="center"/>
                </w:tcPr>
                <w:p>
                  <w:pPr>
                    <w:autoSpaceDE w:val="0"/>
                    <w:autoSpaceDN w:val="0"/>
                    <w:adjustRightInd w:val="0"/>
                    <w:snapToGrid w:val="0"/>
                    <w:jc w:val="left"/>
                    <w:rPr>
                      <w:sz w:val="18"/>
                      <w:szCs w:val="18"/>
                    </w:rPr>
                  </w:pPr>
                  <w:r>
                    <w:rPr>
                      <w:sz w:val="18"/>
                      <w:szCs w:val="18"/>
                    </w:rPr>
                    <w:t>根据《建设项目环境影响报告表编制技术指南》（生态影响类）（试行）本项目不涉及《建设项目环境影响评价分类管理名录》中针对该类项目所列的敏感区。因此不设置生态专章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大气</w:t>
                  </w:r>
                </w:p>
              </w:tc>
              <w:tc>
                <w:tcPr>
                  <w:tcW w:w="6020" w:type="dxa"/>
                  <w:vAlign w:val="center"/>
                </w:tcPr>
                <w:p>
                  <w:pPr>
                    <w:autoSpaceDE w:val="0"/>
                    <w:autoSpaceDN w:val="0"/>
                    <w:adjustRightInd w:val="0"/>
                    <w:snapToGrid w:val="0"/>
                    <w:jc w:val="center"/>
                    <w:rPr>
                      <w:sz w:val="18"/>
                      <w:szCs w:val="18"/>
                    </w:rPr>
                  </w:pPr>
                  <w:r>
                    <w:rPr>
                      <w:sz w:val="18"/>
                      <w:szCs w:val="18"/>
                    </w:rPr>
                    <w:t>本项目不属于油气、液化码头、干散货（含煤炭、矿石）、件杂、多用途、通用码头：涉及粉尘、挥发性有机物排放的项目，因此不设置大气专章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噪声</w:t>
                  </w:r>
                </w:p>
              </w:tc>
              <w:tc>
                <w:tcPr>
                  <w:tcW w:w="6020" w:type="dxa"/>
                  <w:vAlign w:val="center"/>
                </w:tcPr>
                <w:p>
                  <w:pPr>
                    <w:autoSpaceDE w:val="0"/>
                    <w:autoSpaceDN w:val="0"/>
                    <w:adjustRightInd w:val="0"/>
                    <w:snapToGrid w:val="0"/>
                    <w:jc w:val="left"/>
                    <w:rPr>
                      <w:sz w:val="18"/>
                      <w:szCs w:val="18"/>
                    </w:rPr>
                  </w:pPr>
                  <w:r>
                    <w:rPr>
                      <w:sz w:val="18"/>
                      <w:szCs w:val="18"/>
                    </w:rPr>
                    <w:t>本项目不属于公路、铁路、机场等交通运输业、城市道路项目，因此不涉及噪声专章。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513" w:type="dxa"/>
                  <w:vAlign w:val="center"/>
                </w:tcPr>
                <w:p>
                  <w:pPr>
                    <w:autoSpaceDE w:val="0"/>
                    <w:autoSpaceDN w:val="0"/>
                    <w:adjustRightInd w:val="0"/>
                    <w:snapToGrid w:val="0"/>
                    <w:jc w:val="center"/>
                    <w:rPr>
                      <w:sz w:val="18"/>
                      <w:szCs w:val="18"/>
                    </w:rPr>
                  </w:pPr>
                  <w:r>
                    <w:rPr>
                      <w:sz w:val="18"/>
                      <w:szCs w:val="18"/>
                    </w:rPr>
                    <w:t>环境风险</w:t>
                  </w:r>
                </w:p>
              </w:tc>
              <w:tc>
                <w:tcPr>
                  <w:tcW w:w="6020" w:type="dxa"/>
                  <w:vAlign w:val="center"/>
                </w:tcPr>
                <w:p>
                  <w:pPr>
                    <w:autoSpaceDE w:val="0"/>
                    <w:autoSpaceDN w:val="0"/>
                    <w:adjustRightInd w:val="0"/>
                    <w:snapToGrid w:val="0"/>
                    <w:jc w:val="left"/>
                    <w:rPr>
                      <w:sz w:val="18"/>
                      <w:szCs w:val="18"/>
                    </w:rPr>
                  </w:pPr>
                  <w:r>
                    <w:rPr>
                      <w:sz w:val="18"/>
                      <w:szCs w:val="18"/>
                    </w:rPr>
                    <w:t>拟建项目为专业技术服务业类项目中的陆地矿产资源地质勘查（含油气资源勘探）；二氧化碳地质封存，根据《建设项目环境影响报告表编制技术指南》（生态影响类）（试行）不设置专题，但本项目环境影响与“石油和天然气开采业”中钻井工程的环境影响情况相似，为更好管控其环境风险，因此本次专项评价设置参照“陆地石油和天然气开采”进行设置，即本次环评设置环境风险专项评价。</w:t>
                  </w:r>
                </w:p>
              </w:tc>
            </w:tr>
          </w:tbl>
          <w:p>
            <w:pPr>
              <w:spacing w:line="360" w:lineRule="auto"/>
              <w:ind w:firstLine="420" w:firstLineChars="20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szCs w:val="21"/>
              </w:rPr>
              <w:t>规划情况</w:t>
            </w:r>
          </w:p>
        </w:tc>
        <w:tc>
          <w:tcPr>
            <w:tcW w:w="7655" w:type="dxa"/>
            <w:gridSpan w:val="3"/>
            <w:tcMar>
              <w:top w:w="16" w:type="dxa"/>
              <w:left w:w="16" w:type="dxa"/>
              <w:right w:w="16" w:type="dxa"/>
            </w:tcMar>
            <w:vAlign w:val="center"/>
          </w:tcPr>
          <w:p>
            <w:pPr>
              <w:spacing w:line="360" w:lineRule="auto"/>
              <w:ind w:firstLine="420" w:firstLineChars="200"/>
              <w:rPr>
                <w:kern w:val="0"/>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szCs w:val="21"/>
              </w:rPr>
              <w:t>规划环境影响评价情况</w:t>
            </w:r>
          </w:p>
        </w:tc>
        <w:tc>
          <w:tcPr>
            <w:tcW w:w="7655" w:type="dxa"/>
            <w:gridSpan w:val="3"/>
            <w:tcMar>
              <w:top w:w="16" w:type="dxa"/>
              <w:left w:w="16" w:type="dxa"/>
              <w:right w:w="16" w:type="dxa"/>
            </w:tcMar>
            <w:vAlign w:val="center"/>
          </w:tcPr>
          <w:p>
            <w:pPr>
              <w:pStyle w:val="26"/>
              <w:rPr>
                <w:rFonts w:hint="eastAsia"/>
              </w:rPr>
            </w:pPr>
            <w:r>
              <w:rPr>
                <w:rFonts w:hint="eastAsia"/>
              </w:rPr>
              <w:t>规划</w:t>
            </w:r>
            <w:r>
              <w:rPr>
                <w:rFonts w:hint="eastAsia"/>
                <w:lang w:val="en-US" w:eastAsia="zh-CN"/>
              </w:rPr>
              <w:t>名称</w:t>
            </w:r>
            <w:r>
              <w:rPr>
                <w:rFonts w:hint="eastAsia"/>
              </w:rPr>
              <w:t>：《四川省矿产资源总体规划（2021-2025年）环境影响报告书》</w:t>
            </w:r>
          </w:p>
          <w:p>
            <w:pPr>
              <w:pStyle w:val="26"/>
              <w:rPr>
                <w:rFonts w:hint="eastAsia"/>
              </w:rPr>
            </w:pPr>
            <w:r>
              <w:rPr>
                <w:rFonts w:hint="eastAsia"/>
              </w:rPr>
              <w:t>审批机关：中华人民共和国生态环境部</w:t>
            </w:r>
          </w:p>
          <w:p>
            <w:pPr>
              <w:pStyle w:val="26"/>
              <w:rPr>
                <w:rFonts w:hint="eastAsia"/>
              </w:rPr>
            </w:pPr>
            <w:r>
              <w:rPr>
                <w:rFonts w:hint="eastAsia"/>
              </w:rPr>
              <w:t>审批文号：环审﹝2022﹞</w:t>
            </w:r>
            <w:r>
              <w:rPr>
                <w:rFonts w:hint="eastAsia"/>
                <w:lang w:val="en-US" w:eastAsia="zh-CN"/>
              </w:rPr>
              <w:t>105</w:t>
            </w:r>
            <w:r>
              <w:rPr>
                <w:rFonts w:hint="eastAsia"/>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7655" w:type="dxa"/>
            <w:gridSpan w:val="3"/>
            <w:tcMar>
              <w:top w:w="16" w:type="dxa"/>
              <w:left w:w="16" w:type="dxa"/>
              <w:right w:w="16" w:type="dxa"/>
            </w:tcMar>
            <w:vAlign w:val="center"/>
          </w:tcPr>
          <w:p>
            <w:pPr>
              <w:pStyle w:val="38"/>
              <w:numPr>
                <w:ilvl w:val="1"/>
                <w:numId w:val="3"/>
              </w:numPr>
              <w:spacing w:before="0" w:beforeAutospacing="0" w:after="0" w:afterAutospacing="0" w:line="360" w:lineRule="auto"/>
              <w:ind w:left="0" w:firstLine="0"/>
              <w:rPr>
                <w:rFonts w:ascii="Times New Roman" w:hAnsi="Times New Roman"/>
                <w:b/>
              </w:rPr>
            </w:pPr>
            <w:r>
              <w:rPr>
                <w:rFonts w:hint="eastAsia" w:cs="宋体"/>
                <w:b/>
                <w:lang w:bidi="ar"/>
              </w:rPr>
              <w:t>项目与规划符合性分析</w:t>
            </w:r>
          </w:p>
          <w:p>
            <w:pPr>
              <w:spacing w:line="360" w:lineRule="auto"/>
              <w:ind w:firstLine="480" w:firstLineChars="200"/>
              <w:rPr>
                <w:kern w:val="0"/>
                <w:sz w:val="24"/>
              </w:rPr>
            </w:pPr>
            <w:r>
              <w:rPr>
                <w:rFonts w:hint="eastAsia" w:ascii="宋体" w:hAnsi="宋体" w:cs="宋体"/>
                <w:bCs/>
                <w:sz w:val="24"/>
                <w:lang w:bidi="ar"/>
              </w:rPr>
              <w:t>本项目</w:t>
            </w:r>
            <w:r>
              <w:rPr>
                <w:rFonts w:hint="eastAsia" w:ascii="宋体" w:hAnsi="宋体" w:cs="宋体"/>
                <w:kern w:val="0"/>
                <w:sz w:val="24"/>
                <w:lang w:bidi="ar"/>
              </w:rPr>
              <w:t>与《四川省矿产资源总体规划（</w:t>
            </w:r>
            <w:r>
              <w:rPr>
                <w:kern w:val="0"/>
                <w:sz w:val="24"/>
                <w:lang w:bidi="ar"/>
              </w:rPr>
              <w:t>2021-2025</w:t>
            </w:r>
            <w:r>
              <w:rPr>
                <w:rFonts w:hint="eastAsia" w:ascii="宋体" w:hAnsi="宋体" w:cs="宋体"/>
                <w:kern w:val="0"/>
                <w:sz w:val="24"/>
                <w:lang w:bidi="ar"/>
              </w:rPr>
              <w:t>年）环境影响报告书》及审查意见的符合性分析见表</w:t>
            </w:r>
            <w:r>
              <w:rPr>
                <w:kern w:val="0"/>
                <w:sz w:val="24"/>
                <w:lang w:bidi="ar"/>
              </w:rPr>
              <w:t>1-1</w:t>
            </w:r>
            <w:r>
              <w:rPr>
                <w:rFonts w:hint="eastAsia" w:ascii="宋体" w:hAnsi="宋体" w:cs="宋体"/>
                <w:kern w:val="0"/>
                <w:sz w:val="24"/>
                <w:lang w:bidi="ar"/>
              </w:rPr>
              <w:t>。</w:t>
            </w:r>
          </w:p>
          <w:p>
            <w:pPr>
              <w:numPr>
                <w:ilvl w:val="0"/>
                <w:numId w:val="0"/>
              </w:numPr>
              <w:spacing w:line="360" w:lineRule="auto"/>
              <w:ind w:leftChars="0"/>
              <w:jc w:val="center"/>
              <w:rPr>
                <w:b/>
                <w:sz w:val="24"/>
              </w:rPr>
            </w:pPr>
            <w:r>
              <w:rPr>
                <w:rFonts w:hint="eastAsia" w:ascii="宋体" w:hAnsi="宋体" w:cs="宋体"/>
                <w:b/>
                <w:sz w:val="24"/>
                <w:lang w:val="en-US" w:eastAsia="zh-CN" w:bidi="ar"/>
              </w:rPr>
              <w:t xml:space="preserve">表1-1 </w:t>
            </w:r>
            <w:r>
              <w:rPr>
                <w:rFonts w:hint="eastAsia" w:ascii="宋体" w:hAnsi="宋体" w:cs="宋体"/>
                <w:b/>
                <w:sz w:val="24"/>
                <w:lang w:bidi="ar"/>
              </w:rPr>
              <w:t>与《四川省矿产资源总体规划（</w:t>
            </w:r>
            <w:r>
              <w:rPr>
                <w:b/>
                <w:sz w:val="24"/>
                <w:lang w:bidi="ar"/>
              </w:rPr>
              <w:t>2021-2025</w:t>
            </w:r>
            <w:r>
              <w:rPr>
                <w:rFonts w:hint="eastAsia" w:ascii="宋体" w:hAnsi="宋体" w:cs="宋体"/>
                <w:b/>
                <w:sz w:val="24"/>
                <w:lang w:bidi="ar"/>
              </w:rPr>
              <w:t>年）环境影响报告书》及审查意见符合性分析表</w:t>
            </w:r>
          </w:p>
          <w:tbl>
            <w:tblPr>
              <w:tblStyle w:val="45"/>
              <w:tblW w:w="74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450"/>
              <w:gridCol w:w="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0" w:type="dxa"/>
                  <w:tcBorders>
                    <w:top w:val="single" w:color="auto" w:sz="12"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文件情况</w:t>
                  </w:r>
                </w:p>
              </w:tc>
              <w:tc>
                <w:tcPr>
                  <w:tcW w:w="1450"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本项目情况</w:t>
                  </w:r>
                </w:p>
              </w:tc>
              <w:tc>
                <w:tcPr>
                  <w:tcW w:w="579" w:type="dxa"/>
                  <w:tcBorders>
                    <w:top w:val="single" w:color="auto" w:sz="12"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0"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rPr>
                      <w:b/>
                      <w:bCs/>
                      <w:szCs w:val="21"/>
                    </w:rPr>
                  </w:pPr>
                  <w:r>
                    <w:rPr>
                      <w:rFonts w:hint="eastAsia" w:ascii="宋体" w:hAnsi="宋体" w:cs="宋体"/>
                      <w:b/>
                      <w:bCs/>
                      <w:szCs w:val="21"/>
                      <w:lang w:bidi="ar"/>
                    </w:rPr>
                    <w:t>严格</w:t>
                  </w:r>
                  <w:r>
                    <w:rPr>
                      <w:b/>
                      <w:bCs/>
                      <w:szCs w:val="21"/>
                      <w:lang w:bidi="ar"/>
                    </w:rPr>
                    <w:t>“</w:t>
                  </w:r>
                  <w:r>
                    <w:rPr>
                      <w:rFonts w:hint="eastAsia" w:ascii="宋体" w:hAnsi="宋体" w:cs="宋体"/>
                      <w:b/>
                      <w:bCs/>
                      <w:szCs w:val="21"/>
                      <w:lang w:bidi="ar"/>
                    </w:rPr>
                    <w:t>三线一单</w:t>
                  </w:r>
                  <w:r>
                    <w:rPr>
                      <w:b/>
                      <w:bCs/>
                      <w:szCs w:val="21"/>
                      <w:lang w:bidi="ar"/>
                    </w:rPr>
                    <w:t>”</w:t>
                  </w:r>
                  <w:r>
                    <w:rPr>
                      <w:rFonts w:hint="eastAsia" w:ascii="宋体" w:hAnsi="宋体" w:cs="宋体"/>
                      <w:b/>
                      <w:bCs/>
                      <w:szCs w:val="21"/>
                      <w:lang w:bidi="ar"/>
                    </w:rPr>
                    <w:t>管控：</w:t>
                  </w:r>
                </w:p>
                <w:p>
                  <w:pPr>
                    <w:autoSpaceDE w:val="0"/>
                    <w:autoSpaceDN w:val="0"/>
                    <w:adjustRightInd w:val="0"/>
                    <w:snapToGrid w:val="0"/>
                    <w:ind w:firstLine="420" w:firstLineChars="200"/>
                    <w:jc w:val="center"/>
                    <w:rPr>
                      <w:szCs w:val="21"/>
                    </w:rPr>
                  </w:pPr>
                  <w:r>
                    <w:rPr>
                      <w:rFonts w:hint="eastAsia" w:ascii="宋体" w:hAnsi="宋体" w:cs="宋体"/>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w:t>
                  </w:r>
                  <w:r>
                    <w:rPr>
                      <w:szCs w:val="21"/>
                      <w:lang w:bidi="ar"/>
                    </w:rPr>
                    <w:t>“</w:t>
                  </w:r>
                  <w:r>
                    <w:rPr>
                      <w:rFonts w:hint="eastAsia" w:ascii="宋体" w:hAnsi="宋体" w:cs="宋体"/>
                      <w:szCs w:val="21"/>
                      <w:lang w:bidi="ar"/>
                    </w:rPr>
                    <w:t>三线一单</w:t>
                  </w:r>
                  <w:r>
                    <w:rPr>
                      <w:szCs w:val="21"/>
                      <w:lang w:bidi="ar"/>
                    </w:rPr>
                    <w:t>”</w:t>
                  </w:r>
                  <w:r>
                    <w:rPr>
                      <w:rFonts w:hint="eastAsia" w:ascii="宋体" w:hAnsi="宋体" w:cs="宋体"/>
                      <w:szCs w:val="21"/>
                      <w:lang w:bidi="ar"/>
                    </w:rPr>
                    <w:t>编制成果》及四川省各市州长江经济带战略环境评价</w:t>
                  </w:r>
                  <w:r>
                    <w:rPr>
                      <w:szCs w:val="21"/>
                      <w:lang w:bidi="ar"/>
                    </w:rPr>
                    <w:t>“</w:t>
                  </w:r>
                  <w:r>
                    <w:rPr>
                      <w:rFonts w:hint="eastAsia" w:ascii="宋体" w:hAnsi="宋体" w:cs="宋体"/>
                      <w:szCs w:val="21"/>
                      <w:lang w:bidi="ar"/>
                    </w:rPr>
                    <w:t>三线一单</w:t>
                  </w:r>
                  <w:r>
                    <w:rPr>
                      <w:szCs w:val="21"/>
                      <w:lang w:bidi="ar"/>
                    </w:rPr>
                    <w:t>”</w:t>
                  </w:r>
                  <w:r>
                    <w:rPr>
                      <w:rFonts w:hint="eastAsia" w:ascii="宋体" w:hAnsi="宋体" w:cs="宋体"/>
                      <w:szCs w:val="21"/>
                      <w:lang w:bidi="ar"/>
                    </w:rPr>
                    <w:t>编制文本中有关矿产资源勘查开发的准入要求，严格矿产资源开采项目准入，推进矿产资源开发利用布局与结构优化调整，落实《关于加快建设绿色矿山的实施意见》（国土资规〔</w:t>
                  </w:r>
                  <w:r>
                    <w:rPr>
                      <w:szCs w:val="21"/>
                      <w:lang w:bidi="ar"/>
                    </w:rPr>
                    <w:t>2017</w:t>
                  </w:r>
                  <w:r>
                    <w:rPr>
                      <w:rFonts w:hint="eastAsia" w:ascii="宋体" w:hAnsi="宋体" w:cs="宋体"/>
                      <w:szCs w:val="21"/>
                      <w:lang w:bidi="ar"/>
                    </w:rPr>
                    <w:t>〕</w:t>
                  </w:r>
                  <w:r>
                    <w:rPr>
                      <w:szCs w:val="21"/>
                      <w:lang w:bidi="ar"/>
                    </w:rPr>
                    <w:t>4</w:t>
                  </w:r>
                  <w:r>
                    <w:rPr>
                      <w:rFonts w:hint="eastAsia" w:ascii="宋体" w:hAnsi="宋体" w:cs="宋体"/>
                      <w:szCs w:val="21"/>
                      <w:lang w:bidi="ar"/>
                    </w:rPr>
                    <w:t>号）等相关规定和要求，推动矿业绿色发展，实现资源开发利用与环境保护相协调的绿色发展格局。</w:t>
                  </w:r>
                </w:p>
              </w:tc>
              <w:tc>
                <w:tcPr>
                  <w:tcW w:w="1450"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本项目依托原铁北1井井场施工，新增</w:t>
                  </w:r>
                  <w:r>
                    <w:rPr>
                      <w:rFonts w:hint="eastAsia" w:ascii="宋体" w:hAnsi="宋体" w:cs="宋体"/>
                      <w:kern w:val="0"/>
                      <w:szCs w:val="21"/>
                      <w:lang w:val="en-US" w:eastAsia="zh-CN" w:bidi="ar"/>
                    </w:rPr>
                    <w:t>部分</w:t>
                  </w:r>
                  <w:r>
                    <w:rPr>
                      <w:rFonts w:hint="eastAsia" w:ascii="宋体" w:hAnsi="宋体" w:cs="宋体"/>
                      <w:kern w:val="0"/>
                      <w:szCs w:val="21"/>
                      <w:lang w:bidi="ar"/>
                    </w:rPr>
                    <w:t>占地，不涉及四川省生态保护红线，施工过程中产生的废水及固废均交由有资质和处置能力的单位处置，不外排，相关要求。</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0" w:type="dxa"/>
                  <w:tcBorders>
                    <w:top w:val="single" w:color="auto" w:sz="4" w:space="0"/>
                    <w:left w:val="single" w:color="auto" w:sz="12" w:space="0"/>
                    <w:bottom w:val="single" w:color="auto" w:sz="4" w:space="0"/>
                    <w:right w:val="single" w:color="auto" w:sz="4" w:space="0"/>
                  </w:tcBorders>
                  <w:shd w:val="clear" w:color="auto" w:fill="FFFFFF"/>
                  <w:vAlign w:val="center"/>
                </w:tcPr>
                <w:p>
                  <w:pPr>
                    <w:autoSpaceDE w:val="0"/>
                    <w:autoSpaceDN w:val="0"/>
                    <w:adjustRightInd w:val="0"/>
                    <w:snapToGrid w:val="0"/>
                    <w:rPr>
                      <w:b/>
                      <w:bCs/>
                      <w:szCs w:val="21"/>
                    </w:rPr>
                  </w:pPr>
                  <w:r>
                    <w:rPr>
                      <w:rFonts w:hint="eastAsia" w:ascii="宋体" w:hAnsi="宋体" w:cs="宋体"/>
                      <w:b/>
                      <w:bCs/>
                      <w:szCs w:val="21"/>
                      <w:lang w:bidi="ar"/>
                    </w:rPr>
                    <w:t>严格开采准入条件，优化开发利用结构。</w:t>
                  </w:r>
                </w:p>
                <w:p>
                  <w:pPr>
                    <w:autoSpaceDE w:val="0"/>
                    <w:autoSpaceDN w:val="0"/>
                    <w:adjustRightInd w:val="0"/>
                    <w:snapToGrid w:val="0"/>
                    <w:ind w:firstLine="420" w:firstLineChars="200"/>
                    <w:rPr>
                      <w:szCs w:val="21"/>
                    </w:rPr>
                  </w:pPr>
                  <w:r>
                    <w:rPr>
                      <w:rFonts w:hint="eastAsia" w:ascii="宋体" w:hAnsi="宋体" w:cs="宋体"/>
                      <w:szCs w:val="21"/>
                      <w:lang w:bidi="ar"/>
                    </w:rPr>
                    <w:t>限制开采能耗大、污染重的矿产，最大限度减少对环境的破坏。一是加大页岩气、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1450"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本项目为陆地矿产资源地质勘查（含油气资源勘探），属于加大页岩气等非常规能源矿产勘查。</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0" w:type="dxa"/>
                  <w:tcBorders>
                    <w:top w:val="single" w:color="auto" w:sz="4" w:space="0"/>
                    <w:left w:val="single" w:color="auto" w:sz="12" w:space="0"/>
                    <w:bottom w:val="single" w:color="auto" w:sz="12" w:space="0"/>
                    <w:right w:val="single" w:color="auto" w:sz="4" w:space="0"/>
                  </w:tcBorders>
                  <w:shd w:val="clear" w:color="auto" w:fill="FFFFFF"/>
                  <w:vAlign w:val="center"/>
                </w:tcPr>
                <w:p>
                  <w:pPr>
                    <w:autoSpaceDE w:val="0"/>
                    <w:autoSpaceDN w:val="0"/>
                    <w:adjustRightInd w:val="0"/>
                    <w:snapToGrid w:val="0"/>
                    <w:rPr>
                      <w:b/>
                      <w:bCs/>
                      <w:szCs w:val="21"/>
                    </w:rPr>
                  </w:pPr>
                  <w:r>
                    <w:rPr>
                      <w:rFonts w:hint="eastAsia" w:ascii="宋体" w:hAnsi="宋体" w:cs="宋体"/>
                      <w:b/>
                      <w:bCs/>
                      <w:szCs w:val="21"/>
                      <w:lang w:bidi="ar"/>
                    </w:rPr>
                    <w:t>建立健全监管与风险防控体系。</w:t>
                  </w:r>
                </w:p>
                <w:p>
                  <w:pPr>
                    <w:autoSpaceDE w:val="0"/>
                    <w:autoSpaceDN w:val="0"/>
                    <w:adjustRightInd w:val="0"/>
                    <w:snapToGrid w:val="0"/>
                    <w:ind w:firstLine="420" w:firstLineChars="200"/>
                    <w:jc w:val="center"/>
                    <w:rPr>
                      <w:szCs w:val="21"/>
                    </w:rPr>
                  </w:pPr>
                  <w:r>
                    <w:rPr>
                      <w:rFonts w:hint="eastAsia" w:ascii="宋体" w:hAnsi="宋体" w:cs="宋体"/>
                      <w:szCs w:val="21"/>
                      <w:lang w:bidi="ar"/>
                    </w:rPr>
                    <w:t>坚持生态补偿和资源有偿使用制度，坚持</w:t>
                  </w:r>
                  <w:r>
                    <w:rPr>
                      <w:szCs w:val="21"/>
                      <w:lang w:bidi="ar"/>
                    </w:rPr>
                    <w:t>“</w:t>
                  </w:r>
                  <w:r>
                    <w:rPr>
                      <w:rFonts w:hint="eastAsia" w:ascii="宋体" w:hAnsi="宋体" w:cs="宋体"/>
                      <w:szCs w:val="21"/>
                      <w:lang w:bidi="ar"/>
                    </w:rPr>
                    <w:t>谁保护，谁受益</w:t>
                  </w:r>
                  <w:r>
                    <w:rPr>
                      <w:szCs w:val="21"/>
                      <w:lang w:bidi="ar"/>
                    </w:rPr>
                    <w:t>”</w:t>
                  </w:r>
                  <w:r>
                    <w:rPr>
                      <w:rFonts w:hint="eastAsia" w:ascii="宋体" w:hAnsi="宋体" w:cs="宋体"/>
                      <w:szCs w:val="21"/>
                      <w:lang w:bidi="ar"/>
                    </w:rPr>
                    <w:t>。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w:t>
                  </w:r>
                  <w:r>
                    <w:rPr>
                      <w:szCs w:val="21"/>
                      <w:lang w:bidi="ar"/>
                    </w:rPr>
                    <w:t>“</w:t>
                  </w:r>
                  <w:r>
                    <w:rPr>
                      <w:rFonts w:hint="eastAsia" w:ascii="宋体" w:hAnsi="宋体" w:cs="宋体"/>
                      <w:szCs w:val="21"/>
                      <w:lang w:bidi="ar"/>
                    </w:rPr>
                    <w:t>三同时</w:t>
                  </w:r>
                  <w:r>
                    <w:rPr>
                      <w:szCs w:val="21"/>
                      <w:lang w:bidi="ar"/>
                    </w:rPr>
                    <w:t>”</w:t>
                  </w:r>
                  <w:r>
                    <w:rPr>
                      <w:rFonts w:hint="eastAsia" w:ascii="宋体" w:hAnsi="宋体" w:cs="宋体"/>
                      <w:szCs w:val="21"/>
                      <w:lang w:bidi="ar"/>
                    </w:rPr>
                    <w:t>制度。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1450" w:type="dxa"/>
                  <w:tcBorders>
                    <w:top w:val="single" w:color="auto" w:sz="4" w:space="0"/>
                    <w:left w:val="single" w:color="auto" w:sz="4" w:space="0"/>
                    <w:bottom w:val="single" w:color="auto" w:sz="12" w:space="0"/>
                    <w:right w:val="single" w:color="auto" w:sz="4"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579" w:type="dxa"/>
                  <w:tcBorders>
                    <w:top w:val="single" w:color="auto" w:sz="4" w:space="0"/>
                    <w:left w:val="single" w:color="auto" w:sz="4" w:space="0"/>
                    <w:bottom w:val="single" w:color="auto" w:sz="12" w:space="0"/>
                    <w:right w:val="single" w:color="auto" w:sz="12" w:space="0"/>
                  </w:tcBorders>
                  <w:shd w:val="clear" w:color="auto" w:fill="FFFFFF"/>
                  <w:vAlign w:val="center"/>
                </w:tcPr>
                <w:p>
                  <w:pPr>
                    <w:autoSpaceDE w:val="0"/>
                    <w:autoSpaceDN w:val="0"/>
                    <w:adjustRightInd w:val="0"/>
                    <w:snapToGrid w:val="0"/>
                    <w:jc w:val="center"/>
                    <w:rPr>
                      <w:kern w:val="0"/>
                      <w:szCs w:val="21"/>
                    </w:rPr>
                  </w:pPr>
                  <w:r>
                    <w:rPr>
                      <w:rFonts w:hint="eastAsia" w:ascii="宋体" w:hAnsi="宋体" w:cs="宋体"/>
                      <w:kern w:val="0"/>
                      <w:szCs w:val="21"/>
                      <w:lang w:bidi="ar"/>
                    </w:rPr>
                    <w:t>符合</w:t>
                  </w:r>
                </w:p>
              </w:tc>
            </w:tr>
          </w:tbl>
          <w:p>
            <w:pPr>
              <w:autoSpaceDE w:val="0"/>
              <w:autoSpaceDN w:val="0"/>
              <w:adjustRightInd w:val="0"/>
              <w:snapToGrid w:val="0"/>
              <w:spacing w:line="360" w:lineRule="auto"/>
              <w:ind w:firstLine="480" w:firstLineChars="200"/>
              <w:rPr>
                <w:kern w:val="0"/>
                <w:szCs w:val="21"/>
              </w:rPr>
            </w:pPr>
            <w:r>
              <w:rPr>
                <w:rFonts w:hint="eastAsia" w:ascii="宋体" w:hAnsi="宋体" w:cs="宋体"/>
                <w:kern w:val="0"/>
                <w:sz w:val="24"/>
                <w:lang w:bidi="ar"/>
              </w:rPr>
              <w:t>综上所述，项目建设与《四川省矿产资源总体规划（</w:t>
            </w:r>
            <w:r>
              <w:rPr>
                <w:kern w:val="0"/>
                <w:sz w:val="24"/>
                <w:lang w:bidi="ar"/>
              </w:rPr>
              <w:t>2021-2025</w:t>
            </w:r>
            <w:r>
              <w:rPr>
                <w:rFonts w:hint="eastAsia" w:ascii="宋体" w:hAnsi="宋体" w:cs="宋体"/>
                <w:kern w:val="0"/>
                <w:sz w:val="24"/>
                <w:lang w:bidi="ar"/>
              </w:rPr>
              <w:t>年）环境影响报告书》及审查意见相符合。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1134" w:type="dxa"/>
            <w:tcMar>
              <w:top w:w="16" w:type="dxa"/>
              <w:left w:w="16" w:type="dxa"/>
              <w:right w:w="16" w:type="dxa"/>
            </w:tcMar>
            <w:vAlign w:val="center"/>
          </w:tcPr>
          <w:p>
            <w:pPr>
              <w:autoSpaceDE w:val="0"/>
              <w:autoSpaceDN w:val="0"/>
              <w:adjustRightInd w:val="0"/>
              <w:snapToGrid w:val="0"/>
              <w:jc w:val="center"/>
              <w:rPr>
                <w:kern w:val="0"/>
                <w:szCs w:val="21"/>
              </w:rPr>
            </w:pPr>
            <w:bookmarkStart w:id="4" w:name="_Hlk56690880"/>
            <w:r>
              <w:rPr>
                <w:kern w:val="0"/>
                <w:szCs w:val="21"/>
              </w:rPr>
              <w:t>其他符合性分析</w:t>
            </w:r>
            <w:bookmarkEnd w:id="4"/>
          </w:p>
        </w:tc>
        <w:tc>
          <w:tcPr>
            <w:tcW w:w="7655" w:type="dxa"/>
            <w:gridSpan w:val="3"/>
            <w:tcMar>
              <w:top w:w="16" w:type="dxa"/>
              <w:left w:w="16" w:type="dxa"/>
              <w:right w:w="16" w:type="dxa"/>
            </w:tcMar>
            <w:vAlign w:val="center"/>
          </w:tcPr>
          <w:p>
            <w:pPr>
              <w:pStyle w:val="38"/>
              <w:numPr>
                <w:ilvl w:val="1"/>
                <w:numId w:val="3"/>
              </w:numPr>
              <w:spacing w:before="0" w:beforeAutospacing="0" w:after="0" w:afterAutospacing="0" w:line="360" w:lineRule="auto"/>
              <w:ind w:left="0" w:firstLine="0"/>
              <w:rPr>
                <w:rFonts w:ascii="宋体" w:hAnsi="宋体" w:eastAsia="宋体" w:cs="宋体"/>
                <w:b/>
                <w:lang w:bidi="ar"/>
              </w:rPr>
            </w:pPr>
            <w:r>
              <w:rPr>
                <w:rFonts w:ascii="宋体" w:hAnsi="宋体" w:eastAsia="宋体" w:cs="宋体"/>
                <w:b/>
                <w:lang w:bidi="ar"/>
              </w:rPr>
              <w:t>与 “三线一单”符合性</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（1）生态红线</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根据《达州市人民政府关于落实生态保护红线、环境质量底线、资源利用上线制定生态环境准入清单实施生态环境分区管控的通知》（达市府发〔2021〕17号）的要求，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一般管控单元除优先保护单元和重点管控单元之外的其他区域，全市共划分一般管控单元7个。执行区域生态环境保护的基本要求，重点加强农业、生活等领域污染治理。</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项目所在达州市</w:t>
            </w:r>
            <w:r>
              <w:rPr>
                <w:rFonts w:hint="eastAsia" w:ascii="Times New Roman" w:hAnsi="Times New Roman" w:eastAsia="宋体" w:cs="Times New Roman"/>
                <w:bCs/>
                <w:sz w:val="24"/>
              </w:rPr>
              <w:t>宣汉县大成镇</w:t>
            </w:r>
            <w:r>
              <w:rPr>
                <w:rFonts w:ascii="Times New Roman" w:hAnsi="Times New Roman" w:eastAsia="宋体" w:cs="Times New Roman"/>
                <w:bCs/>
                <w:sz w:val="24"/>
              </w:rPr>
              <w:t>境内，根据四川省“三线一单”符合性分析系统查询结果，项目位置属于</w:t>
            </w:r>
            <w:r>
              <w:rPr>
                <w:rFonts w:hint="eastAsia" w:ascii="Times New Roman" w:hAnsi="Times New Roman" w:eastAsia="宋体" w:cs="Times New Roman"/>
                <w:bCs/>
                <w:sz w:val="24"/>
                <w:lang w:val="en-US" w:eastAsia="zh-CN"/>
              </w:rPr>
              <w:t>一般</w:t>
            </w:r>
            <w:r>
              <w:rPr>
                <w:rFonts w:ascii="Times New Roman" w:hAnsi="Times New Roman" w:eastAsia="宋体" w:cs="Times New Roman"/>
                <w:bCs/>
                <w:sz w:val="24"/>
              </w:rPr>
              <w:t>管控单元，项目施工期采用网电钻井，备用柴油发电机使用时间较少，且使用优质柴油，废气严格控制确保达标排放；钻井废水、压裂返排液经收集后拟交由大湾403污水站处理达标后管输至毛开1井回注站回注，现场不外排；产生的水基岩屑经清洁化生产平台收集后就近交给依法取得生态环境部门关于利用和处置相关工业固体废物项目环评批复、具有处理处置相应固体废物能力并配套建设有废气、废水、固废等污染物治理设施的单位进行资源化利用。项目产生的危废经收集后交由有资质单位进行处置。项目建设通过采取措施后对环境影响小，因此拟建项目符合《达州市人民政府关于落实生态保护红线、环境质量底线、资源利用上线制定生态环境准入清单实施生态环境分区管控的通知》（达市府发〔2021〕17号）的相关要求。</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（2）环境质量底线</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区域环境空气属于《环境空气质量标准》（GB3095-2012）中二类功能区、地表水环境功能属于《地表水环境质量标准》（GB3838-2002）中Ⅲ类功能区、地下水属于《地下水质量标准》（GB/T 14848-2017）Ⅲ类标准、区域声环境属于《声环境质量标准》（GB3096-2008）中2类功能区、区域生态环境质量较好；根据现状监测结果，区域环境质量现状较好，具有相应的环境容量。</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废气主要为备用柴油发电机废气、测试放喷废气、事故放喷废气、大气污染物主要为等，废气经有效收集和处理后均可达标排放；项目废水经处理达标后回注，不外排；项目产生的固体废物全部妥善处理，不直接排入外环境；项目噪声可做到厂界达标。项目三废及噪声均能有效处理，不会明显降低区域环境质量现状，因此本项目建设不会对当地环境质量底线造成冲击。</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（3）资源利用上线</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通过内部管理、设备选择、原辅材料的选用和管理、废物综合利用、污染治理等多方面采取可行的防治措施，以“节能、降耗、减污”为目标，有效地控制污染，项目的水、电、气等资源不会突破区域的资源利用上线。</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（4）环境负面准入清单</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符合国家和地方产业政策，项目的建设对促进当地能源开发和推动地方经济具有积极作用，同时，本项目不属于《四川省国家重点生态功能区产业准入负面清单（第一批）（试行）》和《四川省重点生态功能区产业准入负面清单（第二批）（试行）》中禁止类、限制类项目，不属于环境负面准入清单。</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因此，本项目的建设符合“生态红线、环境质量底线、资源利用上线和环境负面准入清单”的相关要求。</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根据四川省“三线一单”数据分析系统查询结果，项目处于</w:t>
            </w:r>
            <w:r>
              <w:rPr>
                <w:rFonts w:hint="eastAsia" w:ascii="Times New Roman" w:hAnsi="Times New Roman" w:eastAsia="宋体" w:cs="Times New Roman"/>
                <w:bCs/>
                <w:sz w:val="24"/>
                <w:lang w:val="en-US" w:eastAsia="zh-CN"/>
              </w:rPr>
              <w:t>一般</w:t>
            </w:r>
            <w:r>
              <w:rPr>
                <w:rFonts w:ascii="Times New Roman" w:hAnsi="Times New Roman" w:eastAsia="宋体" w:cs="Times New Roman"/>
                <w:bCs/>
                <w:sz w:val="24"/>
              </w:rPr>
              <w:t>管控单元，管控单元编码为ZH</w:t>
            </w:r>
            <w:r>
              <w:rPr>
                <w:rFonts w:ascii="Times New Roman" w:hAnsi="Times New Roman" w:eastAsia="宋体" w:cs="Times New Roman"/>
                <w:bCs/>
                <w:sz w:val="24"/>
                <w:lang w:val="en-US" w:eastAsia="zh-CN"/>
              </w:rPr>
              <w:t>51172230001</w:t>
            </w:r>
            <w:r>
              <w:rPr>
                <w:rFonts w:ascii="Times New Roman" w:hAnsi="Times New Roman" w:eastAsia="宋体" w:cs="Times New Roman"/>
                <w:bCs/>
                <w:sz w:val="24"/>
              </w:rPr>
              <w:t>，所在环境管控单元管控要求及符合性分析如下，与达州市环境管控单元见图1-1。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sz w:val="24"/>
              </w:rPr>
            </w:pPr>
            <w:r>
              <w:rPr>
                <w:rFonts w:ascii="Times New Roman" w:hAnsi="Times New Roman" w:eastAsia="宋体" w:cs="Times New Roman"/>
                <w:bCs/>
                <w:sz w:val="24"/>
              </w:rPr>
              <w:drawing>
                <wp:inline distT="0" distB="0" distL="114300" distR="114300">
                  <wp:extent cx="4830445" cy="3532505"/>
                  <wp:effectExtent l="0" t="0" r="8255" b="1079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7"/>
                          <a:stretch>
                            <a:fillRect/>
                          </a:stretch>
                        </pic:blipFill>
                        <pic:spPr>
                          <a:xfrm>
                            <a:off x="0" y="0"/>
                            <a:ext cx="4830445" cy="3532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Cs/>
                <w:sz w:val="24"/>
              </w:rPr>
            </w:pPr>
            <w:r>
              <w:rPr>
                <w:rFonts w:ascii="Times New Roman" w:hAnsi="Times New Roman" w:eastAsia="宋体" w:cs="Times New Roman"/>
                <w:bCs/>
                <w:sz w:val="24"/>
              </w:rPr>
              <w:t>图 1-</w:t>
            </w:r>
            <w:r>
              <w:rPr>
                <w:rFonts w:hint="eastAsia" w:ascii="Times New Roman" w:hAnsi="Times New Roman" w:eastAsia="宋体" w:cs="Times New Roman"/>
                <w:bCs/>
                <w:sz w:val="24"/>
                <w:lang w:val="en-US" w:eastAsia="zh-CN"/>
              </w:rPr>
              <w:t>1</w:t>
            </w:r>
            <w:r>
              <w:rPr>
                <w:rFonts w:ascii="Times New Roman" w:hAnsi="Times New Roman" w:eastAsia="宋体" w:cs="Times New Roman"/>
                <w:bCs/>
                <w:sz w:val="24"/>
              </w:rPr>
              <w:t xml:space="preserve"> “三线一单”符合性分析系统截图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bCs/>
                <w:sz w:val="24"/>
              </w:rPr>
            </w:pPr>
            <w:r>
              <w:rPr>
                <w:rFonts w:ascii="Times New Roman" w:hAnsi="Times New Roman" w:eastAsia="宋体" w:cs="Times New Roman"/>
                <w:bCs/>
                <w:sz w:val="24"/>
              </w:rPr>
              <mc:AlternateContent>
                <mc:Choice Requires="wps">
                  <w:drawing>
                    <wp:anchor distT="0" distB="0" distL="114300" distR="114300" simplePos="0" relativeHeight="251662336" behindDoc="0" locked="0" layoutInCell="1" allowOverlap="1">
                      <wp:simplePos x="0" y="0"/>
                      <wp:positionH relativeFrom="column">
                        <wp:posOffset>1677670</wp:posOffset>
                      </wp:positionH>
                      <wp:positionV relativeFrom="paragraph">
                        <wp:posOffset>1308735</wp:posOffset>
                      </wp:positionV>
                      <wp:extent cx="944880" cy="274320"/>
                      <wp:effectExtent l="10795" t="6350" r="15875" b="271780"/>
                      <wp:wrapNone/>
                      <wp:docPr id="86" name="圆角矩形标注 86"/>
                      <wp:cNvGraphicFramePr/>
                      <a:graphic xmlns:a="http://schemas.openxmlformats.org/drawingml/2006/main">
                        <a:graphicData uri="http://schemas.microsoft.com/office/word/2010/wordprocessingShape">
                          <wps:wsp>
                            <wps:cNvSpPr/>
                            <wps:spPr>
                              <a:xfrm>
                                <a:off x="3488055" y="6231890"/>
                                <a:ext cx="944880" cy="274320"/>
                              </a:xfrm>
                              <a:prstGeom prst="wedgeRoundRectCallout">
                                <a:avLst>
                                  <a:gd name="adj1" fmla="val -49059"/>
                                  <a:gd name="adj2" fmla="val 13750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2.1pt;margin-top:103.05pt;height:21.6pt;width:74.4pt;z-index:251662336;v-text-anchor:middle;mso-width-relative:page;mso-height-relative:page;" fillcolor="#5B9BD5 [3204]" filled="t" stroked="t" coordsize="21600,21600" o:gfxdata="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B8BKx7ZAAAACwEAAA8AAAAAAAAAAQAgAAAAIgAAAGRy&#10;cy9kb3ducmV2LnhtbFBLAQIUABQAAAAIAIdO4kADsADL6AIAAMIFAAAOAAAAAAAAAAEAIAAAACgB&#10;AABkcnMvZTJvRG9jLnhtbFBLBQYAAAAABgAGAFkBAACCBgAAAAA=&#10;" adj="203,40500,14400">
                      <v:fill on="t" focussize="0,0"/>
                      <v:stroke weight="1pt" color="#2E75B6 [2404]" miterlimit="8" joinstyle="miter"/>
                      <v:imagedata o:title=""/>
                      <o:lock v:ext="edit" aspectratio="f"/>
                      <v:textbox>
                        <w:txbxContent>
                          <w:p>
                            <w:pPr>
                              <w:jc w:val="center"/>
                            </w:pPr>
                            <w:r>
                              <w:rPr>
                                <w:rFonts w:hint="eastAsia"/>
                              </w:rPr>
                              <w:t>项目位置</w:t>
                            </w:r>
                          </w:p>
                        </w:txbxContent>
                      </v:textbox>
                    </v:shape>
                  </w:pict>
                </mc:Fallback>
              </mc:AlternateContent>
            </w:r>
            <w:r>
              <w:rPr>
                <w:rFonts w:ascii="Times New Roman" w:hAnsi="Times New Roman" w:eastAsia="宋体" w:cs="Times New Roman"/>
                <w:bCs/>
                <w:sz w:val="24"/>
              </w:rPr>
              <w:drawing>
                <wp:inline distT="0" distB="0" distL="114300" distR="114300">
                  <wp:extent cx="4833620" cy="3150235"/>
                  <wp:effectExtent l="0" t="0" r="5080"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
                          <a:srcRect t="4956" b="2856"/>
                          <a:stretch>
                            <a:fillRect/>
                          </a:stretch>
                        </pic:blipFill>
                        <pic:spPr>
                          <a:xfrm>
                            <a:off x="0" y="0"/>
                            <a:ext cx="4833620" cy="3150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图1-2项目与达州市生态红线位置示意图</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拟建项目与《四川省“三线一单”符合性分析报告》中，生态环境准入清单分析内容见下表。</w:t>
            </w:r>
          </w:p>
          <w:p>
            <w:pPr>
              <w:pStyle w:val="344"/>
              <w:ind w:firstLine="480"/>
              <w:rPr>
                <w:kern w:val="0"/>
                <w:sz w:val="21"/>
                <w:szCs w:val="21"/>
              </w:rPr>
            </w:pPr>
          </w:p>
        </w:tc>
      </w:tr>
    </w:tbl>
    <w:p>
      <w:pPr>
        <w:spacing w:line="360" w:lineRule="auto"/>
        <w:outlineLvl w:val="0"/>
        <w:rPr>
          <w:rFonts w:eastAsia="黑体"/>
          <w:szCs w:val="21"/>
        </w:rPr>
        <w:sectPr>
          <w:footerReference r:id="rId5" w:type="default"/>
          <w:pgSz w:w="11906" w:h="16838"/>
          <w:pgMar w:top="1417" w:right="1417" w:bottom="1417" w:left="1701" w:header="851" w:footer="1077" w:gutter="0"/>
          <w:pgNumType w:start="1"/>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numPr>
                <w:ilvl w:val="0"/>
                <w:numId w:val="0"/>
              </w:numPr>
              <w:spacing w:line="360" w:lineRule="auto"/>
              <w:ind w:leftChars="0"/>
              <w:jc w:val="center"/>
              <w:rPr>
                <w:b/>
                <w:kern w:val="0"/>
                <w:szCs w:val="21"/>
              </w:rPr>
            </w:pPr>
            <w:r>
              <w:rPr>
                <w:rFonts w:hint="eastAsia"/>
                <w:b/>
                <w:kern w:val="0"/>
                <w:szCs w:val="21"/>
                <w:lang w:val="en-US" w:eastAsia="zh-CN"/>
              </w:rPr>
              <w:t xml:space="preserve">表1-2 </w:t>
            </w:r>
            <w:r>
              <w:rPr>
                <w:b/>
                <w:kern w:val="0"/>
                <w:szCs w:val="21"/>
              </w:rPr>
              <w:t>与各环境管控单元符合性分析一览表</w:t>
            </w:r>
          </w:p>
          <w:tbl>
            <w:tblPr>
              <w:tblStyle w:val="44"/>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“三线一单”的具体要求</w:t>
                  </w:r>
                </w:p>
              </w:tc>
              <w:tc>
                <w:tcPr>
                  <w:tcW w:w="2139" w:type="dxa"/>
                  <w:vMerge w:val="restart"/>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项目情况</w:t>
                  </w:r>
                </w:p>
              </w:tc>
              <w:tc>
                <w:tcPr>
                  <w:tcW w:w="1409" w:type="dxa"/>
                  <w:vMerge w:val="restart"/>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类别</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对应的管控要求</w:t>
                  </w:r>
                </w:p>
              </w:tc>
              <w:tc>
                <w:tcPr>
                  <w:tcW w:w="2139" w:type="dxa"/>
                  <w:vMerge w:val="continue"/>
                  <w:tcBorders>
                    <w:tl2br w:val="nil"/>
                    <w:tr2bl w:val="nil"/>
                  </w:tcBorders>
                  <w:shd w:val="clear" w:color="auto" w:fill="auto"/>
                  <w:vAlign w:val="center"/>
                </w:tcPr>
                <w:p>
                  <w:pPr>
                    <w:rPr>
                      <w:szCs w:val="21"/>
                    </w:rPr>
                  </w:pPr>
                </w:p>
              </w:tc>
              <w:tc>
                <w:tcPr>
                  <w:tcW w:w="1409" w:type="dxa"/>
                  <w:vMerge w:val="continue"/>
                  <w:tcBorders>
                    <w:tl2br w:val="nil"/>
                    <w:tr2bl w:val="nil"/>
                  </w:tcBorders>
                  <w:shd w:val="clear" w:color="auto" w:fill="auto"/>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kern w:val="2"/>
                      <w:sz w:val="21"/>
                      <w:szCs w:val="21"/>
                      <w:lang w:bidi="ar"/>
                    </w:rPr>
                  </w:pPr>
                  <w:r>
                    <w:rPr>
                      <w:rFonts w:ascii="Times New Roman" w:hAnsi="Times New Roman"/>
                      <w:kern w:val="2"/>
                      <w:sz w:val="21"/>
                      <w:szCs w:val="21"/>
                      <w:lang w:bidi="ar"/>
                    </w:rPr>
                    <w:t>环境要素综合重点管控单元ZH51072230001</w:t>
                  </w:r>
                </w:p>
              </w:tc>
              <w:tc>
                <w:tcPr>
                  <w:tcW w:w="934" w:type="dxa"/>
                  <w:vMerge w:val="restart"/>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普适性清单管控要求</w:t>
                  </w: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tcPr>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禁止开发建设活动的要求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-禁止在长江干支流1公里范围内新建、扩建化工园区和化工项目。</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-禁止在法律法规规定的禁采区内新建矿山；禁止土法采、选、冶严重污染环境的矿产资源。</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-涉及永久基本农田的区域，除法律规定的重点建设项目选址确实无法避让外，其他任何建设不得占用。</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-禁止在长江流域河湖管理范围内倾倒、填埋、堆放、弃置、处理固体废物。</w:t>
                  </w:r>
                </w:p>
                <w:p>
                  <w:pPr>
                    <w:pStyle w:val="372"/>
                    <w:spacing w:line="240" w:lineRule="auto"/>
                    <w:ind w:firstLine="0" w:firstLineChars="0"/>
                    <w:rPr>
                      <w:rFonts w:hint="eastAsia" w:eastAsia="新宋体"/>
                      <w:kern w:val="0"/>
                      <w:sz w:val="21"/>
                      <w:lang w:val="en-US" w:eastAsia="zh-CN"/>
                    </w:rPr>
                  </w:pP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限制开发建设活动的要求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禁止在长江干流岸线三公里范围内和重要支流岸线一公里范围内新建、改建、扩建尾矿库；但是以提升安全、生态环境保护水平为目的的改建除外。</w:t>
                  </w:r>
                </w:p>
                <w:p>
                  <w:pPr>
                    <w:pStyle w:val="372"/>
                    <w:spacing w:line="240" w:lineRule="auto"/>
                    <w:ind w:firstLine="0" w:firstLineChars="0"/>
                    <w:rPr>
                      <w:rFonts w:hint="eastAsia" w:eastAsia="新宋体"/>
                      <w:kern w:val="0"/>
                      <w:sz w:val="21"/>
                      <w:lang w:val="en-US" w:eastAsia="zh-CN"/>
                    </w:rPr>
                  </w:pP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不符合空间布局要求活动的退出要求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针对现有水泥企业，强化污染治理和污染物减排，依法依规整治或搬迁。</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全面取缔禁养区内规模化畜禽养殖场。</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2025年基本完成全域内“散乱污”企业整治工作。</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在全市范围深入开展集中整治“散乱污”工业企业，对不符合产业政策和规划布局的，一律责令停产、限期搬迁或关停；</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其他空间布局约束要求</w:t>
                  </w:r>
                </w:p>
                <w:p>
                  <w:pPr>
                    <w:pStyle w:val="372"/>
                    <w:spacing w:line="240" w:lineRule="auto"/>
                    <w:ind w:firstLine="0" w:firstLineChars="0"/>
                    <w:rPr>
                      <w:rFonts w:eastAsia="新宋体"/>
                      <w:kern w:val="0"/>
                      <w:sz w:val="21"/>
                    </w:rPr>
                  </w:pPr>
                  <w:r>
                    <w:rPr>
                      <w:rFonts w:hint="eastAsia" w:eastAsia="新宋体"/>
                      <w:kern w:val="0"/>
                      <w:sz w:val="21"/>
                      <w:lang w:val="en-US" w:eastAsia="zh-CN"/>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本项目符合相关规划，不属于上述禁止建设项目，项目建设将占用基本农田，目前正在办理相关用地手续。</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tcPr>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允许排放量要求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暂无</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现有源提标升级改造</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加快现有乡镇污水处理设施升级改造，按要求达《城镇污水处理厂污染物排放标准》一级A标后排放。</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在矿产资源开发活动集中区域，废水执行重金属污染物排放特别限值。</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火电、水泥等行业按相关要求推进大气污染物超低排放和深度治理。</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砖瓦行业实施脱硫、除尘升级改造，污染物排放达到《砖瓦工业大气污染物排放标准》相关要求。</w:t>
                  </w:r>
                </w:p>
                <w:p>
                  <w:pPr>
                    <w:pStyle w:val="372"/>
                    <w:spacing w:line="240" w:lineRule="auto"/>
                    <w:ind w:firstLine="0" w:firstLineChars="0"/>
                    <w:rPr>
                      <w:rFonts w:hint="eastAsia" w:eastAsia="新宋体"/>
                      <w:kern w:val="0"/>
                      <w:sz w:val="21"/>
                      <w:lang w:val="en-US" w:eastAsia="zh-CN"/>
                    </w:rPr>
                  </w:pP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其他污染物排放管控要求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-到2023年底，力争全市生活垃圾焚烧处理能力占比达60%以上，各县（市）生活垃圾无害化处理率保持95%以上，乡镇及行政村生活垃圾收转运处置体系基本实现全覆盖。</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-到2025年，农药包装废弃物回收率达80%；粮油绿色高质高效示范区、茶叶主产区和现代农业园区农药包装废弃物回收率100%。</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-到2025年，全国主要农作物化肥、农药利用率达43%，测土配方施肥技术推广覆盖率保持在90%以上，控制农村面源污染，采取灌排分离等措施控制农田氮磷流失。</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2"/>
                    <w:spacing w:line="240" w:lineRule="auto"/>
                    <w:ind w:firstLine="0" w:firstLineChars="0"/>
                    <w:rPr>
                      <w:rFonts w:eastAsia="新宋体"/>
                      <w:kern w:val="0"/>
                      <w:sz w:val="21"/>
                    </w:rPr>
                  </w:pPr>
                  <w:r>
                    <w:rPr>
                      <w:rFonts w:hint="eastAsia" w:eastAsia="新宋体"/>
                      <w:kern w:val="0"/>
                      <w:sz w:val="21"/>
                      <w:lang w:val="en-US" w:eastAsia="zh-CN"/>
                    </w:rPr>
                    <w:t>-到2025年，废旧农膜回收利用率达到85%以上。</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废水经废水池收集后拟由罐车拉运至大湾403污水站处理达标后管输至毛开1井回注站回注，项目柴油发电机使用优质柴油，废气产生量较小，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tcPr>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联防联控要求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其他环境风险防控要求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企业环境风险防控要求:工业企业退出用地，须经评估、修复满足相应用地功能后，方可改变用途。</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规范排土场、渣场等整治。禁止处理不达标的污泥进入耕地。</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严格控制林地、草地、园地的农药使用量，禁止使用高毒、高残留农药。</w:t>
                  </w:r>
                </w:p>
                <w:p>
                  <w:pPr>
                    <w:pStyle w:val="372"/>
                    <w:spacing w:line="240" w:lineRule="auto"/>
                    <w:ind w:firstLine="0" w:firstLineChars="0"/>
                    <w:rPr>
                      <w:rFonts w:eastAsia="新宋体"/>
                      <w:kern w:val="0"/>
                      <w:sz w:val="21"/>
                    </w:rPr>
                  </w:pPr>
                  <w:r>
                    <w:rPr>
                      <w:rFonts w:hint="eastAsia" w:eastAsia="新宋体"/>
                      <w:kern w:val="0"/>
                      <w:sz w:val="21"/>
                      <w:lang w:val="en-US" w:eastAsia="zh-CN"/>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tcPr>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水资源利用总量要求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-到2025年，农田灌溉水有效利用系数达到0.57以上。</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地下水开采要求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以省市下发指标为准</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能源利用总量及效率要求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推进清洁能源的推广使用，全面推进散煤清洁化整治；禁止新建每小时10蒸吨以下的燃煤锅炉及其他燃煤设施。</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禁止焚烧秸秆和垃圾，到2025年底，秸秆综合利用率达到86%以上。</w:t>
                  </w:r>
                </w:p>
                <w:p>
                  <w:pPr>
                    <w:pStyle w:val="372"/>
                    <w:spacing w:line="240" w:lineRule="auto"/>
                    <w:ind w:firstLine="0" w:firstLineChars="0"/>
                    <w:rPr>
                      <w:rFonts w:hint="eastAsia" w:eastAsia="新宋体"/>
                      <w:kern w:val="0"/>
                      <w:sz w:val="21"/>
                      <w:lang w:val="en-US" w:eastAsia="zh-CN"/>
                    </w:rPr>
                  </w:pP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禁燃区要求</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-禁燃区内禁止销售、燃用高污染燃料；禁止新建、改建、扩建燃用高污染燃料的设施和设备。</w:t>
                  </w: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-禁燃区内已建成的高污染燃料燃用设施由辖区人民政府制定限期改造计划，改用天然气、页岩气、液化石油气、电或其他清洁能源。</w:t>
                  </w:r>
                </w:p>
                <w:p>
                  <w:pPr>
                    <w:pStyle w:val="372"/>
                    <w:spacing w:line="240" w:lineRule="auto"/>
                    <w:ind w:firstLine="0" w:firstLineChars="0"/>
                    <w:rPr>
                      <w:rFonts w:hint="eastAsia" w:eastAsia="新宋体"/>
                      <w:kern w:val="0"/>
                      <w:sz w:val="21"/>
                      <w:lang w:val="en-US" w:eastAsia="zh-CN"/>
                    </w:rPr>
                  </w:pPr>
                </w:p>
                <w:p>
                  <w:pPr>
                    <w:pStyle w:val="372"/>
                    <w:spacing w:line="240" w:lineRule="auto"/>
                    <w:ind w:firstLine="0" w:firstLineChars="0"/>
                    <w:rPr>
                      <w:rFonts w:hint="eastAsia" w:eastAsia="新宋体"/>
                      <w:kern w:val="0"/>
                      <w:sz w:val="21"/>
                      <w:lang w:val="en-US" w:eastAsia="zh-CN"/>
                    </w:rPr>
                  </w:pPr>
                  <w:r>
                    <w:rPr>
                      <w:rFonts w:hint="eastAsia" w:eastAsia="新宋体"/>
                      <w:kern w:val="0"/>
                      <w:sz w:val="21"/>
                      <w:lang w:val="en-US" w:eastAsia="zh-CN"/>
                    </w:rPr>
                    <w:t>其他资源利用效率要求</w:t>
                  </w:r>
                </w:p>
                <w:p>
                  <w:pPr>
                    <w:pStyle w:val="372"/>
                    <w:spacing w:line="240" w:lineRule="auto"/>
                    <w:ind w:firstLine="0" w:firstLineChars="0"/>
                    <w:rPr>
                      <w:rFonts w:eastAsia="新宋体"/>
                      <w:kern w:val="0"/>
                      <w:sz w:val="21"/>
                    </w:rPr>
                  </w:pPr>
                  <w:r>
                    <w:rPr>
                      <w:rFonts w:hint="eastAsia" w:eastAsia="新宋体"/>
                      <w:kern w:val="0"/>
                      <w:sz w:val="21"/>
                      <w:lang w:val="en-US" w:eastAsia="zh-CN"/>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restart"/>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单元级清单管控要求</w:t>
                  </w: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lang w:val="en-US" w:eastAsia="zh-CN"/>
                    </w:rPr>
                  </w:pPr>
                  <w:r>
                    <w:rPr>
                      <w:rFonts w:hint="eastAsia" w:ascii="Times New Roman" w:hAnsi="Times New Roman"/>
                      <w:sz w:val="21"/>
                      <w:szCs w:val="21"/>
                      <w:lang w:val="en-US" w:eastAsia="zh-CN"/>
                    </w:rPr>
                    <w:t>禁止开发建设活动的要求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限制开发建设活动的要求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允许开发建设活动的要求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不符合空间布局要求活动的退出要求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lang w:val="en-US" w:eastAsia="zh-CN"/>
                    </w:rPr>
                    <w:t>其他空间布局约束要求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项目</w:t>
                  </w:r>
                  <w:r>
                    <w:rPr>
                      <w:rFonts w:ascii="Times New Roman" w:hAnsi="Times New Roman"/>
                      <w:sz w:val="21"/>
                      <w:szCs w:val="21"/>
                    </w:rPr>
                    <w:t>位于</w:t>
                  </w:r>
                  <w:r>
                    <w:rPr>
                      <w:rFonts w:hint="eastAsia" w:ascii="Times New Roman" w:hAnsi="Times New Roman"/>
                      <w:sz w:val="21"/>
                      <w:szCs w:val="21"/>
                    </w:rPr>
                    <w:t>四川省达州市宣汉县大成镇大地村1组，属于一般</w:t>
                  </w:r>
                  <w:r>
                    <w:rPr>
                      <w:rFonts w:ascii="Times New Roman" w:hAnsi="Times New Roman"/>
                      <w:sz w:val="21"/>
                      <w:szCs w:val="21"/>
                    </w:rPr>
                    <w:t>管控单元，</w:t>
                  </w:r>
                  <w:r>
                    <w:rPr>
                      <w:rFonts w:hint="eastAsia" w:ascii="Times New Roman" w:hAnsi="Times New Roman"/>
                      <w:sz w:val="21"/>
                      <w:szCs w:val="21"/>
                    </w:rPr>
                    <w:t>不属于</w:t>
                  </w:r>
                  <w:r>
                    <w:rPr>
                      <w:rFonts w:ascii="Times New Roman" w:hAnsi="Times New Roman"/>
                      <w:sz w:val="21"/>
                      <w:szCs w:val="21"/>
                    </w:rPr>
                    <w:t>禁止开发建设活动</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widowControl/>
                    <w:rPr>
                      <w:szCs w:val="21"/>
                      <w:lang w:val="en-US" w:eastAsia="zh-CN"/>
                    </w:rPr>
                  </w:pPr>
                  <w:r>
                    <w:rPr>
                      <w:rFonts w:hint="eastAsia"/>
                      <w:szCs w:val="21"/>
                      <w:lang w:val="en-US" w:eastAsia="zh-CN"/>
                    </w:rPr>
                    <w:t>现有源提标升级改造</w:t>
                  </w:r>
                </w:p>
                <w:p>
                  <w:pPr>
                    <w:widowControl/>
                    <w:rPr>
                      <w:rFonts w:hint="eastAsia"/>
                      <w:szCs w:val="21"/>
                      <w:lang w:val="en-US" w:eastAsia="zh-CN"/>
                    </w:rPr>
                  </w:pPr>
                  <w:r>
                    <w:rPr>
                      <w:rFonts w:hint="eastAsia"/>
                      <w:szCs w:val="21"/>
                      <w:lang w:val="en-US" w:eastAsia="zh-CN"/>
                    </w:rPr>
                    <w:t>同达州市一般管控单元总体准入要求</w:t>
                  </w:r>
                </w:p>
                <w:p>
                  <w:pPr>
                    <w:widowControl/>
                    <w:rPr>
                      <w:rFonts w:hint="eastAsia"/>
                      <w:szCs w:val="21"/>
                      <w:lang w:val="en-US" w:eastAsia="zh-CN"/>
                    </w:rPr>
                  </w:pPr>
                  <w:r>
                    <w:rPr>
                      <w:rFonts w:hint="eastAsia"/>
                      <w:szCs w:val="21"/>
                      <w:lang w:val="en-US" w:eastAsia="zh-CN"/>
                    </w:rPr>
                    <w:t>新增源等量或倍量替代</w:t>
                  </w:r>
                </w:p>
                <w:p>
                  <w:pPr>
                    <w:widowControl/>
                    <w:rPr>
                      <w:rFonts w:hint="eastAsia"/>
                      <w:szCs w:val="21"/>
                      <w:lang w:val="en-US" w:eastAsia="zh-CN"/>
                    </w:rPr>
                  </w:pPr>
                  <w:r>
                    <w:rPr>
                      <w:rFonts w:hint="eastAsia"/>
                      <w:szCs w:val="21"/>
                      <w:lang w:val="en-US" w:eastAsia="zh-CN"/>
                    </w:rPr>
                    <w:t>同达州市一般管控单元总体准入要求</w:t>
                  </w:r>
                </w:p>
                <w:p>
                  <w:pPr>
                    <w:widowControl/>
                    <w:rPr>
                      <w:rFonts w:hint="eastAsia"/>
                      <w:szCs w:val="21"/>
                      <w:lang w:val="en-US" w:eastAsia="zh-CN"/>
                    </w:rPr>
                  </w:pPr>
                  <w:r>
                    <w:rPr>
                      <w:rFonts w:hint="eastAsia"/>
                      <w:szCs w:val="21"/>
                      <w:lang w:val="en-US" w:eastAsia="zh-CN"/>
                    </w:rPr>
                    <w:t>新增源排放标准限值</w:t>
                  </w:r>
                </w:p>
                <w:p>
                  <w:pPr>
                    <w:widowControl/>
                    <w:rPr>
                      <w:rFonts w:hint="eastAsia"/>
                      <w:szCs w:val="21"/>
                      <w:lang w:val="en-US" w:eastAsia="zh-CN"/>
                    </w:rPr>
                  </w:pPr>
                  <w:r>
                    <w:rPr>
                      <w:rFonts w:hint="eastAsia"/>
                      <w:szCs w:val="21"/>
                      <w:lang w:val="en-US" w:eastAsia="zh-CN"/>
                    </w:rPr>
                    <w:t>同达州市一般管控单元总体准入要求</w:t>
                  </w:r>
                </w:p>
                <w:p>
                  <w:pPr>
                    <w:widowControl/>
                    <w:rPr>
                      <w:rFonts w:hint="eastAsia"/>
                      <w:szCs w:val="21"/>
                      <w:lang w:val="en-US" w:eastAsia="zh-CN"/>
                    </w:rPr>
                  </w:pPr>
                  <w:r>
                    <w:rPr>
                      <w:rFonts w:hint="eastAsia"/>
                      <w:szCs w:val="21"/>
                      <w:lang w:val="en-US" w:eastAsia="zh-CN"/>
                    </w:rPr>
                    <w:t>污染物排放绩效水平准入要求</w:t>
                  </w:r>
                </w:p>
                <w:p>
                  <w:pPr>
                    <w:widowControl/>
                    <w:rPr>
                      <w:rFonts w:hint="eastAsia"/>
                      <w:szCs w:val="21"/>
                      <w:lang w:val="en-US" w:eastAsia="zh-CN"/>
                    </w:rPr>
                  </w:pPr>
                  <w:r>
                    <w:rPr>
                      <w:rFonts w:hint="eastAsia"/>
                      <w:szCs w:val="21"/>
                      <w:lang w:val="en-US" w:eastAsia="zh-CN"/>
                    </w:rPr>
                    <w:t>-大气环境布局敏感和弱扩散重点管控区内，现有大气污染重点企业，限期进行深度治理或关停并转。-其它同达州市一般管控单元总体准入要求</w:t>
                  </w:r>
                </w:p>
                <w:p>
                  <w:pPr>
                    <w:widowControl/>
                    <w:rPr>
                      <w:szCs w:val="21"/>
                    </w:rPr>
                  </w:pPr>
                  <w:r>
                    <w:rPr>
                      <w:rFonts w:hint="eastAsia"/>
                      <w:szCs w:val="21"/>
                      <w:lang w:val="en-US" w:eastAsia="zh-CN"/>
                    </w:rPr>
                    <w:t>其他污染物排放管控要求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项目废水</w:t>
                  </w:r>
                  <w:r>
                    <w:rPr>
                      <w:rFonts w:ascii="Times New Roman" w:hAnsi="Times New Roman"/>
                      <w:sz w:val="21"/>
                      <w:szCs w:val="21"/>
                    </w:rPr>
                    <w:t>收集后</w:t>
                  </w:r>
                  <w:r>
                    <w:rPr>
                      <w:rFonts w:hint="eastAsia" w:ascii="Times New Roman" w:hAnsi="Times New Roman"/>
                      <w:sz w:val="21"/>
                      <w:szCs w:val="21"/>
                    </w:rPr>
                    <w:t>通过密闭罐车定期拉运至大湾403污水站处理达标后管输至毛开1井回注站回注</w:t>
                  </w:r>
                  <w:r>
                    <w:rPr>
                      <w:rFonts w:ascii="Times New Roman" w:hAnsi="Times New Roman"/>
                      <w:sz w:val="21"/>
                      <w:szCs w:val="21"/>
                    </w:rPr>
                    <w:t>，</w:t>
                  </w:r>
                  <w:r>
                    <w:rPr>
                      <w:rFonts w:hint="eastAsia" w:ascii="Times New Roman" w:hAnsi="Times New Roman"/>
                      <w:sz w:val="21"/>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ascii="Times New Roman" w:hAnsi="Times New Roman"/>
                      <w:sz w:val="21"/>
                      <w:szCs w:val="21"/>
                    </w:rPr>
                    <w:t>废气污染物产生较小，项目施工时间</w:t>
                  </w:r>
                  <w:r>
                    <w:rPr>
                      <w:rFonts w:hint="eastAsia" w:ascii="Times New Roman" w:hAnsi="Times New Roman"/>
                      <w:sz w:val="21"/>
                      <w:szCs w:val="21"/>
                    </w:rPr>
                    <w:t>短</w:t>
                  </w:r>
                  <w:r>
                    <w:rPr>
                      <w:rFonts w:ascii="Times New Roman" w:hAnsi="Times New Roman"/>
                      <w:sz w:val="21"/>
                      <w:szCs w:val="21"/>
                    </w:rPr>
                    <w:t>，施工结束后噪声影响</w:t>
                  </w:r>
                  <w:r>
                    <w:rPr>
                      <w:rFonts w:hint="eastAsia" w:ascii="Times New Roman" w:hAnsi="Times New Roman"/>
                      <w:sz w:val="21"/>
                      <w:szCs w:val="21"/>
                    </w:rPr>
                    <w:t>消失</w:t>
                  </w:r>
                  <w:r>
                    <w:rPr>
                      <w:rFonts w:ascii="Times New Roman" w:hAnsi="Times New Roman"/>
                      <w:sz w:val="21"/>
                      <w:szCs w:val="21"/>
                    </w:rPr>
                    <w:t>，因此符合污染物排放管控</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lang w:val="en-US" w:eastAsia="zh-CN"/>
                    </w:rPr>
                  </w:pPr>
                  <w:r>
                    <w:rPr>
                      <w:rFonts w:hint="eastAsia" w:ascii="Times New Roman" w:hAnsi="Times New Roman"/>
                      <w:sz w:val="21"/>
                      <w:szCs w:val="21"/>
                      <w:lang w:val="en-US" w:eastAsia="zh-CN"/>
                    </w:rPr>
                    <w:t>严格管控类农用地管控要求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安全利用类农用地管控要求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污染地块管控要求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园区环境风险防控要求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企业环境风险防控要求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lang w:val="en-US" w:eastAsia="zh-CN"/>
                    </w:rPr>
                    <w:t>其他环境风险防控要求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lang w:val="en-US" w:eastAsia="zh-CN"/>
                    </w:rPr>
                  </w:pPr>
                  <w:r>
                    <w:rPr>
                      <w:rFonts w:hint="eastAsia" w:ascii="Times New Roman" w:hAnsi="Times New Roman"/>
                      <w:sz w:val="21"/>
                      <w:szCs w:val="21"/>
                      <w:lang w:val="en-US" w:eastAsia="zh-CN"/>
                    </w:rPr>
                    <w:t>水资源利用效率要求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地下水开采要求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能源利用效率要求</w:t>
                  </w:r>
                </w:p>
                <w:p>
                  <w:pPr>
                    <w:pStyle w:val="38"/>
                    <w:widowControl w:val="0"/>
                    <w:spacing w:before="0" w:beforeAutospacing="0" w:after="0" w:afterAutospacing="0"/>
                    <w:jc w:val="both"/>
                    <w:rPr>
                      <w:rFonts w:hint="eastAsia" w:ascii="Times New Roman" w:hAnsi="Times New Roman"/>
                      <w:sz w:val="21"/>
                      <w:szCs w:val="21"/>
                      <w:lang w:val="en-US" w:eastAsia="zh-CN"/>
                    </w:rPr>
                  </w:pPr>
                  <w:r>
                    <w:rPr>
                      <w:rFonts w:hint="eastAsia" w:ascii="Times New Roman" w:hAnsi="Times New Roman"/>
                      <w:sz w:val="21"/>
                      <w:szCs w:val="21"/>
                      <w:lang w:val="en-US" w:eastAsia="zh-CN"/>
                    </w:rPr>
                    <w:t>同达州市一般管控单元总体准入要求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lang w:val="en-US" w:eastAsia="zh-CN"/>
                    </w:rPr>
                    <w:t>其他资源利用效率要求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pPr>
                    <w:rPr>
                      <w:rFonts w:hint="eastAsia" w:ascii="Times New Roman" w:hAnsi="Times New Roman" w:eastAsia="宋体" w:cs="Times New Roman"/>
                      <w:szCs w:val="21"/>
                      <w:lang w:val="en-US" w:eastAsia="zh-CN"/>
                    </w:rPr>
                  </w:pPr>
                  <w:r>
                    <w:rPr>
                      <w:rFonts w:hint="eastAsia"/>
                      <w:szCs w:val="21"/>
                      <w:lang w:val="en-US" w:eastAsia="zh-CN"/>
                    </w:rPr>
                    <w:t>州河宣汉县张鼓</w:t>
                  </w:r>
                  <w:r>
                    <w:rPr>
                      <w:rFonts w:hint="eastAsia" w:ascii="Times New Roman" w:hAnsi="Times New Roman" w:eastAsia="宋体" w:cs="Times New Roman"/>
                      <w:szCs w:val="21"/>
                      <w:lang w:val="en-US" w:eastAsia="zh-CN"/>
                    </w:rPr>
                    <w:t>坪控制单元：YS5117223210001</w:t>
                  </w:r>
                </w:p>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宣汉县大气环境布局敏感重点管控区：YS5117222320006</w:t>
                  </w:r>
                </w:p>
                <w:p>
                  <w:r>
                    <w:rPr>
                      <w:rFonts w:hint="eastAsia" w:ascii="Times New Roman" w:hAnsi="Times New Roman" w:eastAsia="宋体" w:cs="Times New Roman"/>
                      <w:szCs w:val="21"/>
                      <w:lang w:val="en-US" w:eastAsia="zh-CN"/>
                    </w:rPr>
                    <w:t>宣汉县土壤优先保护区：YS5117221410003</w:t>
                  </w:r>
                </w:p>
              </w:tc>
              <w:tc>
                <w:tcPr>
                  <w:tcW w:w="934" w:type="dxa"/>
                  <w:vMerge w:val="restart"/>
                  <w:tcBorders>
                    <w:tl2br w:val="nil"/>
                    <w:tr2bl w:val="nil"/>
                  </w:tcBorders>
                  <w:shd w:val="clear" w:color="auto" w:fill="auto"/>
                  <w:vAlign w:val="center"/>
                </w:tcPr>
                <w:p>
                  <w:pPr>
                    <w:rPr>
                      <w:szCs w:val="21"/>
                    </w:rPr>
                  </w:pPr>
                  <w:r>
                    <w:rPr>
                      <w:szCs w:val="21"/>
                    </w:rPr>
                    <w:t>普适性清单管控要求</w:t>
                  </w:r>
                </w:p>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禁止开发建设活动的要求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限制开发建设活动的要求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不符合空间布局要求活动的退出要求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其他空间布局约束要求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允许排放量要求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现有源提标升级改造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其他污染物排放管控要求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联防联控要求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其他环境风险防控要求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水资源利用总量要求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地下水开采要求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能源利用总量及效率要求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禁燃区要求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其他资源利用效率要求</w:t>
                  </w:r>
                </w:p>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restart"/>
                  <w:tcBorders>
                    <w:tl2br w:val="nil"/>
                    <w:tr2bl w:val="nil"/>
                  </w:tcBorders>
                  <w:shd w:val="clear" w:color="auto" w:fill="auto"/>
                  <w:vAlign w:val="center"/>
                </w:tcPr>
                <w:p>
                  <w:pPr>
                    <w:rPr>
                      <w:szCs w:val="21"/>
                    </w:rPr>
                  </w:pPr>
                  <w:r>
                    <w:rPr>
                      <w:szCs w:val="21"/>
                    </w:rPr>
                    <w:t>单元级清单管控要求</w:t>
                  </w: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72"/>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禁止开发建设活动的要求</w:t>
                  </w:r>
                </w:p>
                <w:p>
                  <w:pPr>
                    <w:pStyle w:val="372"/>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限制开发建设活动的要求</w:t>
                  </w:r>
                </w:p>
                <w:p>
                  <w:pPr>
                    <w:pStyle w:val="372"/>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允许开发建设活动的要求</w:t>
                  </w:r>
                </w:p>
                <w:p>
                  <w:pPr>
                    <w:pStyle w:val="372"/>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不符合空间布局要求活动的退出要求</w:t>
                  </w:r>
                </w:p>
                <w:p>
                  <w:pPr>
                    <w:pStyle w:val="372"/>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其他空间布局约束要求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本项目符合相关规划，不属于上述禁止、限制类建设项目</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城镇污水污染控制措施要求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工业废水污染控制措施要求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农业面源水污染控制措施要求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船舶港口水污染控制措施要求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饮用水水源和其它特殊水体保护要求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大气环境质量执行标准</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《环境空气质量标准》（GB3095-2012）：二级</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区域大气污染物削减/替代要求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新增大气污染物排放的建设项目实施总量削减替代。</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燃煤和其他能源大气污染控制要求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工业废气污染控制要求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机动车船大气污染控制要求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扬尘污染控制要求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农业生产经营活动大气污染控制要求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重点行业企业专项治理要求</w:t>
                  </w:r>
                </w:p>
                <w:p>
                  <w:pPr>
                    <w:pStyle w:val="372"/>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其他大气污染物排放管控要求</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项目废水交由相关资质单位处置，废气污染物产生较小，项目施工时间短，施工结束后噪声影响消失，因此符合污染物排放管控。</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rPr>
                      <w:szCs w:val="21"/>
                    </w:rPr>
                  </w:pPr>
                </w:p>
              </w:tc>
              <w:tc>
                <w:tcPr>
                  <w:tcW w:w="934" w:type="dxa"/>
                  <w:vMerge w:val="continue"/>
                  <w:tcBorders>
                    <w:tl2br w:val="nil"/>
                    <w:tr2bl w:val="nil"/>
                  </w:tcBorders>
                  <w:shd w:val="clear" w:color="auto" w:fill="auto"/>
                  <w:vAlign w:val="center"/>
                </w:tcPr>
                <w:p>
                  <w:pPr>
                    <w:rPr>
                      <w:szCs w:val="21"/>
                    </w:rPr>
                  </w:pPr>
                </w:p>
              </w:tc>
              <w:tc>
                <w:tcPr>
                  <w:tcW w:w="1072"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2139" w:type="dxa"/>
                  <w:tcBorders>
                    <w:tl2br w:val="nil"/>
                    <w:tr2bl w:val="nil"/>
                  </w:tcBorders>
                  <w:shd w:val="clear" w:color="auto" w:fill="auto"/>
                  <w:vAlign w:val="center"/>
                </w:tcPr>
                <w:p>
                  <w:pPr>
                    <w:pStyle w:val="38"/>
                    <w:widowControl w:val="0"/>
                    <w:spacing w:before="0" w:beforeAutospacing="0" w:after="0" w:afterAutospacing="0"/>
                    <w:jc w:val="both"/>
                    <w:rPr>
                      <w:rFonts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pPr>
                    <w:rPr>
                      <w:szCs w:val="21"/>
                      <w:lang w:bidi="ar"/>
                    </w:rPr>
                  </w:pPr>
                  <w:r>
                    <w:rPr>
                      <w:rFonts w:hint="eastAsia"/>
                      <w:szCs w:val="21"/>
                      <w:lang w:bidi="ar"/>
                    </w:rPr>
                    <w:t>符合</w:t>
                  </w:r>
                </w:p>
              </w:tc>
            </w:tr>
          </w:tbl>
          <w:p>
            <w:pPr>
              <w:pStyle w:val="344"/>
              <w:ind w:firstLine="420"/>
              <w:rPr>
                <w:rFonts w:eastAsia="黑体"/>
                <w:snapToGrid w:val="0"/>
                <w:sz w:val="21"/>
                <w:szCs w:val="21"/>
              </w:rPr>
            </w:pPr>
          </w:p>
          <w:p>
            <w:pPr>
              <w:pStyle w:val="344"/>
              <w:ind w:firstLine="420"/>
              <w:rPr>
                <w:rFonts w:eastAsia="黑体"/>
                <w:snapToGrid w:val="0"/>
                <w:sz w:val="21"/>
                <w:szCs w:val="21"/>
              </w:rPr>
            </w:pPr>
            <w:r>
              <w:rPr>
                <w:sz w:val="21"/>
                <w:szCs w:val="21"/>
              </w:rPr>
              <w:t>综上，项目符合</w:t>
            </w:r>
            <w:r>
              <w:rPr>
                <w:rFonts w:hint="eastAsia"/>
                <w:sz w:val="21"/>
                <w:szCs w:val="21"/>
                <w:lang w:val="en-US" w:eastAsia="zh-CN"/>
              </w:rPr>
              <w:t>达州市</w:t>
            </w:r>
            <w:r>
              <w:rPr>
                <w:sz w:val="21"/>
                <w:szCs w:val="21"/>
              </w:rPr>
              <w:t>“三线一单”管控要求。</w:t>
            </w:r>
          </w:p>
        </w:tc>
      </w:tr>
    </w:tbl>
    <w:p>
      <w:pPr>
        <w:pStyle w:val="38"/>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38"/>
              <w:jc w:val="center"/>
              <w:outlineLvl w:val="0"/>
              <w:rPr>
                <w:rFonts w:ascii="Times New Roman" w:hAnsi="Times New Roman" w:eastAsia="黑体"/>
                <w:snapToGrid w:val="0"/>
                <w:sz w:val="21"/>
                <w:szCs w:val="21"/>
                <w:vertAlign w:val="baseline"/>
              </w:rPr>
            </w:pPr>
            <w:r>
              <w:rPr>
                <w:rFonts w:ascii="Times New Roman" w:hAnsi="Times New Roman" w:eastAsia="黑体"/>
                <w:snapToGrid w:val="0"/>
                <w:sz w:val="21"/>
                <w:szCs w:val="21"/>
                <w:vertAlign w:val="baseline"/>
              </w:rPr>
              <w:t>其他符合性分析</w:t>
            </w:r>
          </w:p>
        </w:tc>
        <w:tc>
          <w:tcPr>
            <w:tcW w:w="7812" w:type="dxa"/>
          </w:tcPr>
          <w:p>
            <w:pPr>
              <w:pStyle w:val="38"/>
              <w:numPr>
                <w:ilvl w:val="1"/>
                <w:numId w:val="3"/>
              </w:numPr>
              <w:spacing w:before="0" w:beforeLines="0" w:beforeAutospacing="0" w:after="0" w:afterLines="0" w:afterAutospacing="0" w:line="360" w:lineRule="auto"/>
              <w:ind w:left="0" w:firstLine="0"/>
              <w:rPr>
                <w:rFonts w:hint="eastAsia" w:cs="宋体"/>
                <w:b/>
                <w:sz w:val="24"/>
                <w:szCs w:val="24"/>
                <w:lang w:bidi="ar"/>
              </w:rPr>
            </w:pPr>
            <w:r>
              <w:rPr>
                <w:rFonts w:hint="eastAsia" w:cs="宋体"/>
                <w:b/>
                <w:sz w:val="24"/>
                <w:szCs w:val="24"/>
                <w:lang w:bidi="ar"/>
              </w:rPr>
              <w:t>与产业政策符合性分析</w:t>
            </w:r>
          </w:p>
          <w:p>
            <w:pPr>
              <w:spacing w:beforeLines="0" w:afterLines="0" w:line="360" w:lineRule="auto"/>
              <w:ind w:firstLine="480" w:firstLineChars="200"/>
              <w:rPr>
                <w:rFonts w:hint="default"/>
                <w:sz w:val="24"/>
                <w:szCs w:val="24"/>
              </w:rPr>
            </w:pPr>
            <w:r>
              <w:rPr>
                <w:rFonts w:hint="eastAsia"/>
                <w:sz w:val="24"/>
                <w:szCs w:val="24"/>
              </w:rPr>
              <w:t>项目属于陆地矿产资源地质勘查（油气资源勘探），根据《产业结构调整指导目录（2019年本）》的有关规定，项目属于第一类“鼓励类”第七条“石油类、天然气”第二款“页岩气、页岩油、致密油、油砂、天然气水合物等非常规资源勘探开发”，因此，符合国家有关产业政策。</w:t>
            </w:r>
          </w:p>
          <w:p>
            <w:pPr>
              <w:pStyle w:val="38"/>
              <w:numPr>
                <w:ilvl w:val="1"/>
                <w:numId w:val="3"/>
              </w:numPr>
              <w:spacing w:before="0" w:beforeLines="0" w:beforeAutospacing="0" w:after="0" w:afterLines="0" w:afterAutospacing="0" w:line="360" w:lineRule="auto"/>
              <w:ind w:left="0" w:firstLine="0"/>
              <w:rPr>
                <w:rFonts w:hint="eastAsia" w:cs="宋体"/>
                <w:b/>
                <w:sz w:val="24"/>
                <w:szCs w:val="24"/>
                <w:lang w:bidi="ar"/>
              </w:rPr>
            </w:pPr>
            <w:r>
              <w:rPr>
                <w:rFonts w:hint="eastAsia" w:cs="宋体"/>
                <w:b/>
                <w:sz w:val="24"/>
                <w:szCs w:val="24"/>
                <w:lang w:bidi="ar"/>
              </w:rPr>
              <w:t>与《四川省“十四五”能源发展规划》符合性分析</w:t>
            </w:r>
          </w:p>
          <w:p>
            <w:pPr>
              <w:autoSpaceDE w:val="0"/>
              <w:autoSpaceDN w:val="0"/>
              <w:adjustRightInd w:val="0"/>
              <w:snapToGrid w:val="0"/>
              <w:spacing w:beforeLines="0" w:afterLines="0" w:line="360" w:lineRule="auto"/>
              <w:ind w:firstLine="480" w:firstLineChars="200"/>
              <w:rPr>
                <w:rFonts w:hint="default"/>
                <w:kern w:val="0"/>
                <w:sz w:val="24"/>
                <w:szCs w:val="24"/>
              </w:rPr>
            </w:pPr>
            <w:r>
              <w:rPr>
                <w:rFonts w:hint="eastAsia"/>
                <w:kern w:val="0"/>
                <w:sz w:val="24"/>
                <w:szCs w:val="24"/>
              </w:rPr>
              <w:t>根据《四川省“十四五”能源发展规划》中“第五章加快天然气勘探开发利用中第一节，建设千亿立方米级产能基地”中“大力推进天然气（页岩气）勘探开发，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pPr>
              <w:autoSpaceDE w:val="0"/>
              <w:autoSpaceDN w:val="0"/>
              <w:adjustRightInd w:val="0"/>
              <w:snapToGrid w:val="0"/>
              <w:spacing w:beforeLines="0" w:afterLines="0" w:line="360" w:lineRule="auto"/>
              <w:ind w:firstLine="480" w:firstLineChars="200"/>
              <w:rPr>
                <w:rFonts w:hint="default"/>
                <w:kern w:val="0"/>
                <w:sz w:val="24"/>
                <w:szCs w:val="24"/>
              </w:rPr>
            </w:pPr>
            <w:r>
              <w:rPr>
                <w:rFonts w:hint="eastAsia"/>
                <w:kern w:val="0"/>
                <w:sz w:val="24"/>
                <w:szCs w:val="24"/>
              </w:rPr>
              <w:t>本项目属于陆地矿产资源地质勘查（含油气资源勘探），属于川东北高含硫气田，项目建成后有利于加快川东北天然气建设。因此，本项目符合《四川省“十四五”能源发展规划》。</w:t>
            </w:r>
          </w:p>
          <w:p>
            <w:pPr>
              <w:pStyle w:val="38"/>
              <w:numPr>
                <w:ilvl w:val="1"/>
                <w:numId w:val="3"/>
              </w:numPr>
              <w:spacing w:before="0" w:beforeLines="0" w:beforeAutospacing="0" w:after="0" w:afterLines="0" w:afterAutospacing="0" w:line="360" w:lineRule="auto"/>
              <w:ind w:left="0" w:firstLine="0"/>
              <w:rPr>
                <w:rFonts w:hint="eastAsia" w:cs="宋体"/>
                <w:b/>
                <w:sz w:val="24"/>
                <w:szCs w:val="24"/>
                <w:lang w:bidi="ar"/>
              </w:rPr>
            </w:pPr>
            <w:r>
              <w:rPr>
                <w:rFonts w:hint="eastAsia" w:cs="宋体"/>
                <w:b/>
                <w:sz w:val="24"/>
                <w:szCs w:val="24"/>
                <w:lang w:bidi="ar"/>
              </w:rPr>
              <w:t>与城乡规划的符合性分析</w:t>
            </w:r>
          </w:p>
          <w:p>
            <w:pPr>
              <w:pStyle w:val="340"/>
              <w:spacing w:beforeLines="0" w:afterLines="0"/>
              <w:ind w:firstLine="480"/>
              <w:rPr>
                <w:rFonts w:hint="default"/>
                <w:sz w:val="24"/>
                <w:szCs w:val="24"/>
              </w:rPr>
            </w:pPr>
            <w:r>
              <w:rPr>
                <w:rFonts w:hint="eastAsia"/>
                <w:sz w:val="24"/>
                <w:szCs w:val="24"/>
              </w:rPr>
              <w:t>本工程位于四川省达州市宣汉县大成镇大地村1组，项目区域属于农村地区，本项目</w:t>
            </w:r>
            <w:r>
              <w:rPr>
                <w:rFonts w:hint="eastAsia"/>
                <w:sz w:val="24"/>
                <w:szCs w:val="24"/>
                <w:lang w:val="en-US" w:eastAsia="zh-CN"/>
              </w:rPr>
              <w:t>井场</w:t>
            </w:r>
            <w:r>
              <w:rPr>
                <w:rFonts w:hint="eastAsia"/>
                <w:sz w:val="24"/>
                <w:szCs w:val="24"/>
              </w:rPr>
              <w:t>依托原铁北1井建设，新增</w:t>
            </w:r>
            <w:r>
              <w:rPr>
                <w:rFonts w:hint="eastAsia"/>
                <w:sz w:val="24"/>
                <w:szCs w:val="24"/>
                <w:lang w:val="en-US" w:eastAsia="zh-CN"/>
              </w:rPr>
              <w:t>部分</w:t>
            </w:r>
            <w:r>
              <w:rPr>
                <w:rFonts w:hint="eastAsia"/>
                <w:sz w:val="24"/>
                <w:szCs w:val="24"/>
              </w:rPr>
              <w:t>占地，</w:t>
            </w:r>
            <w:r>
              <w:rPr>
                <w:rFonts w:hint="eastAsia"/>
                <w:sz w:val="24"/>
                <w:szCs w:val="24"/>
                <w:lang w:val="en-US" w:eastAsia="zh-CN"/>
              </w:rPr>
              <w:t>新增占地面积8589m</w:t>
            </w:r>
            <w:r>
              <w:rPr>
                <w:rFonts w:hint="eastAsia"/>
                <w:sz w:val="24"/>
                <w:szCs w:val="24"/>
                <w:vertAlign w:val="superscript"/>
                <w:lang w:val="en-US" w:eastAsia="zh-CN"/>
              </w:rPr>
              <w:t>2</w:t>
            </w:r>
            <w:r>
              <w:rPr>
                <w:rFonts w:hint="eastAsia"/>
                <w:sz w:val="24"/>
                <w:szCs w:val="24"/>
                <w:lang w:val="en-US" w:eastAsia="zh-CN"/>
              </w:rPr>
              <w:t>，为</w:t>
            </w:r>
            <w:r>
              <w:rPr>
                <w:rFonts w:hint="eastAsia"/>
                <w:sz w:val="24"/>
                <w:szCs w:val="24"/>
              </w:rPr>
              <w:t>根据三区三线复核结果，项目选址不在宣汉县大成镇场镇规划建设用地范围内，本项目将重新办理相关用地手续</w:t>
            </w:r>
            <w:r>
              <w:rPr>
                <w:rFonts w:hint="eastAsia"/>
                <w:sz w:val="21"/>
                <w:szCs w:val="28"/>
              </w:rPr>
              <w:t>，</w:t>
            </w:r>
            <w:r>
              <w:rPr>
                <w:rFonts w:hint="eastAsia"/>
                <w:sz w:val="24"/>
                <w:szCs w:val="24"/>
              </w:rPr>
              <w:t>项目实施不影响城乡建设。</w:t>
            </w:r>
          </w:p>
          <w:p>
            <w:pPr>
              <w:pStyle w:val="38"/>
              <w:numPr>
                <w:ilvl w:val="1"/>
                <w:numId w:val="3"/>
              </w:numPr>
              <w:spacing w:before="0" w:beforeLines="0" w:beforeAutospacing="0" w:after="0" w:afterLines="0" w:afterAutospacing="0" w:line="360" w:lineRule="auto"/>
              <w:ind w:left="0" w:firstLine="0"/>
              <w:rPr>
                <w:rFonts w:hint="eastAsia" w:cs="宋体"/>
                <w:b/>
                <w:sz w:val="24"/>
                <w:szCs w:val="24"/>
                <w:lang w:bidi="ar"/>
              </w:rPr>
            </w:pPr>
            <w:r>
              <w:rPr>
                <w:rFonts w:hint="eastAsia" w:cs="宋体"/>
                <w:b/>
                <w:sz w:val="24"/>
                <w:szCs w:val="24"/>
                <w:lang w:bidi="ar"/>
              </w:rPr>
              <w:t>与《石油天然气开采业污染防治技术政策》的符合性</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表1-3 </w:t>
            </w:r>
            <w:r>
              <w:rPr>
                <w:rFonts w:hint="eastAsia"/>
                <w:b/>
                <w:sz w:val="24"/>
                <w:szCs w:val="24"/>
              </w:rPr>
              <w:t>与《石油天然气开采业污染防治技术政策》对比分析表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3342"/>
              <w:gridCol w:w="2743"/>
              <w:gridCol w:w="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rPr>
                    <w:t>序号</w:t>
                  </w:r>
                </w:p>
              </w:tc>
              <w:tc>
                <w:tcPr>
                  <w:tcW w:w="3342"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rPr>
                    <w:t>技术政策要求</w:t>
                  </w:r>
                </w:p>
              </w:tc>
              <w:tc>
                <w:tcPr>
                  <w:tcW w:w="2743"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rPr>
                    <w:t>本工程内容</w:t>
                  </w:r>
                </w:p>
              </w:tc>
              <w:tc>
                <w:tcPr>
                  <w:tcW w:w="668"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rPr>
                    <w:t>一</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rPr>
                    <w:t>清洁生产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default"/>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油气田建设应总体规划，优化布局，整体开发，减少占地和油气损失，实现油气和废物的集中收集、处理处置。</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本项目属于陆地矿产资源地质勘查（含油气资源勘探），占地较少，废水、固废收集后集中交由有资质且具有处置能力的单位处置。</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油气田开发不得使用含有国际公约禁用化学物质的油气田化学剂，逐步淘汰微毒及以上油气田化学剂，鼓励使用无毒油气田化学剂。</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sz w:val="21"/>
                      <w:szCs w:val="21"/>
                    </w:rPr>
                  </w:pPr>
                  <w:r>
                    <w:rPr>
                      <w:rFonts w:hint="eastAsia"/>
                      <w:sz w:val="21"/>
                      <w:szCs w:val="21"/>
                    </w:rPr>
                    <w:t>本项目无国际公约禁用化学物质，主要使用化学物质为防塌润滑剂、聚丙烯酰胺钾盐、重晶石粉等，钻井液不属于聚磺体系，符合要求。</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default"/>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在油气勘探过程中，宜使用环保型炸药和可控震源，应采取防渗等措施预防燃料泄漏对环境的污染。</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本项目无需炸药，油罐区设置地面硬化防渗、围堰，井场场内建设排水沟及4个隔油池，可预防柴油泄漏。</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在钻井过程中，鼓励采用环境友好的钻井液体系；配备完善的固控设备，钻井液循环率达到95%以上；钻井过程产生的废水应回用。</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本项目采用水基钻井+油基钻井方式钻井，钻井过程中钻井液循环使用，钻井废水处理回用，符合要求。</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default"/>
                      <w:sz w:val="21"/>
                      <w:szCs w:val="21"/>
                      <w:lang w:bidi="ar"/>
                    </w:rPr>
                    <w:t>5</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rPr>
                    <w:t>本项目压裂液运输到现场集中配置，现场采取了防漏、防溢措施，全部外运处理。</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lang w:bidi="ar"/>
                    </w:rPr>
                    <w:t>二</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lang w:bidi="ar"/>
                    </w:rPr>
                    <w:t>生态保护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rPr>
                    <w:t>压裂完成后测试天然气采用撬装装置回收利用，不进行</w:t>
                  </w:r>
                  <w:r>
                    <w:rPr>
                      <w:rFonts w:hint="eastAsia"/>
                      <w:sz w:val="21"/>
                      <w:szCs w:val="21"/>
                      <w:lang w:bidi="ar"/>
                    </w:rPr>
                    <w:t>放喷燃烧。</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lang w:bidi="ar"/>
                    </w:rPr>
                    <w:t>三</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lang w:bidi="ar"/>
                    </w:rPr>
                    <w:t>污染治理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1"/>
                    <w:spacing w:beforeLines="0" w:afterLines="0"/>
                    <w:rPr>
                      <w:rFonts w:hint="default"/>
                      <w:b/>
                      <w:sz w:val="21"/>
                      <w:szCs w:val="21"/>
                      <w:lang w:bidi="ar"/>
                    </w:rPr>
                  </w:pPr>
                  <w:r>
                    <w:rPr>
                      <w:rFonts w:hint="eastAsia"/>
                      <w:sz w:val="21"/>
                      <w:szCs w:val="21"/>
                    </w:rPr>
                    <w:t>本项目钻井期间剩余钻井废水、洗井废水、压裂返排液用密闭罐车定期拉运至大湾403污水站处理达标后管输至毛开1井回注站回注。</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default"/>
                      <w:sz w:val="21"/>
                      <w:szCs w:val="21"/>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rPr>
                  </w:pPr>
                  <w:r>
                    <w:rPr>
                      <w:rFonts w:hint="eastAsia"/>
                      <w:sz w:val="21"/>
                      <w:szCs w:val="21"/>
                      <w:lang w:bidi="ar"/>
                    </w:rPr>
                    <w:t>固体废物收集、贮存、处理处置设施应按照标准要求采取防渗措施。试油（气）后应立即封闭废弃钻井液贮池。</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1"/>
                    <w:spacing w:beforeLines="0" w:afterLines="0"/>
                    <w:rPr>
                      <w:rFonts w:hint="default"/>
                      <w:sz w:val="21"/>
                      <w:szCs w:val="21"/>
                    </w:rPr>
                  </w:pPr>
                  <w:r>
                    <w:rPr>
                      <w:rFonts w:hint="eastAsia"/>
                      <w:sz w:val="21"/>
                      <w:szCs w:val="21"/>
                    </w:rPr>
                    <w:t>钻井过程中按相关要求进行固废收集、贮存和处理。完井后对清洁生产操作平台、废水池清理后封闭。</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default"/>
                      <w:b/>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41"/>
                    <w:spacing w:beforeLines="0" w:afterLines="0"/>
                    <w:rPr>
                      <w:rFonts w:hint="default"/>
                      <w:b/>
                      <w:sz w:val="21"/>
                      <w:szCs w:val="21"/>
                      <w:lang w:bidi="ar"/>
                    </w:rPr>
                  </w:pPr>
                  <w:r>
                    <w:rPr>
                      <w:rFonts w:hint="eastAsia"/>
                      <w:sz w:val="21"/>
                      <w:szCs w:val="21"/>
                    </w:rPr>
                    <w:t>本工程在井口及易产生油污的生产设施底部进行防渗处理，收集可能产生的废润滑油，完钻后统一收集交有资质单位处置。</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default"/>
                      <w:b/>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对受到油污染的土壤宜采取生物或物化方法进行修复。</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废润滑油很少，通过采取防渗措施，总体不会造成土壤的油污染。</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b/>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b/>
                      <w:sz w:val="21"/>
                      <w:szCs w:val="21"/>
                      <w:lang w:bidi="ar"/>
                    </w:rPr>
                  </w:pPr>
                  <w:r>
                    <w:rPr>
                      <w:rFonts w:hint="eastAsia"/>
                      <w:b/>
                      <w:sz w:val="21"/>
                      <w:szCs w:val="21"/>
                      <w:lang w:bidi="ar"/>
                    </w:rPr>
                    <w:t>四</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b/>
                      <w:sz w:val="21"/>
                      <w:szCs w:val="21"/>
                      <w:lang w:bidi="ar"/>
                    </w:rPr>
                    <w:t>运行风险和环境管理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rPr>
                    <w:t>1</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油气田企业应制定环境保护管理规定，建立并运行健康、安全与环境管理体系。</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建设单位制定有完善的环境保护管理规定，并建立运行健康、安全与环境管理体系。</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加强油气田建设、开发过程的环境监督管理。</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建设单位制定有完善的环境监督管理</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在开发过程中，企业应加强油气井套管的检测和维护，防止油气泄漏污染地下水。</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建设单位制定有完善的套管监测维护计划和制度，防止天然气泄漏污染地下水。</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油气田企业应建立环境保护人员培训制度，环境监测人员、统计人员、污染治理设施操作人员应经培训合格后上岗。</w:t>
                  </w:r>
                </w:p>
              </w:tc>
              <w:tc>
                <w:tcPr>
                  <w:tcW w:w="27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建设单位设置有专门的环境管理部门，并制定有完善的环境管理制度和培训制度。</w:t>
                  </w:r>
                </w:p>
              </w:tc>
              <w:tc>
                <w:tcPr>
                  <w:tcW w:w="668"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default"/>
                      <w:sz w:val="21"/>
                      <w:szCs w:val="21"/>
                      <w:lang w:bidi="ar"/>
                    </w:rPr>
                    <w:t>5</w:t>
                  </w:r>
                </w:p>
              </w:tc>
              <w:tc>
                <w:tcPr>
                  <w:tcW w:w="3342"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743"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建设单位设置有突发环境事件应急预案，并定期举行演练。在井场周边设置有事故监测点，实时监测危险因子。</w:t>
                  </w:r>
                </w:p>
              </w:tc>
              <w:tc>
                <w:tcPr>
                  <w:tcW w:w="668"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1"/>
                    <w:spacing w:beforeLines="0" w:afterLines="0"/>
                    <w:rPr>
                      <w:rFonts w:hint="default"/>
                      <w:sz w:val="21"/>
                      <w:szCs w:val="21"/>
                      <w:lang w:bidi="ar"/>
                    </w:rPr>
                  </w:pPr>
                  <w:r>
                    <w:rPr>
                      <w:rFonts w:hint="eastAsia"/>
                      <w:sz w:val="21"/>
                      <w:szCs w:val="21"/>
                      <w:lang w:bidi="ar"/>
                    </w:rPr>
                    <w:t>符合</w:t>
                  </w:r>
                </w:p>
              </w:tc>
            </w:tr>
          </w:tbl>
          <w:p>
            <w:pPr>
              <w:pStyle w:val="340"/>
              <w:spacing w:beforeLines="0" w:afterLines="0"/>
              <w:ind w:firstLine="480"/>
              <w:rPr>
                <w:rFonts w:hint="default"/>
                <w:sz w:val="24"/>
                <w:szCs w:val="24"/>
              </w:rPr>
            </w:pPr>
            <w:r>
              <w:rPr>
                <w:rFonts w:hint="eastAsia"/>
                <w:sz w:val="24"/>
                <w:szCs w:val="24"/>
              </w:rPr>
              <w:t>通过与《石油天然气开采业污染防治技术政策》中清洁生产、生态保护、污染治理、运行风险和环境管理内容进行对比分析，本项目的建设符合《石油天然气开采业污染防治技术政策》要求。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与《中共四川省委关于制定</w:t>
            </w:r>
            <w:r>
              <w:rPr>
                <w:rFonts w:hint="eastAsia" w:cs="宋体"/>
                <w:b/>
                <w:sz w:val="24"/>
                <w:szCs w:val="24"/>
                <w:lang w:bidi="ar"/>
              </w:rPr>
              <w:t>四川省</w:t>
            </w:r>
            <w:r>
              <w:rPr>
                <w:rFonts w:hint="eastAsia" w:ascii="Times New Roman" w:hAnsi="Times New Roman"/>
                <w:b/>
                <w:sz w:val="24"/>
                <w:szCs w:val="24"/>
              </w:rPr>
              <w:t>国民经济和社会发展第十四个五年规划和二〇三五年远景目标的建议》的符合性</w:t>
            </w:r>
          </w:p>
          <w:p>
            <w:pPr>
              <w:pStyle w:val="340"/>
              <w:spacing w:beforeLines="0" w:afterLines="0"/>
              <w:ind w:firstLine="480"/>
              <w:rPr>
                <w:rFonts w:hint="default"/>
                <w:sz w:val="24"/>
                <w:szCs w:val="24"/>
              </w:rPr>
            </w:pPr>
            <w:r>
              <w:rPr>
                <w:rFonts w:hint="eastAsia"/>
                <w:sz w:val="24"/>
                <w:szCs w:val="24"/>
              </w:rPr>
              <w:t>《中共四川省委关于制定四川省国民经济和社会发展第十四个五年规划和二〇三五年远景目标的建议》中指出，“统筹能源水利基础设施建设。建设中国“气大庆”、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与《关于做好占用</w:t>
            </w:r>
            <w:r>
              <w:rPr>
                <w:rFonts w:hint="eastAsia" w:cs="宋体"/>
                <w:b/>
                <w:sz w:val="24"/>
                <w:szCs w:val="24"/>
                <w:lang w:bidi="ar"/>
              </w:rPr>
              <w:t>永久</w:t>
            </w:r>
            <w:r>
              <w:rPr>
                <w:rFonts w:hint="eastAsia" w:ascii="Times New Roman" w:hAnsi="Times New Roman"/>
                <w:b/>
                <w:sz w:val="24"/>
                <w:szCs w:val="24"/>
              </w:rPr>
              <w:t>基本农田重大建设项目用地预审的通知》（自然资规〔2018〕3号）符合性分析</w:t>
            </w:r>
          </w:p>
          <w:p>
            <w:pPr>
              <w:pStyle w:val="340"/>
              <w:spacing w:beforeLines="0" w:afterLines="0"/>
              <w:ind w:firstLine="480"/>
              <w:rPr>
                <w:rFonts w:hint="default"/>
                <w:sz w:val="24"/>
                <w:szCs w:val="24"/>
              </w:rPr>
            </w:pPr>
            <w:r>
              <w:rPr>
                <w:rFonts w:hint="eastAsia"/>
                <w:sz w:val="24"/>
                <w:szCs w:val="24"/>
              </w:rPr>
              <w:t>根据《关于做好占用永久基本农田重大建设项目用地预审的通知》（自然资规〔2018〕3号）中明确“国家级规划明确的且符合国家产业政策的能源开采、油气管线、水电、核电项目”经批准可以占用永久基本农田。</w:t>
            </w:r>
          </w:p>
          <w:p>
            <w:pPr>
              <w:pStyle w:val="340"/>
              <w:spacing w:beforeLines="0" w:afterLines="0"/>
              <w:ind w:firstLine="480"/>
              <w:rPr>
                <w:rFonts w:hint="default"/>
                <w:sz w:val="24"/>
                <w:szCs w:val="24"/>
              </w:rPr>
            </w:pPr>
            <w:r>
              <w:rPr>
                <w:rFonts w:hint="eastAsia"/>
                <w:sz w:val="24"/>
                <w:szCs w:val="24"/>
              </w:rPr>
              <w:t>拟建项目为陆地矿产资源地质勘查（含油气资源勘探），符合国家产业政策及</w:t>
            </w:r>
            <w:r>
              <w:rPr>
                <w:rFonts w:hint="eastAsia"/>
                <w:kern w:val="0"/>
                <w:sz w:val="24"/>
                <w:szCs w:val="24"/>
              </w:rPr>
              <w:t>《四川省“十四五”能源发展规划》</w:t>
            </w:r>
            <w:r>
              <w:rPr>
                <w:rFonts w:hint="eastAsia"/>
                <w:sz w:val="24"/>
                <w:szCs w:val="24"/>
              </w:rPr>
              <w:t>，属于（自然资规〔2018〕3号）中明确的“符合国家产业政策的能源开采”范畴，本项目</w:t>
            </w:r>
            <w:r>
              <w:rPr>
                <w:rFonts w:hint="eastAsia"/>
                <w:sz w:val="24"/>
                <w:szCs w:val="24"/>
                <w:lang w:val="en-US" w:eastAsia="zh-CN"/>
              </w:rPr>
              <w:t>主要依托原铁北1井已建井场并</w:t>
            </w:r>
            <w:r>
              <w:rPr>
                <w:rFonts w:hint="eastAsia"/>
                <w:sz w:val="24"/>
                <w:szCs w:val="24"/>
              </w:rPr>
              <w:t>新增</w:t>
            </w:r>
            <w:r>
              <w:rPr>
                <w:rFonts w:hint="eastAsia"/>
                <w:sz w:val="24"/>
                <w:szCs w:val="24"/>
                <w:lang w:val="en-US" w:eastAsia="zh-CN"/>
              </w:rPr>
              <w:t>部分</w:t>
            </w:r>
            <w:r>
              <w:rPr>
                <w:rFonts w:hint="eastAsia"/>
                <w:sz w:val="24"/>
                <w:szCs w:val="24"/>
              </w:rPr>
              <w:t>临时占地，</w:t>
            </w:r>
            <w:r>
              <w:rPr>
                <w:rFonts w:hint="eastAsia"/>
                <w:sz w:val="24"/>
                <w:szCs w:val="24"/>
                <w:lang w:val="en-US" w:eastAsia="zh-CN"/>
              </w:rPr>
              <w:t>目前</w:t>
            </w:r>
            <w:r>
              <w:rPr>
                <w:rFonts w:hint="eastAsia"/>
                <w:sz w:val="24"/>
                <w:szCs w:val="24"/>
              </w:rPr>
              <w:t>建设单位按照相关要求正</w:t>
            </w:r>
            <w:r>
              <w:rPr>
                <w:rFonts w:hint="eastAsia"/>
                <w:sz w:val="24"/>
                <w:szCs w:val="24"/>
                <w:lang w:val="en-US" w:eastAsia="zh-CN"/>
              </w:rPr>
              <w:t>完善</w:t>
            </w:r>
            <w:r>
              <w:rPr>
                <w:rFonts w:hint="eastAsia"/>
                <w:sz w:val="24"/>
                <w:szCs w:val="24"/>
              </w:rPr>
              <w:t>相关用地手续，因此符合相关要求。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与《自然资源部农业农村部关于加强和改进永久基本农田保护工作的通知》（自然资规〔2019〕1号）符合性分析</w:t>
            </w:r>
          </w:p>
          <w:p>
            <w:pPr>
              <w:pStyle w:val="340"/>
              <w:spacing w:beforeLines="0" w:afterLines="0"/>
              <w:ind w:firstLine="480"/>
              <w:rPr>
                <w:rFonts w:hint="default"/>
                <w:sz w:val="24"/>
                <w:szCs w:val="24"/>
              </w:rPr>
            </w:pPr>
            <w:r>
              <w:rPr>
                <w:rFonts w:hint="eastAsia"/>
                <w:sz w:val="24"/>
                <w:szCs w:val="24"/>
              </w:rPr>
              <w:t>根据《两部关于加强和改进永久基本农田保护工作的通知》（自然资规〔2019〕1号）中相关规定，“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w:t>
            </w:r>
          </w:p>
          <w:p>
            <w:pPr>
              <w:pStyle w:val="340"/>
              <w:spacing w:beforeLines="0" w:afterLines="0"/>
              <w:ind w:firstLine="480"/>
              <w:rPr>
                <w:rFonts w:hint="default"/>
                <w:sz w:val="24"/>
                <w:szCs w:val="24"/>
              </w:rPr>
            </w:pPr>
            <w:r>
              <w:rPr>
                <w:rFonts w:hint="eastAsia"/>
                <w:sz w:val="24"/>
                <w:szCs w:val="24"/>
                <w:lang w:val="en-US" w:eastAsia="zh-CN"/>
              </w:rPr>
              <w:t>目前，</w:t>
            </w:r>
            <w:r>
              <w:rPr>
                <w:rFonts w:hint="eastAsia"/>
                <w:sz w:val="24"/>
                <w:szCs w:val="24"/>
              </w:rPr>
              <w:t>建设单位按照相关要求正在办理相关用地手续。待项目施工结束后按照复垦方案进行作业。综上，本工程符合《自然资源部农业农村部关于加强和改进永久基本农田保护工作的通知》（自然资规〔2019〕1号）的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与自然资源部关于规范临时用地管理的通知（自然资规〔2021〕2号）符合性分析</w:t>
            </w:r>
          </w:p>
          <w:p>
            <w:pPr>
              <w:pStyle w:val="340"/>
              <w:spacing w:beforeLines="0" w:afterLines="0"/>
              <w:ind w:firstLine="480"/>
              <w:rPr>
                <w:rFonts w:hint="default"/>
                <w:sz w:val="24"/>
                <w:szCs w:val="24"/>
              </w:rPr>
            </w:pPr>
            <w:r>
              <w:rPr>
                <w:rFonts w:hint="eastAsia"/>
                <w:sz w:val="24"/>
                <w:szCs w:val="24"/>
              </w:rPr>
              <w:t>根据《自然资源部关于规范临时用地管理的通知（自然资规〔2021〕2号）》中相关规定，“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建设周期较长的能源、交通、水利等基础设施建设项目施工使用的临时用地，期限不超过四年。建设单位按照相关要求正在办理相关用地手续，因此，本项目符合《自然资源部关于规范临时用地管理的通知（自然资规〔2021〕2号）》的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与《四川省自然资源厅关于进一步明确临时用地管理有关事项的通知》（川自然资规〔2022〕3号）符合性分析</w:t>
            </w:r>
          </w:p>
          <w:p>
            <w:pPr>
              <w:pStyle w:val="340"/>
              <w:spacing w:beforeLines="0" w:afterLines="0"/>
              <w:ind w:firstLine="480"/>
              <w:rPr>
                <w:rFonts w:hint="default"/>
                <w:sz w:val="24"/>
                <w:szCs w:val="24"/>
              </w:rPr>
            </w:pPr>
            <w:r>
              <w:rPr>
                <w:rFonts w:hint="eastAsia"/>
                <w:sz w:val="24"/>
                <w:szCs w:val="24"/>
              </w:rPr>
              <w:t>根据四川省自然资源厅发布的《四川省自然资源厅关于进一步明确临时用地管理有关事项的通知》（川自然资规〔2022〕3号）提出“二、进一步落实临时用地恢复责任。县级自然资源主管部门负责审查临时用地土地复垦方案，并在土地复垦义务人完成复垦工作后，会同农业农村等相关部门开展复垦验收”；“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项目选址以最大程度</w:t>
            </w:r>
            <w:r>
              <w:rPr>
                <w:rFonts w:hint="eastAsia"/>
                <w:sz w:val="24"/>
                <w:szCs w:val="24"/>
                <w:lang w:eastAsia="zh-CN"/>
              </w:rPr>
              <w:t>地</w:t>
            </w:r>
            <w:r>
              <w:rPr>
                <w:rFonts w:hint="eastAsia"/>
                <w:sz w:val="24"/>
                <w:szCs w:val="24"/>
              </w:rPr>
              <w:t>避让永久基本农田，但建设过程中不可避免的将临时占用部分基本</w:t>
            </w:r>
            <w:bookmarkStart w:id="56" w:name="_GoBack"/>
            <w:bookmarkEnd w:id="56"/>
            <w:r>
              <w:rPr>
                <w:rFonts w:hint="eastAsia"/>
                <w:sz w:val="24"/>
                <w:szCs w:val="24"/>
              </w:rPr>
              <w:t>农田，因此，建设单位临时用地土地复垦方案及临时用地踏勘报告目前同步编制过程中，按照相关要求正在办理相关用地手续，因此符合《四川省自然资源厅关于进一步明确临时用地管理有关事项的通知》（川自然资规〔2022〕3号）。</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w:t>
            </w:r>
            <w:bookmarkStart w:id="5" w:name="_Hlk103761627"/>
            <w:r>
              <w:rPr>
                <w:rFonts w:hint="eastAsia" w:ascii="Times New Roman" w:hAnsi="Times New Roman"/>
                <w:b/>
                <w:sz w:val="24"/>
                <w:szCs w:val="24"/>
              </w:rPr>
              <w:t>四川省嘉陵江流域生态环境保护条例</w:t>
            </w:r>
            <w:bookmarkEnd w:id="5"/>
            <w:r>
              <w:rPr>
                <w:rFonts w:hint="eastAsia" w:ascii="Times New Roman" w:hAnsi="Times New Roman"/>
                <w:b/>
                <w:sz w:val="24"/>
                <w:szCs w:val="24"/>
              </w:rPr>
              <w:t>》符合性分析</w:t>
            </w:r>
          </w:p>
          <w:p>
            <w:pPr>
              <w:pStyle w:val="340"/>
              <w:spacing w:beforeLines="0" w:afterLines="0"/>
              <w:ind w:firstLine="480"/>
              <w:rPr>
                <w:rFonts w:hint="default"/>
                <w:sz w:val="24"/>
                <w:szCs w:val="24"/>
              </w:rPr>
            </w:pPr>
            <w:r>
              <w:rPr>
                <w:rFonts w:hint="eastAsia"/>
                <w:sz w:val="24"/>
                <w:szCs w:val="24"/>
              </w:rPr>
              <w:t>根据《四川省水利厅关于印发四川省行政区域内嘉陵江流域范围划定成果的通知》，本项目位于嘉陵江流域，与《四川省嘉陵江流域生态环境保护条例》符合性分析如下。</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表1-4 </w:t>
            </w:r>
            <w:r>
              <w:rPr>
                <w:rFonts w:hint="eastAsia"/>
                <w:b/>
                <w:sz w:val="24"/>
                <w:szCs w:val="24"/>
              </w:rPr>
              <w:t>与《四川省嘉陵江流域生态环境保护条例》分析表</w:t>
            </w:r>
          </w:p>
          <w:tbl>
            <w:tblPr>
              <w:tblStyle w:val="44"/>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3693"/>
              <w:gridCol w:w="2599"/>
              <w:gridCol w:w="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序号</w:t>
                  </w:r>
                </w:p>
              </w:tc>
              <w:tc>
                <w:tcPr>
                  <w:tcW w:w="2525"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技术政策要求</w:t>
                  </w:r>
                </w:p>
              </w:tc>
              <w:tc>
                <w:tcPr>
                  <w:tcW w:w="1777"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sz w:val="21"/>
                      <w:szCs w:val="21"/>
                    </w:rPr>
                  </w:pPr>
                  <w:r>
                    <w:rPr>
                      <w:rFonts w:hint="default"/>
                      <w:kern w:val="0"/>
                      <w:sz w:val="21"/>
                      <w:szCs w:val="21"/>
                      <w:lang w:bidi="ar"/>
                    </w:rPr>
                    <w:t>1</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禁止在嘉陵江干支流岸线一公里范围内新建、扩建化工园区和化工项目。</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jc w:val="center"/>
                    <w:rPr>
                      <w:rFonts w:hint="default"/>
                      <w:sz w:val="21"/>
                      <w:szCs w:val="21"/>
                    </w:rPr>
                  </w:pPr>
                  <w:r>
                    <w:rPr>
                      <w:rFonts w:hint="eastAsia"/>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2</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排污单位排放污染物不得超过国家和省污染物排放标准，不得超过重点水污染物排放总量控制指标。</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jc w:val="center"/>
                    <w:rPr>
                      <w:rFonts w:hint="default"/>
                      <w:sz w:val="21"/>
                      <w:szCs w:val="21"/>
                    </w:rPr>
                  </w:pPr>
                  <w:r>
                    <w:rPr>
                      <w:rFonts w:hint="eastAsia"/>
                      <w:sz w:val="21"/>
                      <w:szCs w:val="21"/>
                    </w:rPr>
                    <w:t>本项目压裂返排液拟交由密闭罐车定期拉运至大湾403污水站处理达标后管输至毛开1井回注站回注。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3</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禁止向农用地排放重金属或者其他有毒有害物质含量超标的污水、污泥，以及可能造成土壤污染的清淤底泥、尾矿、矿渣等</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本项目钻井废水回用，压裂返排液不能回用时由密闭罐车定期拉运至大湾403污水站处理达标后管输至毛开1井回注站回注。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4</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5</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排污单位对污水进行预处理后向污水集中处理设施排放的，应当符合污水集中处理设施的接纳标准。</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本项目生产废水经现场预处理后由罐车运至密闭罐车定期拉运至大湾403污水站处理达标后管输至毛开1井回注站回注。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6</w:t>
                  </w:r>
                </w:p>
              </w:tc>
              <w:tc>
                <w:tcPr>
                  <w:tcW w:w="2525"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鼓励企业事业单位和其他生产经营者配套建设工业用水回收利用设施和中水回用管网设施，采取循环用水、综合利用以及废水处理回用等措施，提高水的重复利用率</w:t>
                  </w:r>
                </w:p>
              </w:tc>
              <w:tc>
                <w:tcPr>
                  <w:tcW w:w="1777"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本项目最终不能回用部分拟交由密闭罐车定期拉运至大湾403污水站处理达标后管输至毛开1井回注站回注。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1" w:type="pct"/>
                  <w:tcBorders>
                    <w:top w:val="single" w:color="auto" w:sz="4" w:space="0"/>
                    <w:left w:val="single" w:color="auto" w:sz="12"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7</w:t>
                  </w:r>
                </w:p>
              </w:tc>
              <w:tc>
                <w:tcPr>
                  <w:tcW w:w="2525"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限期禁止生产、销售、进口、使用、转让严重污染水环境的工艺和设备</w:t>
                  </w:r>
                </w:p>
              </w:tc>
              <w:tc>
                <w:tcPr>
                  <w:tcW w:w="1777"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bl>
          <w:p>
            <w:pPr>
              <w:pStyle w:val="340"/>
              <w:spacing w:beforeLines="0" w:afterLines="0"/>
              <w:ind w:firstLine="480"/>
              <w:rPr>
                <w:rFonts w:hint="default"/>
                <w:sz w:val="24"/>
                <w:szCs w:val="24"/>
              </w:rPr>
            </w:pPr>
            <w:r>
              <w:rPr>
                <w:rFonts w:hint="eastAsia"/>
                <w:sz w:val="24"/>
                <w:szCs w:val="24"/>
              </w:rPr>
              <w:t>综上所述，本项目为陆地矿产资源地质勘查（含油气资源勘探），项目产生的钻井废水回用，产生的压裂返排液不能回用时由密闭罐车定期拉运至大湾403污水站处理达标后管输至毛开1井回注站回注，不外排；生活污水经生态一体化厕所收集后运至大成镇污水处理厂处置。因此符合《四川省嘉陵江流域生态环境保护条例》政策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国务院办公厅《</w:t>
            </w:r>
            <w:r>
              <w:rPr>
                <w:rFonts w:hint="eastAsia" w:cs="宋体"/>
                <w:b/>
                <w:sz w:val="24"/>
                <w:szCs w:val="24"/>
                <w:lang w:bidi="ar"/>
              </w:rPr>
              <w:t>关于</w:t>
            </w:r>
            <w:r>
              <w:rPr>
                <w:rFonts w:hint="eastAsia" w:ascii="Times New Roman" w:hAnsi="Times New Roman"/>
                <w:b/>
                <w:sz w:val="24"/>
                <w:szCs w:val="24"/>
              </w:rPr>
              <w:t>坚决制止耕地“非农化”行为的通知》（国办发明电〔2020〕24号）符合性分析</w:t>
            </w:r>
          </w:p>
          <w:p>
            <w:pPr>
              <w:spacing w:beforeLines="0" w:afterLines="0" w:line="360" w:lineRule="auto"/>
              <w:ind w:firstLine="480"/>
              <w:rPr>
                <w:rFonts w:hint="default"/>
                <w:sz w:val="24"/>
                <w:szCs w:val="24"/>
              </w:rPr>
            </w:pPr>
            <w:r>
              <w:rPr>
                <w:rFonts w:hint="eastAsia"/>
                <w:sz w:val="24"/>
                <w:szCs w:val="24"/>
              </w:rPr>
              <w:t>本项目与《坚决制止耕地“非农化”行为的通知》符合性分析如下：</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表1-5 </w:t>
            </w:r>
            <w:r>
              <w:rPr>
                <w:rFonts w:hint="eastAsia"/>
                <w:b/>
                <w:sz w:val="24"/>
                <w:szCs w:val="24"/>
              </w:rPr>
              <w:t>与《关于坚决制止耕地“非农化”行为的通知》分析表</w:t>
            </w:r>
          </w:p>
          <w:tbl>
            <w:tblPr>
              <w:tblStyle w:val="44"/>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136"/>
              <w:gridCol w:w="1310"/>
              <w:gridCol w:w="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序号</w:t>
                  </w:r>
                </w:p>
              </w:tc>
              <w:tc>
                <w:tcPr>
                  <w:tcW w:w="3492"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技术政策要求</w:t>
                  </w:r>
                </w:p>
              </w:tc>
              <w:tc>
                <w:tcPr>
                  <w:tcW w:w="891"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本工程内容</w:t>
                  </w:r>
                </w:p>
              </w:tc>
              <w:tc>
                <w:tcPr>
                  <w:tcW w:w="325" w:type="pct"/>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sz w:val="21"/>
                      <w:szCs w:val="21"/>
                    </w:rPr>
                  </w:pPr>
                  <w:r>
                    <w:rPr>
                      <w:rFonts w:hint="default"/>
                      <w:kern w:val="0"/>
                      <w:sz w:val="21"/>
                      <w:szCs w:val="21"/>
                      <w:lang w:bidi="ar"/>
                    </w:rPr>
                    <w:t>1</w:t>
                  </w:r>
                </w:p>
              </w:tc>
              <w:tc>
                <w:tcPr>
                  <w:tcW w:w="3492"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一、严禁违规占用耕地绿化造林。要严格执行土地管理法、基本农田保护条例等法律法规，禁止占用永久基本农田种植苗木、草皮等用于绿化装饰以及其他破坏耕作层的植物。违规占用耕地及永久基本农田造林的，不予核实造林面积，不享受财政资金补助政策。平原地区要根据资源禀赋，合理制定绿化造林等生态建设目标。退耕还林还草要严格控制在国家批准的规模和范围内，涉及地块全部实现上图入库管理。正在违规占用耕地绿化造林的要立即停止</w:t>
                  </w:r>
                </w:p>
              </w:tc>
              <w:tc>
                <w:tcPr>
                  <w:tcW w:w="89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jc w:val="center"/>
                    <w:rPr>
                      <w:rFonts w:hint="default"/>
                      <w:sz w:val="24"/>
                      <w:szCs w:val="21"/>
                    </w:rPr>
                  </w:pPr>
                  <w:r>
                    <w:rPr>
                      <w:rFonts w:hint="eastAsia"/>
                      <w:sz w:val="24"/>
                      <w:szCs w:val="21"/>
                    </w:rPr>
                    <w:t>本项目不属于占用耕地绿化造林。</w:t>
                  </w:r>
                </w:p>
              </w:tc>
              <w:tc>
                <w:tcPr>
                  <w:tcW w:w="325"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sz w:val="21"/>
                      <w:szCs w:val="21"/>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2</w:t>
                  </w:r>
                </w:p>
              </w:tc>
              <w:tc>
                <w:tcPr>
                  <w:tcW w:w="3492"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二、严禁超标准建设绿色通道。要严格控制铁路、公路两侧用地范围以外绿化带用地审批，道路沿线是耕地的，两侧用地范围以外绿化带宽度不得超过5米，其中县乡道路不得超过3米。铁路、国道省道（含高速公路）、县乡道路两侧用地范围以外违规占用耕地超标准建设绿化带的要立即停止。不得违规在河渠两侧、水库周边占用耕地及永久基本农田超标准建设绿色通道。今后新增的绿色通道，要依法依规建设，确需占用永久基本农田的，应履行永久基本农田占用报批手续。交通、水利工程建设用地范围内的绿化用地要严格按照有关规定办理建设用地审批手续，其中涉及占用耕地的必须做到占补平衡。禁止以城乡绿化建设等名义违法违规占用耕地。</w:t>
                  </w:r>
                </w:p>
              </w:tc>
              <w:tc>
                <w:tcPr>
                  <w:tcW w:w="89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jc w:val="center"/>
                    <w:rPr>
                      <w:rFonts w:hint="default"/>
                      <w:sz w:val="24"/>
                      <w:szCs w:val="21"/>
                    </w:rPr>
                  </w:pPr>
                  <w:r>
                    <w:rPr>
                      <w:rFonts w:hint="eastAsia"/>
                      <w:sz w:val="24"/>
                      <w:szCs w:val="21"/>
                    </w:rPr>
                    <w:t>本项目不属于建设绿色通道项目</w:t>
                  </w:r>
                </w:p>
              </w:tc>
              <w:tc>
                <w:tcPr>
                  <w:tcW w:w="325"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3</w:t>
                  </w:r>
                </w:p>
              </w:tc>
              <w:tc>
                <w:tcPr>
                  <w:tcW w:w="3492"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三、严禁违规占用耕地挖湖造景。禁止以河流、湿地、湖泊治理为名，擅自占用耕地及永久基本农田挖田造湖、挖湖造景。不准在城市建设中违规占用耕地建设人造湿地公园、人造水利景观。确需占用的，应符合国土空间规划，依法办理建设用地审批和规划许可手续。未履行审批手续的在建项目，应立即停止并纠正；占用永久基本农田的，要限期恢复，确实无法恢复的按照有关规定进行补划。</w:t>
                  </w:r>
                </w:p>
              </w:tc>
              <w:tc>
                <w:tcPr>
                  <w:tcW w:w="89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本项目不属于占用耕地挖湖造景</w:t>
                  </w:r>
                </w:p>
              </w:tc>
              <w:tc>
                <w:tcPr>
                  <w:tcW w:w="325"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4</w:t>
                  </w:r>
                </w:p>
              </w:tc>
              <w:tc>
                <w:tcPr>
                  <w:tcW w:w="3492"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四、严禁占用永久基本农田扩大自然保护地。新建的自然保护地应当边界清楚，不准占用永久基本农田。目前已划入自然保护地核心保护区内的永久基本农田要纳入生态退耕、有序退出。自然保护地一般控制区内的永久基本农田要根据对生态功能造成的影响确定是否退出，造成明显影响的纳入生态退耕、有序退出，不造成明显影响的可采取依法依规相应调整一般控制区范围等措施妥善处理。自然保护地以外的永久基本农田和集中连片耕地，不得划入生态保护红线，允许生态保护红线内零星的原住民在不扩大现有耕地规模前提下，保留生活必需的少量种植。</w:t>
                  </w:r>
                </w:p>
              </w:tc>
              <w:tc>
                <w:tcPr>
                  <w:tcW w:w="89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本项目占不属于自然保护地</w:t>
                  </w:r>
                </w:p>
              </w:tc>
              <w:tc>
                <w:tcPr>
                  <w:tcW w:w="325"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5</w:t>
                  </w:r>
                </w:p>
              </w:tc>
              <w:tc>
                <w:tcPr>
                  <w:tcW w:w="3492"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五、严禁违规占用耕地从事非农建设。加强农村地区建设用地审批和乡村建设规划许可管理，坚持农地农用。不得违反规划搞非农建设、乱占耕地建房等。巩固“大棚房”问题清理整治成果，强化农业设施用地监管。加强耕地利用情况监测，对乱占耕地从事非农建设及时预警，构建早发现、早制止、严查处的常态化监管机制。</w:t>
                  </w:r>
                </w:p>
              </w:tc>
              <w:tc>
                <w:tcPr>
                  <w:tcW w:w="89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铁北1侧HF井属于评价井，不属于违反规划搞非农建设、乱占耕地建房</w:t>
                  </w:r>
                </w:p>
              </w:tc>
              <w:tc>
                <w:tcPr>
                  <w:tcW w:w="325" w:type="pc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9" w:type="pct"/>
                  <w:tcBorders>
                    <w:top w:val="single" w:color="auto" w:sz="4" w:space="0"/>
                    <w:left w:val="single" w:color="auto" w:sz="12"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6</w:t>
                  </w:r>
                </w:p>
              </w:tc>
              <w:tc>
                <w:tcPr>
                  <w:tcW w:w="3492"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六、严禁违法违规批地用地。批地用地必须符合国土空间规划，凡不符合国土空间规划以及不符合土地管理法律法规和国家产业政策的建设项目，不予批准用地。各地区不得通过擅自调整县乡国土空间规划规避占用永久基本农田审批。各项建设用地必须按照法定权限和程序报批，按照批准的用途、位置、标准使用，严禁未批先用、批少占多、批甲占乙。严格临时用地管理，不得超过规定时限长期使用。对各类未经批准或不符合规定的建设项目、临时用地等占用耕地及永久基本农田的，依法依规严肃处理，责令限期恢复原种植条件。</w:t>
                  </w:r>
                </w:p>
              </w:tc>
              <w:tc>
                <w:tcPr>
                  <w:tcW w:w="891" w:type="pct"/>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铁北1侧HF井属于评价井，不属于违反规划搞非农建设、乱占耕地建房</w:t>
                  </w:r>
                </w:p>
              </w:tc>
              <w:tc>
                <w:tcPr>
                  <w:tcW w:w="325" w:type="pct"/>
                  <w:tcBorders>
                    <w:top w:val="single" w:color="auto" w:sz="4" w:space="0"/>
                    <w:left w:val="single" w:color="auto" w:sz="4" w:space="0"/>
                    <w:bottom w:val="single" w:color="auto" w:sz="12"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bl>
          <w:p>
            <w:pPr>
              <w:pStyle w:val="340"/>
              <w:spacing w:beforeLines="0" w:afterLines="0"/>
              <w:ind w:firstLine="480"/>
              <w:rPr>
                <w:rFonts w:hint="default"/>
                <w:sz w:val="24"/>
                <w:szCs w:val="24"/>
              </w:rPr>
            </w:pPr>
            <w:r>
              <w:rPr>
                <w:rFonts w:hint="eastAsia"/>
                <w:sz w:val="24"/>
                <w:szCs w:val="24"/>
              </w:rPr>
              <w:t>综上所述，本项目属于陆地矿产资源地质勘查（含油气资源勘探），建设单位正在开展相关土地复垦方案，待项目施工完成后按照复垦方案进行复垦。因此，项目符合国家有关规划，符合国务院办公厅《关于坚决制止耕地“非农化”行为的通知》。</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32"/>
              </w:rPr>
            </w:pPr>
            <w:r>
              <w:rPr>
                <w:rFonts w:hint="eastAsia" w:ascii="Times New Roman" w:hAnsi="Times New Roman"/>
                <w:b/>
                <w:sz w:val="24"/>
                <w:szCs w:val="32"/>
              </w:rPr>
              <w:t>与《四川省、</w:t>
            </w:r>
            <w:r>
              <w:rPr>
                <w:rFonts w:hint="eastAsia" w:cs="宋体"/>
                <w:b/>
                <w:sz w:val="24"/>
                <w:szCs w:val="24"/>
                <w:lang w:bidi="ar"/>
              </w:rPr>
              <w:t>重庆市</w:t>
            </w:r>
            <w:r>
              <w:rPr>
                <w:rFonts w:hint="eastAsia" w:ascii="Times New Roman" w:hAnsi="Times New Roman"/>
                <w:b/>
                <w:sz w:val="24"/>
                <w:szCs w:val="32"/>
              </w:rPr>
              <w:t>长江经济带发展负面清单实施细则（试行，2022年版）》（川长江办〔2022〕17号）的符合性分析</w:t>
            </w:r>
          </w:p>
          <w:p>
            <w:pPr>
              <w:pStyle w:val="340"/>
              <w:spacing w:beforeLines="0" w:afterLines="0"/>
              <w:ind w:firstLine="480"/>
              <w:rPr>
                <w:rFonts w:hint="default"/>
                <w:sz w:val="24"/>
                <w:szCs w:val="32"/>
              </w:rPr>
            </w:pPr>
            <w:r>
              <w:rPr>
                <w:rFonts w:hint="eastAsia"/>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pPr>
              <w:numPr>
                <w:ilvl w:val="0"/>
                <w:numId w:val="0"/>
              </w:numPr>
              <w:spacing w:beforeLines="0" w:afterLines="0" w:line="360" w:lineRule="auto"/>
              <w:ind w:leftChars="0"/>
              <w:jc w:val="center"/>
              <w:rPr>
                <w:rFonts w:hint="default"/>
                <w:b/>
                <w:sz w:val="24"/>
                <w:szCs w:val="32"/>
              </w:rPr>
            </w:pPr>
            <w:r>
              <w:rPr>
                <w:rFonts w:hint="eastAsia"/>
                <w:b/>
                <w:sz w:val="24"/>
                <w:szCs w:val="32"/>
                <w:lang w:val="en-US" w:eastAsia="zh-CN"/>
              </w:rPr>
              <w:t xml:space="preserve">表1-6 </w:t>
            </w:r>
            <w:r>
              <w:rPr>
                <w:rFonts w:hint="eastAsia"/>
                <w:b/>
                <w:sz w:val="24"/>
                <w:szCs w:val="32"/>
              </w:rPr>
              <w:t>与《四川省、重庆市长江经济带发展负面清单实施细则（试行，2022年版）》（川长江办〔2022〕17号）分析表</w:t>
            </w:r>
          </w:p>
          <w:tbl>
            <w:tblPr>
              <w:tblStyle w:val="44"/>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30"/>
              <w:gridCol w:w="4257"/>
              <w:gridCol w:w="1797"/>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12"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序号</w:t>
                  </w:r>
                </w:p>
              </w:tc>
              <w:tc>
                <w:tcPr>
                  <w:tcW w:w="4284" w:type="dxa"/>
                  <w:tcBorders>
                    <w:top w:val="single" w:color="auto" w:sz="12"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要求</w:t>
                  </w:r>
                </w:p>
              </w:tc>
              <w:tc>
                <w:tcPr>
                  <w:tcW w:w="1809" w:type="dxa"/>
                  <w:tcBorders>
                    <w:top w:val="single" w:color="auto" w:sz="12"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w:t>
                  </w:r>
                </w:p>
              </w:tc>
              <w:tc>
                <w:tcPr>
                  <w:tcW w:w="855" w:type="dxa"/>
                  <w:tcBorders>
                    <w:top w:val="single" w:color="auto" w:sz="12"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禁止新建、改建和扩建不符合全国港口布局规划以及《四川省内河水运发展规划》《泸州—宜宾—乐山港口群布局规划》《重庆港总体规划（2035年）》等省级港口布局规划及市级港口总体规划的码头项目。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本项目不涉及码头建设。</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2</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禁止新建、改建和扩建不符合《长江干线过江通道布局规划（2020-2035年）》的过长江通道项目（含桥梁、隧道），国家发展改革委同意过长江通道线位调整的除外。</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本项目不涉及长江干线通道。</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3</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禁止在自然保护区核心区、缓冲区的岸线和河段范围内投资建设旅游和生产经营项目自然保护区的内部未分区的，依照核心区和缓冲区的规定管控。</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不涉及自然保护区、缓冲区的岸线和河道范围。</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4</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禁止违反风景名胜区规划，在风景名胜区内设立各类开发区在风景名胜区核心景区的岸线和河段范围内建设宾馆招待所训中心、疗养院以及与风景名胜资源保护无关的项目。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项目建设不涉及风景名胜区。</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5</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禁止在饮用水水源准保护区的岸线和河段范围内新建扩建对水体污染严重的建设项目改建增加排污量的建设项目。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项目建设不涉及饮用水源准保护区的岸线和河段，项目污染物均得到有效处置，不外排。</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6</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饮用水水源二级保护区的岸线和河段范围内除遵守准保护区规定外禁止新建、改建、扩建排放污染物的投资建设项目禁止从事对水体有污染的水产养殖等活动。</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本项目建设不涉及饮用水源二级保护区，项目污染物均得到有效处置，现场不外排。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7</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项目不涉及饮用水水源一级保护区的岸线和河段范围，项目不涉及养殖类项目。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8</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禁止在水产种质资源保护区岸线和河段范围内新建围湖造田、围湖造地或挖沙采石等投资建设项目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9</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本项目建设不涉及国家湿地公园的岸线和河道范围，且不属于上述项目。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10</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本项目建设不涉及长江流域河湖岸线。</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11</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禁止在《全国重要江河湖泊水功能区划》划定的河段及湖泊保护区、保留区内投资建设不利于水资源及自然生态保护的项目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本项目建设不涉及《全国重要江河湖泊水功能区划》划定的河段及湖泊保护区、保留区。</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12</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禁止在长江流域江河、湖泊新设、改设或者扩大排污口经有管辖权的生态环境主管部门或者长江流域生态环境监督管理机构同意的除外</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本项目建设不涉及新增、改设、扩大排污口，产生污染物均得到有效处置，现场不外排。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13</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禁止在长江干流、大渡河、峨江、赤水河、沱江、嘉陵江、乌江、汉江和51个（四川省45个、重庆市6个）水生生物保护区开展生产性捕捞</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本项目不涉及捕捞</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14</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禁止在长江干支流、重要湖泊岸线一公里范围内新建、扩建化工园区和化工项目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本项目不属于化工项目。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15</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禁止在长江干流岸线公里范围内和重要支流岸线一公里范围内新建、改建扩建尾矿库、冶炼渣库、磷石膏库，以提升安全、生态环境保护水平为目的的改建除外</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16</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禁止在生态保护红线区域、永久基本农田集中区域和其他需要特别保护的区域内选址建设尾矿库、冶炼渣库、磷石膏库</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17</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禁止在合规园区外新建、扩建钢铁、石化、化</w:t>
                  </w:r>
                </w:p>
                <w:p>
                  <w:pPr>
                    <w:widowControl/>
                    <w:spacing w:beforeLines="0" w:afterLines="0"/>
                    <w:rPr>
                      <w:rFonts w:hint="default"/>
                      <w:kern w:val="0"/>
                      <w:sz w:val="21"/>
                      <w:szCs w:val="21"/>
                    </w:rPr>
                  </w:pPr>
                  <w:r>
                    <w:rPr>
                      <w:rFonts w:hint="eastAsia"/>
                      <w:kern w:val="0"/>
                      <w:sz w:val="21"/>
                      <w:szCs w:val="21"/>
                    </w:rPr>
                    <w:t>工、焦化、建材、有色、制浆造纸等高污染项目。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18</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本项目不属于落后产能项目及淘汰类项目。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19</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禁止新建、扩建不符合国家产能置换要求的严重过剩产能行业的项目对于不符合国家产能置换要求的严重过剩产能行业，不得以其他任何名义任何方式备案新增产能项目。</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本项目不属于过剩产能行业的项目。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20</w:t>
                  </w:r>
                </w:p>
              </w:tc>
              <w:tc>
                <w:tcPr>
                  <w:tcW w:w="428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禁止建设以燃油汽车投资项目（不在中回境</w:t>
                  </w:r>
                </w:p>
                <w:p>
                  <w:pPr>
                    <w:widowControl/>
                    <w:spacing w:beforeLines="0" w:afterLines="0"/>
                    <w:rPr>
                      <w:rFonts w:hint="default"/>
                      <w:kern w:val="0"/>
                      <w:sz w:val="21"/>
                      <w:szCs w:val="21"/>
                    </w:rPr>
                  </w:pPr>
                  <w:r>
                    <w:rPr>
                      <w:rFonts w:hint="eastAsia"/>
                      <w:kern w:val="0"/>
                      <w:sz w:val="21"/>
                      <w:szCs w:val="21"/>
                    </w:rPr>
                    <w:t>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1809"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本项目不属于燃油车项目。</w:t>
                  </w:r>
                </w:p>
              </w:tc>
              <w:tc>
                <w:tcPr>
                  <w:tcW w:w="855" w:type="dxa"/>
                  <w:tcBorders>
                    <w:top w:val="single" w:color="auto" w:sz="6" w:space="0"/>
                    <w:left w:val="single" w:color="auto" w:sz="6" w:space="0"/>
                    <w:bottom w:val="single" w:color="auto" w:sz="6"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12"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default"/>
                      <w:kern w:val="0"/>
                      <w:sz w:val="21"/>
                      <w:szCs w:val="21"/>
                    </w:rPr>
                    <w:t>21</w:t>
                  </w:r>
                </w:p>
              </w:tc>
              <w:tc>
                <w:tcPr>
                  <w:tcW w:w="4284" w:type="dxa"/>
                  <w:tcBorders>
                    <w:top w:val="single" w:color="auto" w:sz="6" w:space="0"/>
                    <w:left w:val="single" w:color="auto" w:sz="6" w:space="0"/>
                    <w:bottom w:val="single" w:color="auto" w:sz="12" w:space="0"/>
                    <w:right w:val="single" w:color="auto" w:sz="6"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禁止新建扩建不符合要求的高耗能、高排放、低水平项目</w:t>
                  </w:r>
                </w:p>
              </w:tc>
              <w:tc>
                <w:tcPr>
                  <w:tcW w:w="1809" w:type="dxa"/>
                  <w:tcBorders>
                    <w:top w:val="single" w:color="auto" w:sz="6" w:space="0"/>
                    <w:left w:val="single" w:color="auto" w:sz="6" w:space="0"/>
                    <w:bottom w:val="single" w:color="auto" w:sz="12" w:space="0"/>
                    <w:right w:val="single" w:color="auto" w:sz="6"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本项目不属于高耗能、高排放、低水平项目。</w:t>
                  </w:r>
                </w:p>
              </w:tc>
              <w:tc>
                <w:tcPr>
                  <w:tcW w:w="855" w:type="dxa"/>
                  <w:tcBorders>
                    <w:top w:val="single" w:color="auto" w:sz="6" w:space="0"/>
                    <w:left w:val="single" w:color="auto" w:sz="6" w:space="0"/>
                    <w:bottom w:val="single" w:color="auto" w:sz="12" w:space="0"/>
                    <w:right w:val="single" w:color="auto" w:sz="12" w:space="0"/>
                    <w:tl2br w:val="nil"/>
                    <w:tr2bl w:val="nil"/>
                  </w:tcBorders>
                  <w:noWrap w:val="0"/>
                  <w:vAlign w:val="center"/>
                </w:tcPr>
                <w:p>
                  <w:pPr>
                    <w:widowControl/>
                    <w:spacing w:beforeLines="0" w:afterLines="0"/>
                    <w:jc w:val="center"/>
                    <w:rPr>
                      <w:rFonts w:hint="default"/>
                      <w:kern w:val="0"/>
                      <w:sz w:val="21"/>
                      <w:szCs w:val="21"/>
                    </w:rPr>
                  </w:pPr>
                  <w:r>
                    <w:rPr>
                      <w:rFonts w:hint="eastAsia"/>
                      <w:kern w:val="0"/>
                      <w:sz w:val="21"/>
                      <w:szCs w:val="21"/>
                    </w:rPr>
                    <w:t>符合</w:t>
                  </w:r>
                </w:p>
              </w:tc>
            </w:tr>
          </w:tbl>
          <w:p>
            <w:pPr>
              <w:pStyle w:val="340"/>
              <w:spacing w:beforeLines="0" w:afterLines="0"/>
              <w:ind w:firstLine="480"/>
              <w:rPr>
                <w:rFonts w:hint="default"/>
                <w:sz w:val="24"/>
                <w:szCs w:val="32"/>
              </w:rPr>
            </w:pPr>
            <w:r>
              <w:rPr>
                <w:rFonts w:hint="eastAsia"/>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与《关于进一步加强石油天然气行业环境影响评价管理的通知》的符合性</w:t>
            </w:r>
          </w:p>
          <w:p>
            <w:pPr>
              <w:spacing w:beforeLines="0" w:afterLines="0" w:line="360" w:lineRule="auto"/>
              <w:ind w:firstLine="480" w:firstLineChars="200"/>
              <w:rPr>
                <w:rFonts w:hint="default"/>
                <w:sz w:val="24"/>
                <w:szCs w:val="24"/>
              </w:rPr>
            </w:pPr>
            <w:r>
              <w:rPr>
                <w:rFonts w:hint="eastAsia"/>
                <w:sz w:val="24"/>
                <w:szCs w:val="24"/>
              </w:rPr>
              <w:t>（1）与深化项目环评“放管服”改革符合性</w:t>
            </w:r>
          </w:p>
          <w:p>
            <w:pPr>
              <w:spacing w:beforeLines="0" w:afterLines="0" w:line="360" w:lineRule="auto"/>
              <w:ind w:firstLine="480" w:firstLineChars="200"/>
              <w:rPr>
                <w:rFonts w:hint="default"/>
                <w:sz w:val="24"/>
                <w:szCs w:val="24"/>
              </w:rPr>
            </w:pPr>
            <w:r>
              <w:rPr>
                <w:rFonts w:hint="eastAsia"/>
                <w:sz w:val="24"/>
                <w:szCs w:val="24"/>
              </w:rPr>
              <w:t>根据生态环境部印发《关于进一步加强石油天然气行业环境影响评价管理的通知》（环办环评函〔2019〕910号），以下简称《通知》。生态环境部环境影响评价与排放管理司有关负责人就《通知》出台的背景、编制思路、环评管理要求等做出回答，对于区块的属性，可结合实际情况判断是新区块还是老区块，老区块一般指此前已开展过环评、又进行滚动开发、加密打井维持产量的区块。铁北1侧HF井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spacing w:beforeLines="0" w:afterLines="0" w:line="360" w:lineRule="auto"/>
              <w:ind w:firstLine="480" w:firstLineChars="200"/>
              <w:rPr>
                <w:rFonts w:hint="default"/>
                <w:sz w:val="24"/>
                <w:szCs w:val="24"/>
              </w:rPr>
            </w:pPr>
            <w:r>
              <w:rPr>
                <w:rFonts w:hint="eastAsia"/>
                <w:sz w:val="24"/>
                <w:szCs w:val="24"/>
              </w:rPr>
              <w:t>（2）强化生态环境保护措施符合性</w:t>
            </w:r>
          </w:p>
          <w:p>
            <w:pPr>
              <w:spacing w:beforeLines="0" w:afterLines="0" w:line="360" w:lineRule="auto"/>
              <w:ind w:firstLine="480" w:firstLineChars="200"/>
              <w:rPr>
                <w:rFonts w:hint="default"/>
                <w:sz w:val="24"/>
                <w:szCs w:val="24"/>
              </w:rPr>
            </w:pPr>
            <w:r>
              <w:rPr>
                <w:rFonts w:hint="eastAsia"/>
                <w:sz w:val="24"/>
                <w:szCs w:val="24"/>
              </w:rPr>
              <w:t>项目与生态环境保护措施符合性如下表所示。</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表1-7 </w:t>
            </w:r>
            <w:r>
              <w:rPr>
                <w:rFonts w:hint="eastAsia"/>
                <w:b/>
                <w:sz w:val="24"/>
                <w:szCs w:val="24"/>
              </w:rPr>
              <w:t>与《关于进一步加强石油天然气行业环境影响评价管理的通知》中强化生态环境保护措施对比分析表</w:t>
            </w:r>
          </w:p>
          <w:tbl>
            <w:tblPr>
              <w:tblStyle w:val="44"/>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481"/>
              <w:gridCol w:w="1879"/>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序号</w:t>
                  </w:r>
                </w:p>
              </w:tc>
              <w:tc>
                <w:tcPr>
                  <w:tcW w:w="4481" w:type="dxa"/>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技术政策要求</w:t>
                  </w:r>
                </w:p>
              </w:tc>
              <w:tc>
                <w:tcPr>
                  <w:tcW w:w="1879" w:type="dxa"/>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jc w:val="center"/>
                    <w:rPr>
                      <w:rFonts w:hint="default"/>
                      <w:kern w:val="0"/>
                      <w:sz w:val="21"/>
                      <w:szCs w:val="21"/>
                      <w:lang w:bidi="ar"/>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sz w:val="21"/>
                      <w:szCs w:val="21"/>
                    </w:rPr>
                  </w:pPr>
                  <w:r>
                    <w:rPr>
                      <w:rFonts w:hint="default"/>
                      <w:kern w:val="0"/>
                      <w:sz w:val="21"/>
                      <w:szCs w:val="21"/>
                      <w:lang w:bidi="ar"/>
                    </w:rPr>
                    <w:t>1</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rPr>
                      <w:rFonts w:hint="default"/>
                      <w:sz w:val="21"/>
                      <w:szCs w:val="21"/>
                    </w:rPr>
                  </w:pPr>
                  <w:r>
                    <w:rPr>
                      <w:rFonts w:hint="eastAsia"/>
                      <w:kern w:val="0"/>
                      <w:sz w:val="21"/>
                      <w:szCs w:val="21"/>
                    </w:rPr>
                    <w:t>本项目钻井废水拟交由密闭罐车定期拉运至大湾403污水站处理达标后管输至毛开1井回注站回注。</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sz w:val="21"/>
                      <w:szCs w:val="21"/>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2</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187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6"/>
                    <w:spacing w:beforeLines="0" w:afterLines="0" w:line="240" w:lineRule="auto"/>
                    <w:rPr>
                      <w:rFonts w:hint="default"/>
                      <w:kern w:val="0"/>
                      <w:sz w:val="21"/>
                      <w:szCs w:val="21"/>
                    </w:rPr>
                  </w:pPr>
                  <w:r>
                    <w:rPr>
                      <w:rFonts w:hint="eastAsia"/>
                      <w:kern w:val="0"/>
                      <w:sz w:val="21"/>
                      <w:szCs w:val="21"/>
                    </w:rPr>
                    <w:t>本项目属于气田的陆地矿产资源地质勘查（含油气资源勘探），本项目属于天然气勘探工程，不涉及天然气开采。钻井废水回用于压裂液配置；压裂废水暂存于废水池，装车定期拉运至大湾403污水站处理达标后管输至毛开1井回注站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从源头到末端的全过程生态环境保护及风险防控措施、监控要求。建设项目环评文件中应当包含钻井液、压裂液中重金属等有毒有害物质的相关信息，涉及商业秘密、技术秘密等情形的除外。</w:t>
                  </w:r>
                </w:p>
              </w:tc>
              <w:tc>
                <w:tcPr>
                  <w:tcW w:w="187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sz w:val="21"/>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3</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本项目采用水基+油基钻井液相结合的方式进行钻井，产生的固体废物均按照国家和地方有关固体废物的管理规定进行处置。</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4</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本井目的层不涉及挥发性有机物液体储存，同时加强钻井期间钻井、输送、净化等环节环境风险防范措施</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5</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本项目钻井和压裂设备动力来源于柴油发电机，使用优质柴油，废气满足排放标准。选用低噪声设备，避免噪声扰民。施工结束后，及时落实环评提出的生态保护措施。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6</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7</w:t>
                  </w:r>
                </w:p>
              </w:tc>
              <w:tc>
                <w:tcPr>
                  <w:tcW w:w="4481"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8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noWrap w:val="0"/>
                  <w:vAlign w:val="center"/>
                </w:tcPr>
                <w:p>
                  <w:pPr>
                    <w:widowControl/>
                    <w:spacing w:beforeLines="0" w:afterLines="0"/>
                    <w:jc w:val="center"/>
                    <w:rPr>
                      <w:rFonts w:hint="default"/>
                      <w:kern w:val="0"/>
                      <w:sz w:val="21"/>
                      <w:szCs w:val="21"/>
                      <w:lang w:bidi="ar"/>
                    </w:rPr>
                  </w:pPr>
                  <w:r>
                    <w:rPr>
                      <w:rFonts w:hint="default"/>
                      <w:kern w:val="0"/>
                      <w:sz w:val="21"/>
                      <w:szCs w:val="21"/>
                      <w:lang w:bidi="ar"/>
                    </w:rPr>
                    <w:t>8</w:t>
                  </w:r>
                </w:p>
              </w:tc>
              <w:tc>
                <w:tcPr>
                  <w:tcW w:w="4481" w:type="dxa"/>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油气企业应当加强风险防控，按规定编制突发环境事件应急预案，报所在地生态环境主管部门备案。海洋油气勘探开发溢油应急计划报相关海域生态环境监督管理局备案。</w:t>
                  </w:r>
                </w:p>
              </w:tc>
              <w:tc>
                <w:tcPr>
                  <w:tcW w:w="1879" w:type="dxa"/>
                  <w:tcBorders>
                    <w:top w:val="single" w:color="auto" w:sz="4" w:space="0"/>
                    <w:left w:val="single" w:color="auto" w:sz="4" w:space="0"/>
                    <w:bottom w:val="single" w:color="auto" w:sz="12" w:space="0"/>
                    <w:right w:val="single" w:color="auto" w:sz="4" w:space="0"/>
                    <w:tl2br w:val="nil"/>
                    <w:tr2bl w:val="nil"/>
                  </w:tcBorders>
                  <w:noWrap w:val="0"/>
                  <w:vAlign w:val="center"/>
                </w:tcPr>
                <w:p>
                  <w:pPr>
                    <w:widowControl/>
                    <w:spacing w:beforeLines="0" w:afterLines="0"/>
                    <w:rPr>
                      <w:rFonts w:hint="default"/>
                      <w:kern w:val="0"/>
                      <w:sz w:val="21"/>
                      <w:szCs w:val="21"/>
                    </w:rPr>
                  </w:pPr>
                  <w:r>
                    <w:rPr>
                      <w:rFonts w:hint="eastAsia"/>
                      <w:kern w:val="0"/>
                      <w:sz w:val="21"/>
                      <w:szCs w:val="21"/>
                    </w:rPr>
                    <w:t>建设单位严格按照相关要求编制突发环境事件应急预案，并报所在地生态环境主管部门备案。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noWrap w:val="0"/>
                  <w:vAlign w:val="center"/>
                </w:tcPr>
                <w:p>
                  <w:pPr>
                    <w:widowControl/>
                    <w:spacing w:beforeLines="0" w:afterLines="0"/>
                    <w:jc w:val="center"/>
                    <w:rPr>
                      <w:rFonts w:hint="default"/>
                      <w:kern w:val="0"/>
                      <w:sz w:val="21"/>
                      <w:szCs w:val="21"/>
                      <w:lang w:bidi="ar"/>
                    </w:rPr>
                  </w:pPr>
                  <w:r>
                    <w:rPr>
                      <w:rFonts w:hint="eastAsia"/>
                      <w:kern w:val="0"/>
                      <w:sz w:val="21"/>
                      <w:szCs w:val="21"/>
                      <w:lang w:bidi="ar"/>
                    </w:rPr>
                    <w:t>符合</w:t>
                  </w:r>
                </w:p>
              </w:tc>
            </w:tr>
          </w:tbl>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《非常规油气开采污染控制技术规范》符合性分析</w:t>
            </w:r>
          </w:p>
          <w:p>
            <w:pPr>
              <w:pStyle w:val="344"/>
              <w:spacing w:beforeLines="0" w:afterLines="0"/>
              <w:ind w:firstLine="480"/>
              <w:rPr>
                <w:rFonts w:hint="default"/>
                <w:sz w:val="24"/>
                <w:szCs w:val="24"/>
              </w:rPr>
            </w:pPr>
            <w:r>
              <w:rPr>
                <w:rFonts w:hint="eastAsia"/>
                <w:sz w:val="24"/>
                <w:szCs w:val="24"/>
              </w:rPr>
              <w:t>项目与《非常规油气开采污染控制技术规范》符合性分析详见表1-</w:t>
            </w:r>
            <w:r>
              <w:rPr>
                <w:rFonts w:hint="eastAsia"/>
                <w:sz w:val="24"/>
                <w:szCs w:val="24"/>
                <w:lang w:val="en-US" w:eastAsia="zh-CN"/>
              </w:rPr>
              <w:t>8</w:t>
            </w:r>
            <w:r>
              <w:rPr>
                <w:rFonts w:hint="eastAsia"/>
                <w:sz w:val="24"/>
                <w:szCs w:val="24"/>
              </w:rPr>
              <w:t>。</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表1-8 </w:t>
            </w:r>
            <w:r>
              <w:rPr>
                <w:rFonts w:hint="eastAsia"/>
                <w:b/>
                <w:sz w:val="24"/>
                <w:szCs w:val="24"/>
              </w:rPr>
              <w:t>与《非常规油气开采污染控制技术规范》符合性分析表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3435"/>
              <w:gridCol w:w="2527"/>
              <w:gridCol w:w="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序号</w:t>
                  </w:r>
                </w:p>
              </w:tc>
              <w:tc>
                <w:tcPr>
                  <w:tcW w:w="3435"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技术规范要求</w:t>
                  </w:r>
                </w:p>
              </w:tc>
              <w:tc>
                <w:tcPr>
                  <w:tcW w:w="2527"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本工程内容</w:t>
                  </w:r>
                </w:p>
              </w:tc>
              <w:tc>
                <w:tcPr>
                  <w:tcW w:w="722"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w:t>
                  </w:r>
                </w:p>
              </w:tc>
              <w:tc>
                <w:tcPr>
                  <w:tcW w:w="6684"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钻前工程作业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4.2.1</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井场的布置应符合SY/T5466的规定</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本项目井场布置符合SY/T5466的规定。</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4.2.2</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钻前工程设计应根据当地气候条件进行雨污分流系统设计，集污区应采取防渗措施，排污沟的横截面积应根据当地雨季最大排量设计。年降雨量大于500mm的地区应在循环罐区、主要设备区、材料房等区域设置雨棚，雨棚边缘应超出下方围堰不小于0.5m，雨棚的导流槽设计应将雨水导入场外自然水系。井场废油暂存区、钻井液废油暂存区、钻井液材料临时钻存区应设置雨棚或其他防雨措施。</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本项目钻前设计已根据当地气候条件进行了雨污分流系统设计，集污区采用重点防渗措施。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4.2.3</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井场防渗区应实现分级管控，分为重点防渗区域和一般防渗区域。钻井基础区域、钻井液循环系统、清洁生产操作平台、放喷池、废油暂存区、废水池、柴油罐区、油基岩屑收集贮存区、柴油发电机房等涉及含油材料或废物流转的区域为重点防渗区；除重点防渗区域外的井场作业区为一般防渗区。</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井场防渗区实行分级管控，方井及钻井基础区域、泥浆循环系统区域、设备区域、泥浆储备罐区、放喷池、集酸池（集酸沟）、废水池、油水罐区、井场隔油池、发电房基础、清洁化操作平台、危险废物贮存点、排污沟为重点防渗区，除重点防渗区域的其他井场区域、井场四周清污分流截排水沟为一般防渗区。</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4.2.4</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重点防渗区地面按GB18597的要求，应铺设150mm混凝土或2mm厚高密度聚乙烯膜、渗透系数不大于10</w:t>
                  </w:r>
                  <w:r>
                    <w:rPr>
                      <w:rFonts w:hint="default"/>
                      <w:sz w:val="21"/>
                      <w:szCs w:val="21"/>
                      <w:vertAlign w:val="superscript"/>
                    </w:rPr>
                    <w:t>-10</w:t>
                  </w:r>
                  <w:r>
                    <w:rPr>
                      <w:rFonts w:hint="default"/>
                      <w:sz w:val="21"/>
                      <w:szCs w:val="21"/>
                    </w:rPr>
                    <w:t>cm/s</w:t>
                  </w:r>
                  <w:r>
                    <w:rPr>
                      <w:rFonts w:hint="eastAsia"/>
                      <w:sz w:val="21"/>
                      <w:szCs w:val="21"/>
                    </w:rPr>
                    <w:t>，或采取铺设渗透系数不大于10</w:t>
                  </w:r>
                  <w:r>
                    <w:rPr>
                      <w:rFonts w:hint="default"/>
                      <w:sz w:val="21"/>
                      <w:szCs w:val="21"/>
                      <w:vertAlign w:val="superscript"/>
                    </w:rPr>
                    <w:t>-10</w:t>
                  </w:r>
                  <w:r>
                    <w:rPr>
                      <w:rFonts w:hint="default"/>
                      <w:sz w:val="21"/>
                      <w:szCs w:val="21"/>
                    </w:rPr>
                    <w:t>cm/s</w:t>
                  </w:r>
                  <w:r>
                    <w:rPr>
                      <w:rFonts w:hint="eastAsia"/>
                      <w:sz w:val="21"/>
                      <w:szCs w:val="21"/>
                    </w:rPr>
                    <w:t>，至少2mm厚的其他人工材料的防渗措施，膜类材料重叠区域应采取热熔或焊熔技术，重叠压覆距离不小于150mm，确保叠合良好；应修筑高于井场20cm的围堰与其他区域隔离，区域内场地平整，满足防腐蚀、防流失、防扬洒的要求；用以存放装载液体、半固体危险废物容器的区域，容器下方地面应硬化平整并采取防渗措施，设计堵截泄漏的围堰。</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本项目重点防渗区按危险废物贮存污染控制标准（2023年修订）的要求设计了防渗措施。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4.2.5</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一般防渗区应按GB18599的要求，地面采取相当于1.5m厚黏土层，渗透系数不大于10</w:t>
                  </w:r>
                  <w:r>
                    <w:rPr>
                      <w:rFonts w:hint="default"/>
                      <w:sz w:val="21"/>
                      <w:szCs w:val="21"/>
                      <w:vertAlign w:val="superscript"/>
                    </w:rPr>
                    <w:t>-7</w:t>
                  </w:r>
                  <w:r>
                    <w:rPr>
                      <w:rFonts w:hint="default"/>
                      <w:sz w:val="21"/>
                      <w:szCs w:val="21"/>
                    </w:rPr>
                    <w:t>cm/s,</w:t>
                  </w:r>
                  <w:r>
                    <w:rPr>
                      <w:rFonts w:hint="eastAsia"/>
                      <w:sz w:val="21"/>
                      <w:szCs w:val="21"/>
                    </w:rPr>
                    <w:t>的防渗措施。</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本项目一般防渗区按照一般工业固体废物贮存和填埋污染控制标准（GB 18599-2020）设计了防渗措施。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4.2.6</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井场污水（废液）池、岩屑池、水基钻井液池（罐）等设施应具备防雨、防渗功能，池（罐）内壁采取渗透系数不大于10</w:t>
                  </w:r>
                  <w:r>
                    <w:rPr>
                      <w:rFonts w:hint="default"/>
                      <w:sz w:val="21"/>
                      <w:szCs w:val="21"/>
                      <w:vertAlign w:val="superscript"/>
                    </w:rPr>
                    <w:t>-7</w:t>
                  </w:r>
                  <w:r>
                    <w:rPr>
                      <w:rFonts w:hint="default"/>
                      <w:sz w:val="21"/>
                      <w:szCs w:val="21"/>
                    </w:rPr>
                    <w:t>cm/s</w:t>
                  </w:r>
                  <w:r>
                    <w:rPr>
                      <w:rFonts w:hint="eastAsia"/>
                      <w:sz w:val="21"/>
                      <w:szCs w:val="21"/>
                    </w:rPr>
                    <w:t>的防渗措施，防渗设计宜参照GB18599的要求；用于储存含油废水、油基钻井液、采出水的排污池需具备防雨、防渗、防腐功能，有VOCs气体逸散的要满足GB37822相关要求，池底和池壁铺设2mm厚高密度聚乙烯膜，渗透系数不大于10</w:t>
                  </w:r>
                  <w:r>
                    <w:rPr>
                      <w:rFonts w:hint="default"/>
                      <w:sz w:val="21"/>
                      <w:szCs w:val="21"/>
                      <w:vertAlign w:val="superscript"/>
                    </w:rPr>
                    <w:t>-10</w:t>
                  </w:r>
                  <w:r>
                    <w:rPr>
                      <w:rFonts w:hint="default"/>
                      <w:sz w:val="21"/>
                      <w:szCs w:val="21"/>
                    </w:rPr>
                    <w:t>cm/s</w:t>
                  </w:r>
                  <w:r>
                    <w:rPr>
                      <w:rFonts w:hint="eastAsia"/>
                      <w:sz w:val="21"/>
                      <w:szCs w:val="21"/>
                    </w:rPr>
                    <w:t>或采取铺设至少2mm厚、渗透系数不大于10</w:t>
                  </w:r>
                  <w:r>
                    <w:rPr>
                      <w:rFonts w:hint="default"/>
                      <w:sz w:val="21"/>
                      <w:szCs w:val="21"/>
                      <w:vertAlign w:val="superscript"/>
                    </w:rPr>
                    <w:t>-10</w:t>
                  </w:r>
                  <w:r>
                    <w:rPr>
                      <w:rFonts w:hint="default"/>
                      <w:sz w:val="21"/>
                      <w:szCs w:val="21"/>
                    </w:rPr>
                    <w:t>cm/s</w:t>
                  </w:r>
                  <w:r>
                    <w:rPr>
                      <w:rFonts w:hint="eastAsia"/>
                      <w:sz w:val="21"/>
                      <w:szCs w:val="21"/>
                    </w:rPr>
                    <w:t>的其他人工材料的防渗措施。</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本项目相关设施参照一般工业固体废物贮存和填埋污染控制标准（GB 18599-2020）和要求设计了防渗措施。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4.2.7</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井场污水池、岩屑池、钻井液池（罐）、废液处理池等构筑物（设施）的有效容积应根据生产工艺、降水量及未预见污水量确定容积系数，容积系数应不小于1.2。</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本项目废水池、废水罐等设施的容积系数不小于1.2。</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w:t>
                  </w:r>
                </w:p>
              </w:tc>
              <w:tc>
                <w:tcPr>
                  <w:tcW w:w="6684"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钻井工程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4.3.1</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井场钻杆架、管排架等重点防渗区应增加铺设2mm高密度聚乙烯土工膜，所选土工膜符合GB/T17643的要求，或采取可达到相同效果的防渗措施，防止油污洒落地面。</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按照重点防渗区要求设计了防渗措施。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4.3.2</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根据钻井各段遇到的地质条件、分层漏失情况及含水层分布，表层钻井宜采取气体钻井、清水钻井等技术，表层以下钻井宜采用环境友好型的钻井液体系。根据不同地质和工程情况，及时采取随钻堵漏、桥塞堵漏等防漏措施，降低钻井液漏失量，避免钻井液进入地层。</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本项目采取水基+油基钻井液相结合的方式进行钻井。根据不同地质和工程情况，及时采取了随钻堵漏、桥塞堵漏等防漏措施。</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4.3.3</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固井质量应符合SY/T6592的要求，技术套管固井水泥应返高至地面，以防止钻井及开采活动连通浅层水及其他地层。井口与河流、沟谷水平距离小于1000m的井，表层套管的下深应低于河床、沟谷底部不少于300m；井口与河流、沟谷水平距离大于1000m的井，表层套管的下深应低于河床、沟谷底部不少于100m。</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本项目固井质量符合SY/T6592的要求。井场与距离周边河流小于1000m，本项目利用原井眼进行钻井，不涉及浅层段钻井，大于规范要求的300m。</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4.3.4</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钻井现场应实施钻井液无害化收集处理，建立钻井液收集、处理和回收循环系统；采用油基钻井液体系的应遵循“不落地“原则。</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本项目钻井现场建立钻井液收集、处理和回收循环系统、油基钻井液体系的遵循了“不落地“原则。</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4.3.5</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水基钻井液应优先回收再利用。无法回用的废弃钻井液应分离固相，分离固相的回收、储存、运输、处置过程应符合GB18599的要求。分离后固相宜采用资源化处理技术，用于铺路基土、免烧砖、烧结砖、免烧砌块及水泥辅料等，产品浸出液控制指标应满足GB8978中相关要求。</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本项目水基钻井液优先回收再利用。无法回用的废弃钻井液进行固液分离，分离固相的回收、储存、运输、处置过程符合GB 18599。分离后的固相资源化利用，用于制作烧结砖或水泥。产品浸出液控制指标满足GB 8978中相关要求。</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4.3.6</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油基钻井岩屑宜采用物理固液分离技术，按照HJ607的要求，对分离出的液相予以回用。分离出的固相和无法回用的液相宜采用萃取、热脱附等方式深度处理，回收的废矿物油应满足配制油基钻井液的技术要求。经深度处理后的岩屑宜采用水泥窑炉等协同处置资源化处理技术，达到SY/T7301、GB30760中要求的；可用于铺设通井路、铺垫井场等基础材料或免烧砖、烧结砖、混凝土掺和料资源化利用。</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本项目产生的油基钻井岩屑拟交由有资质单位处置。</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4.3.7</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油基钻井废物的转运、装卸过程中应避免洒落，产生的含油废物应妥善收集，并按规定处理处置。</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本项目产生的油基钻井岩屑在收集、贮存和运输中满足《危险废物收集、贮存、运输技术规范》（HJ2025-2012）、《危险废物贮存污染控制标准》（GB18597-2023）相关规定。</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4.4</w:t>
                  </w:r>
                </w:p>
              </w:tc>
              <w:tc>
                <w:tcPr>
                  <w:tcW w:w="6684"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压裂作业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4.4.1</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压裂用水及配液应遵照节约用水的原则，在满足当地取水需求的前提下，先期制</w:t>
                  </w:r>
                  <w:r>
                    <w:rPr>
                      <w:rFonts w:hint="eastAsia"/>
                      <w:sz w:val="21"/>
                      <w:szCs w:val="21"/>
                      <w:lang w:eastAsia="zh-CN"/>
                    </w:rPr>
                    <w:t>定</w:t>
                  </w:r>
                  <w:r>
                    <w:rPr>
                      <w:rFonts w:hint="eastAsia"/>
                      <w:sz w:val="21"/>
                      <w:szCs w:val="21"/>
                    </w:rPr>
                    <w:t>优化供水方案，获得当地监管部门的取水许可。</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本项目钻井及压裂过程用水由罐车拉运至井场，不涉及取水。</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4.4.2</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压裂配液应优先使用回用水，回用水储存应采用经过防渗处理的蓄水池或专用储罐。压裂作业单位应对压裂配液的用水量进行计量。</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本项目钻井废水、方井雨水暂存于废水罐中，洗井废水用于配制压裂液。压裂作业期间产生的压裂返排液暂存于废水池，装车定期拉运至大湾403污水站处理达标后管输至毛开1井回注站回注。</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4.4.3</w:t>
                  </w:r>
                </w:p>
              </w:tc>
              <w:tc>
                <w:tcPr>
                  <w:tcW w:w="343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压裂作业宜昼间作业，并按GB12523的要求，采取措施降低噪声对周边环境敏感点的影响。</w:t>
                  </w:r>
                </w:p>
              </w:tc>
              <w:tc>
                <w:tcPr>
                  <w:tcW w:w="252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本项目压裂作业昼间作业，并按GB 12523的要求，采取了措施降低噪声。</w:t>
                  </w:r>
                </w:p>
              </w:tc>
              <w:tc>
                <w:tcPr>
                  <w:tcW w:w="722"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5"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4.4.4</w:t>
                  </w:r>
                </w:p>
              </w:tc>
              <w:tc>
                <w:tcPr>
                  <w:tcW w:w="3435"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如非常规油气开采企业使用的压裂液的化学品成分中含有列入《危险化学品名录》的物质，在不涉及商业秘密的前提下，应通过环境影响评价文件等指定渠道向社会公开。</w:t>
                  </w:r>
                </w:p>
              </w:tc>
              <w:tc>
                <w:tcPr>
                  <w:tcW w:w="2527"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本项目环境影响评价文件审批过程中将向社会公开。</w:t>
                  </w:r>
                </w:p>
              </w:tc>
              <w:tc>
                <w:tcPr>
                  <w:tcW w:w="722"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bl>
          <w:p>
            <w:pPr>
              <w:pStyle w:val="344"/>
              <w:spacing w:beforeLines="0" w:afterLines="0"/>
              <w:ind w:firstLine="480"/>
              <w:rPr>
                <w:rFonts w:hint="default"/>
                <w:sz w:val="24"/>
                <w:szCs w:val="24"/>
              </w:rPr>
            </w:pPr>
            <w:r>
              <w:rPr>
                <w:rFonts w:hint="eastAsia"/>
                <w:sz w:val="24"/>
                <w:szCs w:val="24"/>
              </w:rPr>
              <w:t>由上表可知，拟建项目满足《非常规油气开采污染控制技术规范》（SY/T 7482-2020）要求。</w:t>
            </w:r>
          </w:p>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《非常规</w:t>
            </w:r>
            <w:r>
              <w:rPr>
                <w:rFonts w:hint="eastAsia" w:cs="宋体"/>
                <w:b/>
                <w:sz w:val="24"/>
                <w:szCs w:val="24"/>
                <w:lang w:bidi="ar"/>
              </w:rPr>
              <w:t>油气</w:t>
            </w:r>
            <w:r>
              <w:rPr>
                <w:rFonts w:hint="eastAsia" w:ascii="Times New Roman" w:hAnsi="Times New Roman"/>
                <w:b/>
                <w:sz w:val="24"/>
                <w:szCs w:val="24"/>
              </w:rPr>
              <w:t>开采含油污泥处理处置技术规范》（SY/T7481-2020）符合性分析</w:t>
            </w:r>
          </w:p>
          <w:p>
            <w:pPr>
              <w:pStyle w:val="344"/>
              <w:spacing w:beforeLines="0" w:afterLines="0"/>
              <w:ind w:firstLine="480"/>
              <w:rPr>
                <w:rFonts w:hint="default"/>
                <w:sz w:val="24"/>
                <w:szCs w:val="24"/>
              </w:rPr>
            </w:pPr>
            <w:r>
              <w:rPr>
                <w:rFonts w:hint="eastAsia"/>
                <w:sz w:val="24"/>
                <w:szCs w:val="24"/>
              </w:rPr>
              <w:t>本项目油基岩屑处置方式与《非常规油气开采含油污泥处理处置技术规范》（SY/T7481-2020）符合性分析详见下表。</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表1-9 </w:t>
            </w:r>
            <w:r>
              <w:rPr>
                <w:rFonts w:hint="eastAsia"/>
                <w:b/>
                <w:sz w:val="24"/>
                <w:szCs w:val="24"/>
              </w:rPr>
              <w:t>与《非常规油气开采含油污泥处理处置技术规范》（SY/T7481-2020）符合性分析（摘录）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224"/>
              <w:gridCol w:w="1838"/>
              <w:gridCol w:w="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0"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序号</w:t>
                  </w:r>
                </w:p>
              </w:tc>
              <w:tc>
                <w:tcPr>
                  <w:tcW w:w="4224"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技术规范要求</w:t>
                  </w:r>
                </w:p>
              </w:tc>
              <w:tc>
                <w:tcPr>
                  <w:tcW w:w="1838"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本工程内容</w:t>
                  </w:r>
                </w:p>
              </w:tc>
              <w:tc>
                <w:tcPr>
                  <w:tcW w:w="626"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4.1</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非常规油气开采企业应全面推行清洁生产，按照“减量化、资源化、无害化”的原则，从勘探开发的全过程，减少含油污泥产生量。</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项目采用离心机脱出油基泥浆，脱出的油基泥浆循环使用，达到减量化的目的；减量化后的油基岩屑送有资质处置单位处置，达到无害化、资源化的目的</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7"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在含油污泥的收集、暂存、转运、处理、利用及处置各个环节，应制</w:t>
                  </w:r>
                  <w:r>
                    <w:rPr>
                      <w:rFonts w:hint="eastAsia"/>
                      <w:sz w:val="21"/>
                      <w:szCs w:val="21"/>
                      <w:lang w:eastAsia="zh-CN"/>
                    </w:rPr>
                    <w:t>定</w:t>
                  </w:r>
                  <w:r>
                    <w:rPr>
                      <w:rFonts w:hint="eastAsia"/>
                      <w:sz w:val="21"/>
                      <w:szCs w:val="21"/>
                    </w:rPr>
                    <w:t>有效的污染控制措施，对相关设施和场地进行全过程规范管理。应重点关注油气作业场地周边的土壤和地下水环境，并采取以下措施：</w:t>
                  </w:r>
                </w:p>
                <w:p>
                  <w:pPr>
                    <w:pStyle w:val="344"/>
                    <w:spacing w:beforeLines="0" w:afterLines="0" w:line="240" w:lineRule="auto"/>
                    <w:ind w:firstLine="0" w:firstLineChars="0"/>
                    <w:rPr>
                      <w:rFonts w:hint="default"/>
                      <w:sz w:val="21"/>
                      <w:szCs w:val="21"/>
                    </w:rPr>
                  </w:pPr>
                  <w:r>
                    <w:rPr>
                      <w:rFonts w:hint="default"/>
                      <w:sz w:val="21"/>
                      <w:szCs w:val="21"/>
                    </w:rPr>
                    <w:t>a</w:t>
                  </w:r>
                  <w:r>
                    <w:rPr>
                      <w:rFonts w:hint="eastAsia"/>
                      <w:sz w:val="21"/>
                      <w:szCs w:val="21"/>
                    </w:rPr>
                    <w:t>）.在收集、暂存、转运、处理、利用等环节应采取相应的防渗漏、防扬撒、防泄漏措施。</w:t>
                  </w:r>
                </w:p>
                <w:p>
                  <w:pPr>
                    <w:pStyle w:val="344"/>
                    <w:spacing w:beforeLines="0" w:afterLines="0" w:line="240" w:lineRule="auto"/>
                    <w:ind w:firstLine="0" w:firstLineChars="0"/>
                    <w:rPr>
                      <w:rFonts w:hint="default"/>
                      <w:sz w:val="21"/>
                      <w:szCs w:val="21"/>
                    </w:rPr>
                  </w:pPr>
                  <w:r>
                    <w:rPr>
                      <w:rFonts w:hint="default"/>
                      <w:sz w:val="21"/>
                      <w:szCs w:val="21"/>
                    </w:rPr>
                    <w:t>b</w:t>
                  </w:r>
                  <w:r>
                    <w:rPr>
                      <w:rFonts w:hint="eastAsia"/>
                      <w:sz w:val="21"/>
                      <w:szCs w:val="21"/>
                    </w:rPr>
                    <w:t>）暂存区、填埋场地的防渗设计与建造应满足国家和行业相关防渗标准与技术规范的要求。</w:t>
                  </w:r>
                </w:p>
                <w:p>
                  <w:pPr>
                    <w:pStyle w:val="344"/>
                    <w:spacing w:beforeLines="0" w:afterLines="0" w:line="240" w:lineRule="auto"/>
                    <w:ind w:firstLine="0" w:firstLineChars="0"/>
                    <w:rPr>
                      <w:rFonts w:hint="default"/>
                      <w:sz w:val="21"/>
                      <w:szCs w:val="21"/>
                    </w:rPr>
                  </w:pPr>
                  <w:r>
                    <w:rPr>
                      <w:rFonts w:hint="default"/>
                      <w:sz w:val="21"/>
                      <w:szCs w:val="21"/>
                    </w:rPr>
                    <w:t>c</w:t>
                  </w:r>
                  <w:r>
                    <w:rPr>
                      <w:rFonts w:hint="eastAsia"/>
                      <w:sz w:val="21"/>
                      <w:szCs w:val="21"/>
                    </w:rPr>
                    <w:t>）.对于永久性储存设施，应配备渗漏与泄漏防控设施，采取持续有效措施防止浸出液渗漏、泄漏、流失。</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项目油基岩屑采用螺杆输送机输送至油基岩屑收集罐储存于危险废物贮存点，全过程不落地；危险废物贮存点采取重点防渗措施。</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5.1.1</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钻井过程中产生的含油钻屑宜采取现场不落地实时收集措施，并通过输送装置进入离心分离设备;当不具备现场不落地实时收集条件时，可通过输送装置直接进入离心甩干装置，甩干后的含油钻屑应装入储罐或防渗袋中。</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项目油基岩屑采用螺杆输送机输送至油基岩屑收集罐收集暂存，对油基岩屑实行“不落地”收集。</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5.1.2</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含油污泥可采用储罐、桶装或袋装等方式储装，应能有效隔断危险废物迁移扩散途径，并满足防渗、防漏和防止VOC挥发要求。储罐的设计与加工应坚固耐用，易于搬运和固定，有可识别的信息。</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项目油基岩屑采用可密闭的收集罐收集，暂存于危险废物贮存点。</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5.1.3</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应及时观察储罐内含油污泥量，防止含油污泥外溢。</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项目钻井期间有专人负责观察油基岩屑收集情况，并做好记录。</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5.1.4</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产生、贮存含油污泥的容器和包装物要按照GB18597-2001中附录A的规定设置危险废物标志；收集、运输、处置含油污泥的设施、场所要按照GB15562.2的要求，设置危险废物警告标志。</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项目油基岩屑收集罐及危险废物贮存点均按要求设置专门的标识标牌。</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5.2.1</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收集的含油污泥应有专门的存放场所，符合GB18597相关要求。</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项目油基岩屑暂存于危险废物贮存点，危险废物贮存点按GB 18597采取“六防”措施。</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5.2.2</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装有含油污泥的储存设施20m内属于防火、防爆区域，符合GB50016的相关要求。</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项目危险废物贮存点周边20m范围均为防火、防爆区域，并设置有防火标识。</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5.2.3</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暂存区应建立台账，详细记录出入库的含油污泥数量。</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项目拟建立危险废物转运台账并分批次记录。</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5.2.4</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暂存区周围应设有警示标识牌和隔离带，每天进行巡回检查并记录</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项目危险废物贮存点为密闭房间，并设置有专门的标识标牌，设置专人每天进行巡检并做好巡检记录。</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750"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5.2.5</w:t>
                  </w:r>
                </w:p>
              </w:tc>
              <w:tc>
                <w:tcPr>
                  <w:tcW w:w="422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暂存设施的设计和建造应根据储存含油污泥的类别、特性、暂存周期、暂存场地（地质、地形、水文等自然条件及环境敏感性）及相关工程作业需要等具体情况。其基本建造要求包括但不限于：</w:t>
                  </w:r>
                </w:p>
                <w:p>
                  <w:pPr>
                    <w:pStyle w:val="344"/>
                    <w:spacing w:beforeLines="0" w:afterLines="0" w:line="240" w:lineRule="auto"/>
                    <w:ind w:firstLine="0" w:firstLineChars="0"/>
                    <w:rPr>
                      <w:rFonts w:hint="default"/>
                      <w:sz w:val="21"/>
                      <w:szCs w:val="21"/>
                    </w:rPr>
                  </w:pPr>
                  <w:r>
                    <w:rPr>
                      <w:rFonts w:hint="default"/>
                      <w:sz w:val="21"/>
                      <w:szCs w:val="21"/>
                    </w:rPr>
                    <w:t>a</w:t>
                  </w:r>
                  <w:r>
                    <w:rPr>
                      <w:rFonts w:hint="eastAsia"/>
                      <w:sz w:val="21"/>
                      <w:szCs w:val="21"/>
                    </w:rPr>
                    <w:t>）暂存设施容积应满足其直至关闭的暂存需求。</w:t>
                  </w:r>
                </w:p>
                <w:p>
                  <w:pPr>
                    <w:pStyle w:val="344"/>
                    <w:spacing w:beforeLines="0" w:afterLines="0" w:line="240" w:lineRule="auto"/>
                    <w:ind w:firstLine="0" w:firstLineChars="0"/>
                    <w:rPr>
                      <w:rFonts w:hint="default"/>
                      <w:sz w:val="21"/>
                      <w:szCs w:val="21"/>
                    </w:rPr>
                  </w:pPr>
                  <w:r>
                    <w:rPr>
                      <w:rFonts w:hint="default"/>
                      <w:sz w:val="21"/>
                      <w:szCs w:val="21"/>
                    </w:rPr>
                    <w:t>b</w:t>
                  </w:r>
                  <w:r>
                    <w:rPr>
                      <w:rFonts w:hint="eastAsia"/>
                      <w:sz w:val="21"/>
                      <w:szCs w:val="21"/>
                    </w:rPr>
                    <w:t>）根据勘查资料，确定暂存场地是否存在含水层。</w:t>
                  </w:r>
                </w:p>
                <w:p>
                  <w:pPr>
                    <w:pStyle w:val="344"/>
                    <w:spacing w:beforeLines="0" w:afterLines="0" w:line="240" w:lineRule="auto"/>
                    <w:ind w:firstLine="0" w:firstLineChars="0"/>
                    <w:rPr>
                      <w:rFonts w:hint="default"/>
                      <w:sz w:val="21"/>
                      <w:szCs w:val="21"/>
                    </w:rPr>
                  </w:pPr>
                  <w:r>
                    <w:rPr>
                      <w:rFonts w:hint="default"/>
                      <w:sz w:val="21"/>
                      <w:szCs w:val="21"/>
                    </w:rPr>
                    <w:t>c</w:t>
                  </w:r>
                  <w:r>
                    <w:rPr>
                      <w:rFonts w:hint="eastAsia"/>
                      <w:sz w:val="21"/>
                      <w:szCs w:val="21"/>
                    </w:rPr>
                    <w:t>）暂存设施设计深度不应穿透地下含水层，应根</w:t>
                  </w:r>
                </w:p>
                <w:p>
                  <w:pPr>
                    <w:pStyle w:val="344"/>
                    <w:spacing w:beforeLines="0" w:afterLines="0" w:line="240" w:lineRule="auto"/>
                    <w:ind w:firstLine="0" w:firstLineChars="0"/>
                    <w:rPr>
                      <w:rFonts w:hint="default"/>
                      <w:sz w:val="21"/>
                      <w:szCs w:val="21"/>
                    </w:rPr>
                  </w:pPr>
                  <w:r>
                    <w:rPr>
                      <w:rFonts w:hint="eastAsia"/>
                      <w:sz w:val="21"/>
                      <w:szCs w:val="21"/>
                    </w:rPr>
                    <w:t>据含油污泥特性和场地特征进行防渗处理。</w:t>
                  </w:r>
                </w:p>
                <w:p>
                  <w:pPr>
                    <w:pStyle w:val="344"/>
                    <w:spacing w:beforeLines="0" w:afterLines="0" w:line="240" w:lineRule="auto"/>
                    <w:ind w:firstLine="0" w:firstLineChars="0"/>
                    <w:rPr>
                      <w:rFonts w:hint="default"/>
                      <w:sz w:val="21"/>
                      <w:szCs w:val="21"/>
                    </w:rPr>
                  </w:pPr>
                  <w:r>
                    <w:rPr>
                      <w:rFonts w:hint="default"/>
                      <w:sz w:val="21"/>
                      <w:szCs w:val="21"/>
                    </w:rPr>
                    <w:t>d</w:t>
                  </w:r>
                  <w:r>
                    <w:rPr>
                      <w:rFonts w:hint="eastAsia"/>
                      <w:sz w:val="21"/>
                      <w:szCs w:val="21"/>
                    </w:rPr>
                    <w:t>）暂存设施周边应根据地形设置防止雨水径流进入的导流区，并构筑防止含油污泥溢出的堤、坝、挡土墙等设施。</w:t>
                  </w:r>
                </w:p>
                <w:p>
                  <w:pPr>
                    <w:pStyle w:val="344"/>
                    <w:spacing w:beforeLines="0" w:afterLines="0" w:line="240" w:lineRule="auto"/>
                    <w:ind w:firstLine="0" w:firstLineChars="0"/>
                    <w:rPr>
                      <w:rFonts w:hint="default"/>
                      <w:sz w:val="21"/>
                      <w:szCs w:val="21"/>
                    </w:rPr>
                  </w:pPr>
                  <w:r>
                    <w:rPr>
                      <w:rFonts w:hint="default"/>
                      <w:sz w:val="21"/>
                      <w:szCs w:val="21"/>
                    </w:rPr>
                    <w:t>e</w:t>
                  </w:r>
                  <w:r>
                    <w:rPr>
                      <w:rFonts w:hint="eastAsia"/>
                      <w:sz w:val="21"/>
                      <w:szCs w:val="21"/>
                    </w:rPr>
                    <w:t>）暂存设施周围护堤（坝、挡土墙）的高度、坡度和材料应确保持其结构完好，可免于暴风雨、渗水或其他自然因素的影响。</w:t>
                  </w:r>
                </w:p>
                <w:p>
                  <w:pPr>
                    <w:pStyle w:val="344"/>
                    <w:spacing w:beforeLines="0" w:afterLines="0" w:line="240" w:lineRule="auto"/>
                    <w:ind w:firstLine="0" w:firstLineChars="0"/>
                    <w:rPr>
                      <w:rFonts w:hint="default"/>
                      <w:sz w:val="21"/>
                      <w:szCs w:val="21"/>
                    </w:rPr>
                  </w:pPr>
                  <w:r>
                    <w:rPr>
                      <w:rFonts w:hint="default"/>
                      <w:sz w:val="21"/>
                      <w:szCs w:val="21"/>
                    </w:rPr>
                    <w:t>f</w:t>
                  </w:r>
                  <w:r>
                    <w:rPr>
                      <w:rFonts w:hint="eastAsia"/>
                      <w:sz w:val="21"/>
                      <w:szCs w:val="21"/>
                    </w:rPr>
                    <w:t>）对于明显存在游离油、使用周期长或位于干旱地区的暂存设施，应根据周围环境敏感目标设立围栏、护网、栅栏等防护设施。</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危险废物贮存点为设置在地面上的独立密闭房间并作重点防渗处理，对地下含水层无影响；出入口设置门槛，可保证泄漏物料不会外溢至危险废物贮存点外。并设置有防雨、防径流进入暂存区（含导流区）设施。</w:t>
                  </w:r>
                </w:p>
              </w:tc>
              <w:tc>
                <w:tcPr>
                  <w:tcW w:w="626"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6" w:hRule="atLeast"/>
                <w:jc w:val="center"/>
              </w:trPr>
              <w:tc>
                <w:tcPr>
                  <w:tcW w:w="750"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5.2.6</w:t>
                  </w:r>
                </w:p>
              </w:tc>
              <w:tc>
                <w:tcPr>
                  <w:tcW w:w="4224"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default"/>
                      <w:sz w:val="21"/>
                      <w:szCs w:val="21"/>
                    </w:rPr>
                    <w:t>5.4.1</w:t>
                  </w:r>
                  <w:r>
                    <w:rPr>
                      <w:rFonts w:hint="eastAsia"/>
                      <w:sz w:val="21"/>
                      <w:szCs w:val="21"/>
                    </w:rPr>
                    <w:t>含油污泥转运应按照国家有关规定办理危险废物转移手续，填写危险废物转移联单，执行一车一联单，遵守国家有关危险货物转运管理规定，并应符合HJ2025的相关规定。</w:t>
                  </w:r>
                </w:p>
                <w:p>
                  <w:pPr>
                    <w:pStyle w:val="344"/>
                    <w:spacing w:beforeLines="0" w:afterLines="0" w:line="240" w:lineRule="auto"/>
                    <w:ind w:firstLine="0" w:firstLineChars="0"/>
                    <w:rPr>
                      <w:rFonts w:hint="default"/>
                      <w:sz w:val="21"/>
                      <w:szCs w:val="21"/>
                    </w:rPr>
                  </w:pPr>
                  <w:r>
                    <w:rPr>
                      <w:rFonts w:hint="default"/>
                      <w:sz w:val="21"/>
                      <w:szCs w:val="21"/>
                    </w:rPr>
                    <w:t>5.4.2</w:t>
                  </w:r>
                  <w:r>
                    <w:rPr>
                      <w:rFonts w:hint="eastAsia"/>
                      <w:sz w:val="21"/>
                      <w:szCs w:val="21"/>
                    </w:rPr>
                    <w:t>含油污泥转运车辆应纳入专项管理，车辆应取得危险废物转运许可证，并加装定位系统，可动态监控，转运过程要严格按照规定的转运路线行驶，避开水源地、自然保护区等环境敏感区域。</w:t>
                  </w:r>
                </w:p>
                <w:p>
                  <w:pPr>
                    <w:pStyle w:val="344"/>
                    <w:spacing w:beforeLines="0" w:afterLines="0" w:line="240" w:lineRule="auto"/>
                    <w:ind w:firstLine="0" w:firstLineChars="0"/>
                    <w:rPr>
                      <w:rFonts w:hint="default"/>
                      <w:sz w:val="21"/>
                      <w:szCs w:val="21"/>
                    </w:rPr>
                  </w:pPr>
                  <w:r>
                    <w:rPr>
                      <w:rFonts w:hint="default"/>
                      <w:sz w:val="21"/>
                      <w:szCs w:val="21"/>
                    </w:rPr>
                    <w:t>5.4.3</w:t>
                  </w:r>
                  <w:r>
                    <w:rPr>
                      <w:rFonts w:hint="eastAsia"/>
                      <w:sz w:val="21"/>
                      <w:szCs w:val="21"/>
                    </w:rPr>
                    <w:t>建设单位对含油污泥在油区内部转运要有明确的交接记录，包括转运的数量、时间、转运车牌号、驾驶员联系方式等。</w:t>
                  </w:r>
                </w:p>
                <w:p>
                  <w:pPr>
                    <w:pStyle w:val="344"/>
                    <w:spacing w:beforeLines="0" w:afterLines="0" w:line="240" w:lineRule="auto"/>
                    <w:ind w:firstLine="0" w:firstLineChars="0"/>
                    <w:rPr>
                      <w:rFonts w:hint="default"/>
                      <w:sz w:val="21"/>
                      <w:szCs w:val="21"/>
                    </w:rPr>
                  </w:pPr>
                  <w:r>
                    <w:rPr>
                      <w:rFonts w:hint="default"/>
                      <w:sz w:val="21"/>
                      <w:szCs w:val="21"/>
                    </w:rPr>
                    <w:t>5.4.4</w:t>
                  </w:r>
                  <w:r>
                    <w:rPr>
                      <w:rFonts w:hint="eastAsia"/>
                      <w:sz w:val="21"/>
                      <w:szCs w:val="21"/>
                    </w:rPr>
                    <w:t>含油污泥转运应具有完善的应急预案，包括预防与处理泄漏、交通事故等突发情况</w:t>
                  </w:r>
                </w:p>
              </w:tc>
              <w:tc>
                <w:tcPr>
                  <w:tcW w:w="1838"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项目油基岩屑交由有资质单位处置，采用专门的危废转运车辆到井场收运处置，并实行“五联单”制，详细记录每一批次油基岩屑的转运情况。</w:t>
                  </w:r>
                </w:p>
              </w:tc>
              <w:tc>
                <w:tcPr>
                  <w:tcW w:w="626"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bl>
          <w:p>
            <w:pPr>
              <w:pStyle w:val="38"/>
              <w:numPr>
                <w:ilvl w:val="1"/>
                <w:numId w:val="3"/>
              </w:numPr>
              <w:spacing w:before="0" w:beforeLines="0" w:beforeAutospacing="0" w:after="0" w:afterLines="0" w:afterAutospacing="0" w:line="360" w:lineRule="auto"/>
              <w:ind w:left="0" w:firstLine="0"/>
              <w:rPr>
                <w:rFonts w:hint="default" w:ascii="Times New Roman" w:hAnsi="Times New Roman"/>
                <w:b/>
                <w:sz w:val="24"/>
                <w:szCs w:val="24"/>
              </w:rPr>
            </w:pPr>
            <w:r>
              <w:rPr>
                <w:rFonts w:hint="eastAsia" w:ascii="Times New Roman" w:hAnsi="Times New Roman"/>
                <w:b/>
                <w:sz w:val="24"/>
                <w:szCs w:val="24"/>
              </w:rPr>
              <w:t>《陆上石油天然气开采水基钻井废弃物处理处置及资源化利用技术规范》（SY/T 7466-2020）符合性分析</w:t>
            </w:r>
          </w:p>
          <w:p>
            <w:pPr>
              <w:pStyle w:val="344"/>
              <w:spacing w:beforeLines="0" w:afterLines="0"/>
              <w:ind w:firstLine="480"/>
              <w:rPr>
                <w:rFonts w:hint="default"/>
                <w:sz w:val="24"/>
                <w:szCs w:val="24"/>
              </w:rPr>
            </w:pPr>
            <w:r>
              <w:rPr>
                <w:rFonts w:hint="eastAsia"/>
                <w:sz w:val="24"/>
                <w:szCs w:val="24"/>
              </w:rPr>
              <w:t>本项目与《陆上石油天然气开采水基钻井废弃物处理处置及资源化利用技术规范》（SY/T 7466-2020）对比分析详见下表。</w:t>
            </w:r>
          </w:p>
          <w:p>
            <w:pPr>
              <w:numPr>
                <w:ilvl w:val="0"/>
                <w:numId w:val="0"/>
              </w:numPr>
              <w:spacing w:beforeLines="0" w:afterLines="0" w:line="360" w:lineRule="auto"/>
              <w:ind w:leftChars="0"/>
              <w:jc w:val="center"/>
              <w:rPr>
                <w:rFonts w:hint="default"/>
                <w:b/>
                <w:sz w:val="24"/>
                <w:szCs w:val="24"/>
              </w:rPr>
            </w:pPr>
            <w:r>
              <w:rPr>
                <w:rFonts w:hint="eastAsia"/>
                <w:b/>
                <w:sz w:val="24"/>
                <w:szCs w:val="24"/>
                <w:lang w:val="en-US" w:eastAsia="zh-CN"/>
              </w:rPr>
              <w:t xml:space="preserve">表1-10 </w:t>
            </w:r>
            <w:r>
              <w:rPr>
                <w:rFonts w:hint="eastAsia"/>
                <w:b/>
                <w:sz w:val="24"/>
                <w:szCs w:val="24"/>
              </w:rPr>
              <w:t>与《陆上石油天然气开采水基钻井废弃物处理处置及资源化利用技术规范》（SY/T 7466-2020）对比分析表（摘录）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477"/>
              <w:gridCol w:w="2468"/>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序号</w:t>
                  </w:r>
                </w:p>
              </w:tc>
              <w:tc>
                <w:tcPr>
                  <w:tcW w:w="3477"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技术规范要求</w:t>
                  </w:r>
                </w:p>
              </w:tc>
              <w:tc>
                <w:tcPr>
                  <w:tcW w:w="2468"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本工程内容</w:t>
                  </w:r>
                </w:p>
              </w:tc>
              <w:tc>
                <w:tcPr>
                  <w:tcW w:w="841" w:type="dxa"/>
                  <w:tcBorders>
                    <w:top w:val="single" w:color="auto" w:sz="12"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一般要求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4.1</w:t>
                  </w: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根据井位分布、井区地貌等条件确定随钻处理模式、集中建站处理模式或随钻一集中相结合模式，对水基钻井废弃物进行不落地收集、处理、处置。</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4.2</w:t>
                  </w: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对收集的水基钻井废弃物采用固液分离以实现钻井废弃物减量化。水基钻井废弃物进行固液分离或无害化处理后，进一步资源化处理或安全处置。资源化处理符合6.1的要求。</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本工程产生的水基岩屑、废水基泥浆选择振动筛、离心机、板滤压滤机等设备进行减量化处理，并拟做烧结砖原料进行资源化利用。</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固液分离技术要求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5.2.1</w:t>
                  </w: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水基钻井废弃物根据其现场要求选择化-机械固液分离技术进行减量化处</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本工程产生的水基岩屑、废水基泥浆选择振动筛、离心机、板滤压滤机等设备进行减量化处理。</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本工程产生的水基岩屑、废水基泥浆经固液分离至含水率小于60%后，外运资源化利用，用作制作烧结砖。</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液相资源化利用要求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6.1.1</w:t>
                  </w: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固液分离技术分离后的液相 相关指标达到井队钻井液配浆要求，宜首先考虑钻井液配浆。</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本工程固液分离后的钻井废水用作配置压裂液。</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固相资源化利用要求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6.2.1</w:t>
                  </w:r>
                </w:p>
              </w:tc>
              <w:tc>
                <w:tcPr>
                  <w:tcW w:w="347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4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本工程产生的水基岩屑、废水基泥浆外运资源化利用，用作制作烧结砖。</w:t>
                  </w:r>
                </w:p>
              </w:tc>
              <w:tc>
                <w:tcPr>
                  <w:tcW w:w="841" w:type="dxa"/>
                  <w:tcBorders>
                    <w:top w:val="single" w:color="auto" w:sz="4" w:space="0"/>
                    <w:left w:val="single" w:color="auto" w:sz="4" w:space="0"/>
                    <w:bottom w:val="single" w:color="auto" w:sz="4"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default"/>
                      <w:sz w:val="21"/>
                      <w:szCs w:val="21"/>
                    </w:rPr>
                    <w:t>6.2.2</w:t>
                  </w:r>
                </w:p>
              </w:tc>
              <w:tc>
                <w:tcPr>
                  <w:tcW w:w="3477"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rPr>
                      <w:rFonts w:hint="default"/>
                      <w:sz w:val="21"/>
                      <w:szCs w:val="21"/>
                    </w:rPr>
                  </w:pPr>
                  <w:r>
                    <w:rPr>
                      <w:rFonts w:hint="eastAsia"/>
                      <w:sz w:val="21"/>
                      <w:szCs w:val="21"/>
                    </w:rPr>
                    <w:t>水基钻井废弃物经固液分离后，可作为水泥窑协同处置的原料。</w:t>
                  </w:r>
                </w:p>
              </w:tc>
              <w:tc>
                <w:tcPr>
                  <w:tcW w:w="2468" w:type="dxa"/>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本工程产生的水基岩屑、废水基泥浆外运资源化利用，用作制作烧结砖。</w:t>
                  </w:r>
                </w:p>
              </w:tc>
              <w:tc>
                <w:tcPr>
                  <w:tcW w:w="841" w:type="dxa"/>
                  <w:tcBorders>
                    <w:top w:val="single" w:color="auto" w:sz="4" w:space="0"/>
                    <w:left w:val="single" w:color="auto" w:sz="4" w:space="0"/>
                    <w:bottom w:val="single" w:color="auto" w:sz="12" w:space="0"/>
                    <w:right w:val="single" w:color="auto" w:sz="12" w:space="0"/>
                    <w:tl2br w:val="nil"/>
                    <w:tr2bl w:val="nil"/>
                  </w:tcBorders>
                  <w:noWrap w:val="0"/>
                  <w:vAlign w:val="center"/>
                </w:tcPr>
                <w:p>
                  <w:pPr>
                    <w:pStyle w:val="344"/>
                    <w:spacing w:beforeLines="0" w:afterLines="0" w:line="240" w:lineRule="auto"/>
                    <w:ind w:firstLine="0" w:firstLineChars="0"/>
                    <w:jc w:val="center"/>
                    <w:rPr>
                      <w:rFonts w:hint="default"/>
                      <w:sz w:val="21"/>
                      <w:szCs w:val="21"/>
                    </w:rPr>
                  </w:pPr>
                  <w:r>
                    <w:rPr>
                      <w:rFonts w:hint="eastAsia"/>
                      <w:sz w:val="21"/>
                      <w:szCs w:val="21"/>
                    </w:rPr>
                    <w:t>符合</w:t>
                  </w:r>
                </w:p>
              </w:tc>
            </w:tr>
          </w:tbl>
          <w:p>
            <w:pPr>
              <w:pStyle w:val="344"/>
              <w:spacing w:beforeLines="0" w:afterLines="0"/>
              <w:ind w:firstLine="480"/>
              <w:rPr>
                <w:rFonts w:ascii="Times New Roman" w:hAnsi="Times New Roman" w:eastAsia="黑体"/>
                <w:snapToGrid w:val="0"/>
                <w:sz w:val="21"/>
                <w:szCs w:val="21"/>
                <w:vertAlign w:val="baseline"/>
              </w:rPr>
            </w:pPr>
            <w:r>
              <w:rPr>
                <w:rFonts w:hint="eastAsia"/>
                <w:sz w:val="24"/>
                <w:szCs w:val="24"/>
              </w:rPr>
              <w:t>由上表可知，本项目建设符合《陆上石油天然气开采水基钻井废弃物处理处置及资源化利用技术规范》（SY/T 7466-2020）要求。</w:t>
            </w:r>
          </w:p>
        </w:tc>
      </w:tr>
    </w:tbl>
    <w:p>
      <w:pPr>
        <w:pStyle w:val="38"/>
        <w:keepNext w:val="0"/>
        <w:keepLines w:val="0"/>
        <w:pageBreakBefore w:val="0"/>
        <w:widowControl/>
        <w:kinsoku/>
        <w:wordWrap/>
        <w:overflowPunct/>
        <w:topLinePunct w:val="0"/>
        <w:autoSpaceDE/>
        <w:autoSpaceDN/>
        <w:bidi w:val="0"/>
        <w:adjustRightInd/>
        <w:snapToGrid/>
        <w:jc w:val="center"/>
        <w:textAlignment w:val="auto"/>
        <w:outlineLvl w:val="9"/>
        <w:rPr>
          <w:rFonts w:ascii="Times New Roman" w:hAnsi="Times New Roman" w:eastAsia="黑体"/>
          <w:snapToGrid w:val="0"/>
          <w:sz w:val="21"/>
          <w:szCs w:val="21"/>
        </w:rPr>
      </w:pPr>
    </w:p>
    <w:p>
      <w:pPr>
        <w:pStyle w:val="38"/>
        <w:keepNext w:val="0"/>
        <w:keepLines w:val="0"/>
        <w:pageBreakBefore w:val="0"/>
        <w:widowControl/>
        <w:kinsoku/>
        <w:wordWrap/>
        <w:overflowPunct/>
        <w:topLinePunct w:val="0"/>
        <w:autoSpaceDE/>
        <w:autoSpaceDN/>
        <w:bidi w:val="0"/>
        <w:adjustRightInd/>
        <w:snapToGrid/>
        <w:jc w:val="center"/>
        <w:textAlignment w:val="auto"/>
        <w:outlineLvl w:val="9"/>
        <w:rPr>
          <w:rFonts w:ascii="Times New Roman" w:hAnsi="Times New Roman" w:eastAsia="黑体"/>
          <w:snapToGrid w:val="0"/>
          <w:sz w:val="21"/>
          <w:szCs w:val="21"/>
        </w:rPr>
        <w:sectPr>
          <w:pgSz w:w="11906" w:h="16838"/>
          <w:pgMar w:top="1417" w:right="1417" w:bottom="1417" w:left="1701" w:header="851" w:footer="1077" w:gutter="0"/>
          <w:cols w:space="720" w:num="1"/>
          <w:docGrid w:linePitch="312" w:charSpace="0"/>
        </w:sectPr>
      </w:pPr>
    </w:p>
    <w:p>
      <w:pPr>
        <w:pStyle w:val="38"/>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44"/>
        <w:tblW w:w="92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24" w:type="dxa"/>
            <w:vAlign w:val="center"/>
          </w:tcPr>
          <w:p>
            <w:pPr>
              <w:adjustRightInd w:val="0"/>
              <w:snapToGrid w:val="0"/>
              <w:jc w:val="center"/>
              <w:rPr>
                <w:kern w:val="0"/>
                <w:szCs w:val="21"/>
              </w:rPr>
            </w:pPr>
            <w:r>
              <w:rPr>
                <w:kern w:val="0"/>
                <w:szCs w:val="21"/>
              </w:rPr>
              <w:t>地理位置</w:t>
            </w:r>
          </w:p>
        </w:tc>
        <w:tc>
          <w:tcPr>
            <w:tcW w:w="8098" w:type="dxa"/>
            <w:vAlign w:val="center"/>
          </w:tcPr>
          <w:p>
            <w:pPr>
              <w:adjustRightInd w:val="0"/>
              <w:snapToGrid w:val="0"/>
              <w:spacing w:line="360" w:lineRule="auto"/>
              <w:ind w:firstLine="480" w:firstLineChars="200"/>
              <w:rPr>
                <w:kern w:val="0"/>
                <w:szCs w:val="21"/>
              </w:rPr>
            </w:pPr>
            <w:r>
              <w:rPr>
                <w:kern w:val="0"/>
                <w:sz w:val="24"/>
              </w:rPr>
              <w:t>项目位于</w:t>
            </w:r>
            <w:r>
              <w:rPr>
                <w:rFonts w:hint="eastAsia"/>
                <w:kern w:val="0"/>
                <w:sz w:val="24"/>
              </w:rPr>
              <w:t>四川省达州市宣汉县大成镇大地村1组</w:t>
            </w:r>
            <w:r>
              <w:rPr>
                <w:kern w:val="0"/>
                <w:sz w:val="24"/>
              </w:rPr>
              <w:t>，距</w:t>
            </w:r>
            <w:r>
              <w:rPr>
                <w:rFonts w:hint="eastAsia"/>
                <w:kern w:val="0"/>
                <w:sz w:val="24"/>
              </w:rPr>
              <w:t>达州</w:t>
            </w:r>
            <w:r>
              <w:rPr>
                <w:kern w:val="0"/>
                <w:sz w:val="24"/>
              </w:rPr>
              <w:t>市区直线距离约</w:t>
            </w:r>
            <w:r>
              <w:rPr>
                <w:rFonts w:hint="eastAsia"/>
                <w:kern w:val="0"/>
                <w:sz w:val="24"/>
              </w:rPr>
              <w:t>19</w:t>
            </w:r>
            <w:r>
              <w:rPr>
                <w:kern w:val="0"/>
                <w:sz w:val="24"/>
              </w:rPr>
              <w:t>km，距</w:t>
            </w:r>
            <w:r>
              <w:rPr>
                <w:rFonts w:hint="eastAsia"/>
                <w:kern w:val="0"/>
                <w:sz w:val="24"/>
              </w:rPr>
              <w:t>大成</w:t>
            </w:r>
            <w:r>
              <w:rPr>
                <w:kern w:val="0"/>
                <w:sz w:val="24"/>
              </w:rPr>
              <w:t>镇直线距离约</w:t>
            </w:r>
            <w:r>
              <w:rPr>
                <w:rFonts w:hint="eastAsia"/>
                <w:kern w:val="0"/>
                <w:sz w:val="24"/>
              </w:rPr>
              <w:t>4</w:t>
            </w:r>
            <w:r>
              <w:rPr>
                <w:kern w:val="0"/>
                <w:sz w:val="24"/>
              </w:rPr>
              <w:t>.4km，项目所在地交通较为方便。项目地理位置示意图见附图1。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124" w:type="dxa"/>
            <w:vAlign w:val="center"/>
          </w:tcPr>
          <w:p>
            <w:pPr>
              <w:adjustRightInd w:val="0"/>
              <w:snapToGrid w:val="0"/>
              <w:jc w:val="center"/>
              <w:rPr>
                <w:kern w:val="0"/>
                <w:szCs w:val="21"/>
              </w:rPr>
            </w:pPr>
            <w:r>
              <w:rPr>
                <w:kern w:val="0"/>
                <w:szCs w:val="21"/>
              </w:rPr>
              <w:t>项目组成及规模</w:t>
            </w:r>
          </w:p>
        </w:tc>
        <w:tc>
          <w:tcPr>
            <w:tcW w:w="8098" w:type="dxa"/>
            <w:vAlign w:val="center"/>
          </w:tcPr>
          <w:p>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项目由来</w:t>
            </w:r>
          </w:p>
          <w:p>
            <w:pPr>
              <w:spacing w:line="360" w:lineRule="auto"/>
              <w:ind w:firstLine="480" w:firstLineChars="200"/>
              <w:rPr>
                <w:sz w:val="24"/>
                <w:lang w:val="zh-CN"/>
              </w:rPr>
            </w:pPr>
            <w:r>
              <w:rPr>
                <w:sz w:val="24"/>
                <w:lang w:val="zh-CN"/>
              </w:rPr>
              <w:t>2020年部署实施了雷页1HF井，该井位于普光南部雷音铺构造，导眼井完钻层位下二叠统茅口组，完钻井深4370m</w:t>
            </w:r>
            <w:r>
              <w:rPr>
                <w:rFonts w:hint="eastAsia"/>
                <w:sz w:val="24"/>
                <w:lang w:val="zh-CN"/>
              </w:rPr>
              <w:t>；</w:t>
            </w:r>
            <w:r>
              <w:rPr>
                <w:sz w:val="24"/>
                <w:lang w:val="zh-CN"/>
              </w:rPr>
              <w:t>水平井完钻层位二叠系吴家坪组，完钻井深5880m/4364.53m（垂）。雷页HF1导眼井钻探揭示吴家坪组、龙潭组发育高碳-富碳（含硅）硅质页岩，吴家坪页岩厚度为57.7m，龙潭组页岩厚度为25.0m，取心段见灰黑色混合硅质页岩与硅质页岩互层，发育大量裂缝，页岩具有高TOC（&gt;4.0%）、高孔（&gt;3.0%）、高含气量（&gt;4.5m</w:t>
            </w:r>
            <w:r>
              <w:rPr>
                <w:sz w:val="24"/>
                <w:vertAlign w:val="superscript"/>
                <w:lang w:val="zh-CN"/>
              </w:rPr>
              <w:t>3</w:t>
            </w:r>
            <w:r>
              <w:rPr>
                <w:sz w:val="24"/>
                <w:lang w:val="zh-CN"/>
              </w:rPr>
              <w:t>/t）、高脆性（&gt;75%）“四高”特征。雷页1HF水平段靶窗穿行吴家坪二段优质页岩，2023年对雷页1HF井吴家坪组水平井段4600m-5826m/1226m，分25段87簇实施压裂，采用14mm油嘴、32mm孔板测试求产，井口压力29.63MPa，获日产气量42.66×10</w:t>
            </w:r>
            <w:r>
              <w:rPr>
                <w:sz w:val="24"/>
                <w:vertAlign w:val="superscript"/>
                <w:lang w:val="zh-CN"/>
              </w:rPr>
              <w:t>4</w:t>
            </w:r>
            <w:r>
              <w:rPr>
                <w:sz w:val="24"/>
                <w:lang w:val="zh-CN"/>
              </w:rPr>
              <w:t>m</w:t>
            </w:r>
            <w:r>
              <w:rPr>
                <w:sz w:val="24"/>
                <w:vertAlign w:val="superscript"/>
                <w:lang w:val="zh-CN"/>
              </w:rPr>
              <w:t>3</w:t>
            </w:r>
            <w:r>
              <w:rPr>
                <w:sz w:val="24"/>
                <w:lang w:val="zh-CN"/>
              </w:rPr>
              <w:t>，实测压力系数1.97，总体表现出超高压、裂缝型页岩气藏特征。截至2023年10月7日，雷页1井已累产气312.9万方，目前油压52.4MPa，试采效果好，证实了普光探区二叠系页岩气的勘探潜力。</w:t>
            </w:r>
          </w:p>
          <w:p>
            <w:pPr>
              <w:spacing w:line="360" w:lineRule="auto"/>
              <w:ind w:firstLine="480" w:firstLineChars="200"/>
              <w:rPr>
                <w:sz w:val="24"/>
                <w:lang w:val="zh-CN"/>
              </w:rPr>
            </w:pPr>
            <w:r>
              <w:rPr>
                <w:sz w:val="24"/>
                <w:lang w:val="zh-CN"/>
              </w:rPr>
              <w:t>铁北1井于2008年5月17日完井，技术套管下深2961.94m，雷口坡组-井底，井段2961.94-4535.0m为裸眼段</w:t>
            </w:r>
            <w:r>
              <w:rPr>
                <w:rFonts w:hint="eastAsia"/>
                <w:sz w:val="24"/>
                <w:lang w:val="zh-CN"/>
              </w:rPr>
              <w:t>。按照“普光南部整体部署、多层立体评价、一体化加快推进”的思路，力争“十四五”末在普光南部地区二叠系页岩气强改造区探明天然气1000亿方储量。围绕上述目标，中国石油化工股份有限公司中原油田分公司提出整体部署思路为，2024年探索强改造区及不同埋深裂缝型页岩气资源类型；2025年加快部署节奏，整体上报裂缝型页岩气探明天然气1000亿方储量，同时逐步完善管网。因此在普光地区南部铁山构造铁北1井台上实施评价井铁北1侧HF井。</w:t>
            </w:r>
          </w:p>
          <w:p>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建设内容</w:t>
            </w:r>
          </w:p>
          <w:p>
            <w:pPr>
              <w:pStyle w:val="20"/>
              <w:tabs>
                <w:tab w:val="left" w:pos="0"/>
                <w:tab w:val="left" w:pos="833"/>
              </w:tabs>
              <w:spacing w:before="0" w:after="0" w:line="360" w:lineRule="auto"/>
              <w:ind w:right="0" w:firstLine="480" w:firstLineChars="200"/>
              <w:rPr>
                <w:bCs/>
                <w:sz w:val="24"/>
                <w:szCs w:val="24"/>
              </w:rPr>
            </w:pPr>
            <w:bookmarkStart w:id="6" w:name="_Hlk86168201"/>
            <w:bookmarkStart w:id="7" w:name="_Hlk80690965"/>
            <w:r>
              <w:rPr>
                <w:bCs/>
                <w:sz w:val="24"/>
                <w:szCs w:val="24"/>
              </w:rPr>
              <w:t>项目名称：</w:t>
            </w:r>
            <w:r>
              <w:rPr>
                <w:rFonts w:hint="eastAsia"/>
                <w:bCs/>
                <w:sz w:val="24"/>
                <w:szCs w:val="24"/>
              </w:rPr>
              <w:t>铁北</w:t>
            </w:r>
            <w:r>
              <w:rPr>
                <w:bCs/>
                <w:sz w:val="24"/>
                <w:szCs w:val="24"/>
              </w:rPr>
              <w:t>1侧</w:t>
            </w:r>
            <w:r>
              <w:rPr>
                <w:rFonts w:hint="eastAsia"/>
                <w:bCs/>
                <w:sz w:val="24"/>
                <w:szCs w:val="24"/>
              </w:rPr>
              <w:t>HF井钻井</w:t>
            </w:r>
            <w:r>
              <w:rPr>
                <w:bCs/>
                <w:sz w:val="24"/>
                <w:szCs w:val="24"/>
              </w:rPr>
              <w:t>工程</w:t>
            </w:r>
          </w:p>
          <w:p>
            <w:pPr>
              <w:pStyle w:val="20"/>
              <w:tabs>
                <w:tab w:val="left" w:pos="0"/>
                <w:tab w:val="left" w:pos="833"/>
              </w:tabs>
              <w:spacing w:before="0" w:after="0" w:line="360" w:lineRule="auto"/>
              <w:ind w:right="0" w:firstLine="480" w:firstLineChars="200"/>
              <w:rPr>
                <w:bCs/>
                <w:sz w:val="24"/>
                <w:szCs w:val="24"/>
              </w:rPr>
            </w:pPr>
            <w:r>
              <w:rPr>
                <w:bCs/>
                <w:sz w:val="24"/>
                <w:szCs w:val="24"/>
              </w:rPr>
              <w:t>建设单位：中国石油化工股份有限公司中原油田普光分公司</w:t>
            </w:r>
          </w:p>
          <w:p>
            <w:pPr>
              <w:pStyle w:val="20"/>
              <w:tabs>
                <w:tab w:val="left" w:pos="0"/>
                <w:tab w:val="left" w:pos="833"/>
              </w:tabs>
              <w:spacing w:before="0" w:after="0" w:line="360" w:lineRule="auto"/>
              <w:ind w:right="0" w:firstLine="480" w:firstLineChars="200"/>
              <w:rPr>
                <w:bCs/>
                <w:sz w:val="24"/>
                <w:szCs w:val="24"/>
              </w:rPr>
            </w:pPr>
            <w:r>
              <w:rPr>
                <w:bCs/>
                <w:sz w:val="24"/>
                <w:szCs w:val="24"/>
              </w:rPr>
              <w:t>建设性质：扩建</w:t>
            </w:r>
          </w:p>
          <w:p>
            <w:pPr>
              <w:pStyle w:val="20"/>
              <w:tabs>
                <w:tab w:val="left" w:pos="0"/>
                <w:tab w:val="left" w:pos="833"/>
              </w:tabs>
              <w:spacing w:before="0" w:after="0" w:line="360" w:lineRule="auto"/>
              <w:ind w:right="0" w:firstLine="480" w:firstLineChars="200"/>
              <w:rPr>
                <w:bCs/>
                <w:sz w:val="24"/>
                <w:szCs w:val="24"/>
              </w:rPr>
            </w:pPr>
            <w:r>
              <w:rPr>
                <w:bCs/>
                <w:sz w:val="24"/>
                <w:szCs w:val="24"/>
              </w:rPr>
              <w:t>项目总投资：5</w:t>
            </w:r>
            <w:r>
              <w:rPr>
                <w:rFonts w:hint="eastAsia"/>
                <w:bCs/>
                <w:sz w:val="24"/>
                <w:szCs w:val="24"/>
              </w:rPr>
              <w:t>000</w:t>
            </w:r>
            <w:r>
              <w:rPr>
                <w:bCs/>
                <w:sz w:val="24"/>
                <w:szCs w:val="24"/>
              </w:rPr>
              <w:t>万元</w:t>
            </w:r>
          </w:p>
          <w:p>
            <w:pPr>
              <w:pStyle w:val="20"/>
              <w:tabs>
                <w:tab w:val="left" w:pos="0"/>
                <w:tab w:val="left" w:pos="833"/>
              </w:tabs>
              <w:spacing w:before="0" w:after="0" w:line="360" w:lineRule="auto"/>
              <w:ind w:right="0" w:firstLine="480" w:firstLineChars="200"/>
              <w:rPr>
                <w:bCs/>
                <w:sz w:val="24"/>
                <w:szCs w:val="24"/>
              </w:rPr>
            </w:pPr>
            <w:r>
              <w:rPr>
                <w:bCs/>
                <w:sz w:val="24"/>
                <w:szCs w:val="24"/>
              </w:rPr>
              <w:t>建设内容</w:t>
            </w:r>
            <w:bookmarkStart w:id="8" w:name="_Hlk79354512"/>
            <w:bookmarkStart w:id="9" w:name="_Hlk98357504"/>
            <w:r>
              <w:rPr>
                <w:bCs/>
                <w:sz w:val="24"/>
                <w:szCs w:val="24"/>
              </w:rPr>
              <w:t>：利用</w:t>
            </w:r>
            <w:r>
              <w:rPr>
                <w:rFonts w:hint="eastAsia"/>
                <w:bCs/>
                <w:sz w:val="24"/>
                <w:szCs w:val="24"/>
              </w:rPr>
              <w:t>铁北1</w:t>
            </w:r>
            <w:r>
              <w:rPr>
                <w:bCs/>
                <w:sz w:val="24"/>
                <w:szCs w:val="24"/>
              </w:rPr>
              <w:t>井老井</w:t>
            </w:r>
            <w:r>
              <w:rPr>
                <w:rFonts w:hint="eastAsia"/>
                <w:bCs/>
                <w:sz w:val="24"/>
                <w:szCs w:val="24"/>
              </w:rPr>
              <w:t>井眼</w:t>
            </w:r>
            <w:r>
              <w:rPr>
                <w:bCs/>
                <w:sz w:val="24"/>
                <w:szCs w:val="24"/>
              </w:rPr>
              <w:t>开窗侧钻，开窗位置4</w:t>
            </w:r>
            <w:r>
              <w:rPr>
                <w:rFonts w:hint="eastAsia"/>
                <w:bCs/>
                <w:sz w:val="24"/>
                <w:szCs w:val="24"/>
              </w:rPr>
              <w:t>135</w:t>
            </w:r>
            <w:r>
              <w:rPr>
                <w:bCs/>
                <w:sz w:val="24"/>
                <w:szCs w:val="24"/>
              </w:rPr>
              <w:t>米，设计井深</w:t>
            </w:r>
            <w:r>
              <w:rPr>
                <w:rFonts w:hint="eastAsia"/>
                <w:bCs/>
                <w:sz w:val="24"/>
                <w:szCs w:val="24"/>
              </w:rPr>
              <w:t>导眼段为5221m，水平段5263</w:t>
            </w:r>
            <w:r>
              <w:rPr>
                <w:bCs/>
                <w:sz w:val="24"/>
                <w:szCs w:val="24"/>
              </w:rPr>
              <w:t>米。目的层位为二叠系茅口组（导眼）二叠系龙潭组（水平段）</w:t>
            </w:r>
            <w:r>
              <w:rPr>
                <w:rFonts w:hint="eastAsia"/>
                <w:bCs/>
                <w:sz w:val="24"/>
                <w:szCs w:val="24"/>
                <w:lang w:eastAsia="zh-CN"/>
              </w:rPr>
              <w:t>，</w:t>
            </w:r>
            <w:r>
              <w:rPr>
                <w:rFonts w:hint="eastAsia"/>
                <w:bCs/>
                <w:sz w:val="24"/>
                <w:szCs w:val="24"/>
                <w:lang w:val="en-US" w:eastAsia="zh-CN"/>
              </w:rPr>
              <w:t>采用</w:t>
            </w:r>
            <w:r>
              <w:rPr>
                <w:bCs/>
                <w:sz w:val="24"/>
                <w:szCs w:val="24"/>
              </w:rPr>
              <w:t>套管完井。钻井目的是导眼井评价宽缓背斜龙潭组、吴家坪组裂缝型储层及含气性；</w:t>
            </w:r>
            <w:r>
              <w:rPr>
                <w:rFonts w:hint="eastAsia"/>
                <w:bCs/>
                <w:sz w:val="24"/>
                <w:szCs w:val="24"/>
              </w:rPr>
              <w:t>水平</w:t>
            </w:r>
            <w:r>
              <w:rPr>
                <w:bCs/>
                <w:sz w:val="24"/>
                <w:szCs w:val="24"/>
              </w:rPr>
              <w:t>井评价宽缓背斜龙潭组、吴家坪组裂缝型储层含气性及产能。</w:t>
            </w:r>
            <w:r>
              <w:rPr>
                <w:rFonts w:hint="eastAsia"/>
                <w:bCs/>
                <w:sz w:val="24"/>
                <w:szCs w:val="24"/>
                <w:lang w:val="en-US" w:eastAsia="zh-CN"/>
              </w:rPr>
              <w:t>本项目总用地面积为15439m</w:t>
            </w:r>
            <w:r>
              <w:rPr>
                <w:rFonts w:hint="eastAsia"/>
                <w:bCs/>
                <w:sz w:val="24"/>
                <w:szCs w:val="24"/>
                <w:vertAlign w:val="superscript"/>
                <w:lang w:val="en-US" w:eastAsia="zh-CN"/>
              </w:rPr>
              <w:t>2</w:t>
            </w:r>
            <w:r>
              <w:rPr>
                <w:rFonts w:hint="eastAsia"/>
                <w:bCs/>
                <w:sz w:val="24"/>
                <w:szCs w:val="24"/>
                <w:lang w:val="en-US" w:eastAsia="zh-CN"/>
              </w:rPr>
              <w:t>，</w:t>
            </w:r>
            <w:r>
              <w:rPr>
                <w:rFonts w:hint="eastAsia"/>
                <w:bCs/>
                <w:sz w:val="24"/>
                <w:szCs w:val="24"/>
              </w:rPr>
              <w:t>依托原铁北1井</w:t>
            </w:r>
            <w:r>
              <w:rPr>
                <w:rFonts w:hint="eastAsia"/>
                <w:bCs/>
                <w:sz w:val="24"/>
                <w:szCs w:val="24"/>
                <w:lang w:val="en-US" w:eastAsia="zh-CN"/>
              </w:rPr>
              <w:t>已建井场面积6850m</w:t>
            </w:r>
            <w:r>
              <w:rPr>
                <w:rFonts w:hint="eastAsia"/>
                <w:bCs/>
                <w:sz w:val="24"/>
                <w:szCs w:val="24"/>
                <w:vertAlign w:val="superscript"/>
                <w:lang w:val="en-US" w:eastAsia="zh-CN"/>
              </w:rPr>
              <w:t>2</w:t>
            </w:r>
            <w:r>
              <w:rPr>
                <w:rFonts w:hint="eastAsia"/>
                <w:bCs/>
                <w:sz w:val="24"/>
                <w:szCs w:val="24"/>
              </w:rPr>
              <w:t>，</w:t>
            </w:r>
            <w:r>
              <w:rPr>
                <w:bCs/>
                <w:sz w:val="24"/>
                <w:szCs w:val="24"/>
              </w:rPr>
              <w:t>新增临时占地面积约</w:t>
            </w:r>
            <w:r>
              <w:rPr>
                <w:rFonts w:hint="eastAsia"/>
                <w:bCs/>
                <w:sz w:val="24"/>
                <w:szCs w:val="24"/>
                <w:lang w:val="en-US" w:eastAsia="zh-CN"/>
              </w:rPr>
              <w:t>8589</w:t>
            </w:r>
            <w:r>
              <w:rPr>
                <w:bCs/>
                <w:sz w:val="24"/>
                <w:szCs w:val="24"/>
              </w:rPr>
              <w:t>m</w:t>
            </w:r>
            <w:r>
              <w:rPr>
                <w:bCs/>
                <w:sz w:val="24"/>
                <w:szCs w:val="24"/>
                <w:vertAlign w:val="superscript"/>
              </w:rPr>
              <w:t>2</w:t>
            </w:r>
            <w:r>
              <w:rPr>
                <w:bCs/>
                <w:sz w:val="24"/>
                <w:szCs w:val="24"/>
              </w:rPr>
              <w:t>。</w:t>
            </w:r>
            <w:bookmarkEnd w:id="8"/>
            <w:r>
              <w:rPr>
                <w:bCs/>
                <w:sz w:val="24"/>
                <w:szCs w:val="24"/>
              </w:rPr>
              <w:t>建设内容主要包含钻前工程、钻井工程和</w:t>
            </w:r>
            <w:r>
              <w:rPr>
                <w:rFonts w:hint="eastAsia"/>
                <w:bCs/>
                <w:sz w:val="24"/>
                <w:szCs w:val="24"/>
              </w:rPr>
              <w:t>储层改造</w:t>
            </w:r>
            <w:r>
              <w:rPr>
                <w:bCs/>
                <w:sz w:val="24"/>
                <w:szCs w:val="24"/>
              </w:rPr>
              <w:t>工程。</w:t>
            </w:r>
            <w:bookmarkEnd w:id="9"/>
          </w:p>
          <w:p>
            <w:pPr>
              <w:pStyle w:val="20"/>
              <w:tabs>
                <w:tab w:val="left" w:pos="0"/>
                <w:tab w:val="left" w:pos="833"/>
              </w:tabs>
              <w:spacing w:before="0" w:after="0" w:line="360" w:lineRule="auto"/>
              <w:ind w:right="0" w:firstLine="480" w:firstLineChars="200"/>
              <w:rPr>
                <w:bCs/>
                <w:sz w:val="24"/>
                <w:szCs w:val="24"/>
              </w:rPr>
            </w:pPr>
            <w:r>
              <w:rPr>
                <w:bCs/>
                <w:sz w:val="24"/>
                <w:szCs w:val="24"/>
              </w:rPr>
              <w:t>根据项目的工程特点，可将项目实施分为三个阶段：钻前工程、钻井工程、</w:t>
            </w:r>
            <w:r>
              <w:rPr>
                <w:rFonts w:hint="eastAsia"/>
                <w:bCs/>
                <w:sz w:val="24"/>
                <w:szCs w:val="24"/>
              </w:rPr>
              <w:t>储层改造工程</w:t>
            </w:r>
            <w:r>
              <w:rPr>
                <w:bCs/>
                <w:sz w:val="24"/>
                <w:szCs w:val="24"/>
              </w:rPr>
              <w:t>。工程为评价井项目，</w:t>
            </w:r>
            <w:r>
              <w:rPr>
                <w:rFonts w:hint="eastAsia"/>
                <w:bCs/>
                <w:sz w:val="24"/>
                <w:szCs w:val="24"/>
              </w:rPr>
              <w:t>本次评价不涉及工程的运营期；如项目勘探完成后有工业开采价值，则需要另行评价</w:t>
            </w:r>
            <w:r>
              <w:rPr>
                <w:bCs/>
                <w:sz w:val="24"/>
                <w:szCs w:val="24"/>
              </w:rPr>
              <w:t>。</w:t>
            </w:r>
          </w:p>
          <w:p>
            <w:pPr>
              <w:pStyle w:val="20"/>
              <w:tabs>
                <w:tab w:val="left" w:pos="0"/>
                <w:tab w:val="left" w:pos="833"/>
              </w:tabs>
              <w:spacing w:before="0" w:after="0" w:line="360" w:lineRule="auto"/>
              <w:ind w:right="0" w:firstLine="480" w:firstLineChars="200"/>
              <w:rPr>
                <w:bCs/>
                <w:sz w:val="24"/>
                <w:szCs w:val="24"/>
              </w:rPr>
            </w:pPr>
            <w:r>
              <w:rPr>
                <w:bCs/>
                <w:sz w:val="24"/>
                <w:szCs w:val="24"/>
              </w:rPr>
              <w:t>（1）钻前工程</w:t>
            </w:r>
          </w:p>
          <w:p>
            <w:pPr>
              <w:pStyle w:val="20"/>
              <w:tabs>
                <w:tab w:val="left" w:pos="0"/>
                <w:tab w:val="left" w:pos="833"/>
              </w:tabs>
              <w:spacing w:before="0" w:after="0" w:line="360" w:lineRule="auto"/>
              <w:ind w:right="0" w:firstLine="480" w:firstLineChars="200"/>
              <w:rPr>
                <w:bCs/>
                <w:sz w:val="24"/>
                <w:szCs w:val="24"/>
              </w:rPr>
            </w:pPr>
            <w:r>
              <w:rPr>
                <w:bCs/>
                <w:sz w:val="24"/>
                <w:szCs w:val="24"/>
              </w:rPr>
              <w:t>项目依托</w:t>
            </w:r>
            <w:r>
              <w:rPr>
                <w:rFonts w:hint="eastAsia"/>
                <w:bCs/>
                <w:sz w:val="24"/>
                <w:szCs w:val="24"/>
              </w:rPr>
              <w:t>铁北</w:t>
            </w:r>
            <w:r>
              <w:rPr>
                <w:bCs/>
                <w:sz w:val="24"/>
                <w:szCs w:val="24"/>
              </w:rPr>
              <w:t>1</w:t>
            </w:r>
            <w:r>
              <w:rPr>
                <w:rFonts w:hint="eastAsia"/>
                <w:bCs/>
                <w:sz w:val="24"/>
                <w:szCs w:val="24"/>
              </w:rPr>
              <w:t>井</w:t>
            </w:r>
            <w:r>
              <w:rPr>
                <w:rFonts w:hint="eastAsia"/>
                <w:bCs/>
                <w:sz w:val="24"/>
                <w:szCs w:val="24"/>
                <w:lang w:val="en-US" w:eastAsia="zh-CN"/>
              </w:rPr>
              <w:t>已建井场</w:t>
            </w:r>
            <w:r>
              <w:rPr>
                <w:bCs/>
                <w:sz w:val="24"/>
                <w:szCs w:val="24"/>
              </w:rPr>
              <w:t>进行建设</w:t>
            </w:r>
            <w:r>
              <w:rPr>
                <w:rFonts w:hint="eastAsia"/>
                <w:bCs/>
                <w:sz w:val="24"/>
                <w:szCs w:val="24"/>
              </w:rPr>
              <w:t>，原铁北1井已建</w:t>
            </w:r>
            <w:r>
              <w:rPr>
                <w:rFonts w:hint="eastAsia"/>
                <w:bCs/>
                <w:sz w:val="24"/>
                <w:szCs w:val="24"/>
                <w:lang w:val="en-US" w:eastAsia="zh-CN"/>
              </w:rPr>
              <w:t>井场</w:t>
            </w:r>
            <w:r>
              <w:rPr>
                <w:rFonts w:hint="eastAsia"/>
                <w:bCs/>
                <w:sz w:val="24"/>
                <w:szCs w:val="24"/>
              </w:rPr>
              <w:t>占地面积为</w:t>
            </w:r>
            <w:r>
              <w:rPr>
                <w:rFonts w:hint="eastAsia"/>
                <w:bCs/>
                <w:sz w:val="24"/>
                <w:szCs w:val="24"/>
                <w:lang w:val="en-US" w:eastAsia="zh-CN"/>
              </w:rPr>
              <w:t>6850</w:t>
            </w:r>
            <w:r>
              <w:rPr>
                <w:bCs/>
                <w:sz w:val="24"/>
                <w:szCs w:val="24"/>
              </w:rPr>
              <w:t>m</w:t>
            </w:r>
            <w:r>
              <w:rPr>
                <w:bCs/>
                <w:sz w:val="24"/>
                <w:szCs w:val="24"/>
                <w:vertAlign w:val="superscript"/>
              </w:rPr>
              <w:t>2</w:t>
            </w:r>
            <w:r>
              <w:rPr>
                <w:bCs/>
                <w:sz w:val="24"/>
                <w:szCs w:val="24"/>
              </w:rPr>
              <w:t>，</w:t>
            </w:r>
            <w:r>
              <w:rPr>
                <w:rFonts w:hint="eastAsia"/>
                <w:bCs/>
                <w:sz w:val="24"/>
                <w:szCs w:val="24"/>
                <w:lang w:val="en-US" w:eastAsia="zh-CN"/>
              </w:rPr>
              <w:t>新增临时占地面积为8589m</w:t>
            </w:r>
            <w:r>
              <w:rPr>
                <w:rFonts w:hint="eastAsia"/>
                <w:bCs/>
                <w:sz w:val="24"/>
                <w:szCs w:val="24"/>
                <w:vertAlign w:val="superscript"/>
                <w:lang w:val="en-US" w:eastAsia="zh-CN"/>
              </w:rPr>
              <w:t>2</w:t>
            </w:r>
            <w:r>
              <w:rPr>
                <w:rFonts w:hint="eastAsia"/>
                <w:bCs/>
                <w:sz w:val="24"/>
                <w:szCs w:val="24"/>
                <w:lang w:val="en-US" w:eastAsia="zh-CN"/>
              </w:rPr>
              <w:t>，依托</w:t>
            </w:r>
            <w:r>
              <w:rPr>
                <w:rFonts w:hint="eastAsia"/>
                <w:bCs/>
                <w:sz w:val="24"/>
                <w:szCs w:val="24"/>
              </w:rPr>
              <w:t>已建</w:t>
            </w:r>
            <w:r>
              <w:rPr>
                <w:rFonts w:hint="eastAsia"/>
                <w:bCs/>
                <w:sz w:val="24"/>
                <w:szCs w:val="24"/>
                <w:lang w:val="en-US" w:eastAsia="zh-CN"/>
              </w:rPr>
              <w:t>清水池与</w:t>
            </w:r>
            <w:r>
              <w:rPr>
                <w:rFonts w:hint="eastAsia"/>
                <w:bCs/>
                <w:sz w:val="24"/>
                <w:szCs w:val="24"/>
              </w:rPr>
              <w:t>废水池1座，共2格，</w:t>
            </w:r>
            <w:r>
              <w:rPr>
                <w:rFonts w:hint="eastAsia"/>
                <w:bCs/>
                <w:sz w:val="24"/>
                <w:szCs w:val="24"/>
                <w:lang w:val="en-US" w:eastAsia="zh-CN"/>
              </w:rPr>
              <w:t>其中废水池容积为1500m</w:t>
            </w:r>
            <w:r>
              <w:rPr>
                <w:rFonts w:hint="eastAsia"/>
                <w:bCs/>
                <w:sz w:val="24"/>
                <w:szCs w:val="24"/>
                <w:vertAlign w:val="superscript"/>
                <w:lang w:val="en-US" w:eastAsia="zh-CN"/>
              </w:rPr>
              <w:t>3</w:t>
            </w:r>
            <w:r>
              <w:rPr>
                <w:rFonts w:hint="eastAsia"/>
                <w:bCs/>
                <w:sz w:val="24"/>
                <w:szCs w:val="24"/>
                <w:lang w:val="en-US" w:eastAsia="zh-CN"/>
              </w:rPr>
              <w:t>，清水池</w:t>
            </w:r>
            <w:r>
              <w:rPr>
                <w:rFonts w:hint="eastAsia"/>
                <w:bCs/>
                <w:sz w:val="24"/>
                <w:szCs w:val="24"/>
              </w:rPr>
              <w:t>容积为</w:t>
            </w:r>
            <w:r>
              <w:rPr>
                <w:rFonts w:hint="eastAsia"/>
                <w:bCs/>
                <w:sz w:val="24"/>
                <w:szCs w:val="24"/>
                <w:lang w:val="en-US" w:eastAsia="zh-CN"/>
              </w:rPr>
              <w:t>8</w:t>
            </w:r>
            <w:r>
              <w:rPr>
                <w:rFonts w:hint="eastAsia"/>
                <w:bCs/>
                <w:sz w:val="24"/>
                <w:szCs w:val="24"/>
              </w:rPr>
              <w:t>00m</w:t>
            </w:r>
            <w:r>
              <w:rPr>
                <w:rFonts w:hint="eastAsia"/>
                <w:bCs/>
                <w:sz w:val="24"/>
                <w:szCs w:val="24"/>
                <w:vertAlign w:val="superscript"/>
              </w:rPr>
              <w:t>3</w:t>
            </w:r>
            <w:r>
              <w:rPr>
                <w:rFonts w:hint="eastAsia"/>
                <w:bCs/>
                <w:sz w:val="24"/>
                <w:szCs w:val="24"/>
              </w:rPr>
              <w:t>，已建2座放喷池，容积为300m</w:t>
            </w:r>
            <w:r>
              <w:rPr>
                <w:rFonts w:hint="eastAsia"/>
                <w:bCs/>
                <w:sz w:val="24"/>
                <w:szCs w:val="24"/>
                <w:vertAlign w:val="superscript"/>
              </w:rPr>
              <w:t>3</w:t>
            </w:r>
            <w:r>
              <w:rPr>
                <w:rFonts w:hint="eastAsia"/>
                <w:bCs/>
                <w:sz w:val="24"/>
                <w:szCs w:val="24"/>
              </w:rPr>
              <w:t>，本项目钻前工程主要进行场地平整，钻前设备安装等</w:t>
            </w:r>
            <w:r>
              <w:rPr>
                <w:bCs/>
                <w:sz w:val="24"/>
                <w:szCs w:val="24"/>
              </w:rPr>
              <w:t>，新建井队临时板房生活区1套，</w:t>
            </w:r>
            <w:r>
              <w:rPr>
                <w:rFonts w:hint="eastAsia"/>
                <w:bCs/>
                <w:sz w:val="24"/>
                <w:szCs w:val="24"/>
              </w:rPr>
              <w:t>生态一体化</w:t>
            </w:r>
            <w:r>
              <w:rPr>
                <w:bCs/>
                <w:sz w:val="24"/>
                <w:szCs w:val="24"/>
              </w:rPr>
              <w:t>厕所1座以及钻井临时房屋、钻井设备基础、给排水、供配电等辅助工程。</w:t>
            </w:r>
          </w:p>
          <w:p>
            <w:pPr>
              <w:pStyle w:val="20"/>
              <w:tabs>
                <w:tab w:val="left" w:pos="0"/>
                <w:tab w:val="left" w:pos="833"/>
              </w:tabs>
              <w:spacing w:before="0" w:after="0" w:line="360" w:lineRule="auto"/>
              <w:ind w:right="0" w:firstLine="480" w:firstLineChars="200"/>
              <w:rPr>
                <w:bCs/>
                <w:sz w:val="24"/>
                <w:szCs w:val="24"/>
              </w:rPr>
            </w:pPr>
            <w:r>
              <w:rPr>
                <w:bCs/>
                <w:sz w:val="24"/>
                <w:szCs w:val="24"/>
              </w:rPr>
              <w:t>（2）钻井工程</w:t>
            </w:r>
          </w:p>
          <w:p>
            <w:pPr>
              <w:pStyle w:val="20"/>
              <w:tabs>
                <w:tab w:val="left" w:pos="0"/>
                <w:tab w:val="left" w:pos="833"/>
              </w:tabs>
              <w:spacing w:before="0" w:after="0" w:line="360" w:lineRule="auto"/>
              <w:ind w:right="0" w:firstLine="480" w:firstLineChars="200"/>
              <w:rPr>
                <w:bCs/>
                <w:sz w:val="24"/>
                <w:szCs w:val="24"/>
              </w:rPr>
            </w:pPr>
            <w:r>
              <w:rPr>
                <w:rFonts w:hint="eastAsia"/>
                <w:bCs/>
                <w:sz w:val="24"/>
                <w:szCs w:val="24"/>
              </w:rPr>
              <w:t>铁北1侧HF井</w:t>
            </w:r>
            <w:r>
              <w:rPr>
                <w:bCs/>
                <w:sz w:val="24"/>
                <w:szCs w:val="24"/>
              </w:rPr>
              <w:t>井别参数如下表所示：</w:t>
            </w:r>
          </w:p>
          <w:p>
            <w:pPr>
              <w:pStyle w:val="20"/>
              <w:numPr>
                <w:ilvl w:val="0"/>
                <w:numId w:val="5"/>
              </w:numPr>
              <w:tabs>
                <w:tab w:val="left" w:pos="0"/>
                <w:tab w:val="left" w:pos="833"/>
              </w:tabs>
              <w:spacing w:before="0" w:after="0" w:line="360" w:lineRule="auto"/>
              <w:ind w:left="0" w:right="0" w:firstLine="0"/>
              <w:jc w:val="center"/>
              <w:rPr>
                <w:bCs/>
                <w:sz w:val="24"/>
                <w:szCs w:val="24"/>
              </w:rPr>
            </w:pPr>
            <w:r>
              <w:rPr>
                <w:rFonts w:hint="eastAsia"/>
                <w:b/>
                <w:bCs/>
                <w:sz w:val="24"/>
                <w:szCs w:val="24"/>
              </w:rPr>
              <w:t>铁北1侧HF井</w:t>
            </w:r>
            <w:r>
              <w:rPr>
                <w:b/>
                <w:bCs/>
                <w:sz w:val="24"/>
                <w:szCs w:val="24"/>
              </w:rPr>
              <w:t>钻井工程井型一览表</w:t>
            </w:r>
          </w:p>
          <w:tbl>
            <w:tblPr>
              <w:tblStyle w:val="44"/>
              <w:tblW w:w="84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1"/>
              <w:gridCol w:w="1091"/>
              <w:gridCol w:w="1105"/>
              <w:gridCol w:w="1662"/>
              <w:gridCol w:w="656"/>
              <w:gridCol w:w="832"/>
              <w:gridCol w:w="1336"/>
              <w:gridCol w:w="8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井位名称</w:t>
                  </w:r>
                </w:p>
              </w:tc>
              <w:tc>
                <w:tcPr>
                  <w:tcW w:w="2196" w:type="dxa"/>
                  <w:gridSpan w:val="2"/>
                  <w:vAlign w:val="center"/>
                </w:tcPr>
                <w:p>
                  <w:pPr>
                    <w:pStyle w:val="20"/>
                    <w:tabs>
                      <w:tab w:val="left" w:pos="0"/>
                      <w:tab w:val="left" w:pos="833"/>
                    </w:tabs>
                    <w:spacing w:before="0" w:after="0" w:line="240" w:lineRule="auto"/>
                    <w:ind w:right="0"/>
                    <w:jc w:val="center"/>
                    <w:rPr>
                      <w:bCs/>
                      <w:sz w:val="21"/>
                      <w:szCs w:val="21"/>
                    </w:rPr>
                  </w:pPr>
                  <w:r>
                    <w:rPr>
                      <w:bCs/>
                      <w:sz w:val="21"/>
                      <w:szCs w:val="21"/>
                    </w:rPr>
                    <w:t>井位坐标</w:t>
                  </w:r>
                </w:p>
              </w:tc>
              <w:tc>
                <w:tcPr>
                  <w:tcW w:w="1662"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设计井深</w:t>
                  </w:r>
                </w:p>
              </w:tc>
              <w:tc>
                <w:tcPr>
                  <w:tcW w:w="656"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井型</w:t>
                  </w:r>
                </w:p>
              </w:tc>
              <w:tc>
                <w:tcPr>
                  <w:tcW w:w="832"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井别</w:t>
                  </w:r>
                </w:p>
              </w:tc>
              <w:tc>
                <w:tcPr>
                  <w:tcW w:w="1336"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目的层</w:t>
                  </w:r>
                </w:p>
              </w:tc>
              <w:tc>
                <w:tcPr>
                  <w:tcW w:w="825" w:type="dxa"/>
                  <w:vMerge w:val="restart"/>
                  <w:vAlign w:val="center"/>
                </w:tcPr>
                <w:p>
                  <w:pPr>
                    <w:pStyle w:val="20"/>
                    <w:tabs>
                      <w:tab w:val="left" w:pos="0"/>
                      <w:tab w:val="left" w:pos="833"/>
                    </w:tabs>
                    <w:spacing w:before="0" w:after="0" w:line="240" w:lineRule="auto"/>
                    <w:ind w:right="0"/>
                    <w:jc w:val="center"/>
                    <w:rPr>
                      <w:bCs/>
                      <w:sz w:val="21"/>
                      <w:szCs w:val="21"/>
                    </w:rPr>
                  </w:pPr>
                  <w:r>
                    <w:rPr>
                      <w:bCs/>
                      <w:sz w:val="21"/>
                      <w:szCs w:val="21"/>
                    </w:rPr>
                    <w:t>完井方法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Merge w:val="continue"/>
                  <w:vAlign w:val="center"/>
                </w:tcPr>
                <w:p>
                  <w:pPr>
                    <w:pStyle w:val="20"/>
                    <w:tabs>
                      <w:tab w:val="left" w:pos="0"/>
                      <w:tab w:val="left" w:pos="833"/>
                    </w:tabs>
                    <w:spacing w:before="0" w:after="0" w:line="240" w:lineRule="auto"/>
                    <w:ind w:right="0"/>
                    <w:jc w:val="center"/>
                  </w:pPr>
                </w:p>
              </w:tc>
              <w:tc>
                <w:tcPr>
                  <w:tcW w:w="1091" w:type="dxa"/>
                  <w:vAlign w:val="center"/>
                </w:tcPr>
                <w:p>
                  <w:pPr>
                    <w:pStyle w:val="20"/>
                    <w:tabs>
                      <w:tab w:val="left" w:pos="0"/>
                      <w:tab w:val="left" w:pos="833"/>
                    </w:tabs>
                    <w:spacing w:before="0" w:after="0" w:line="240" w:lineRule="auto"/>
                    <w:ind w:right="0"/>
                    <w:jc w:val="center"/>
                    <w:rPr>
                      <w:bCs/>
                      <w:sz w:val="21"/>
                      <w:szCs w:val="21"/>
                    </w:rPr>
                  </w:pPr>
                  <w:r>
                    <w:rPr>
                      <w:bCs/>
                      <w:sz w:val="21"/>
                      <w:szCs w:val="21"/>
                    </w:rPr>
                    <w:t>X坐标</w:t>
                  </w:r>
                </w:p>
              </w:tc>
              <w:tc>
                <w:tcPr>
                  <w:tcW w:w="1105" w:type="dxa"/>
                  <w:vAlign w:val="center"/>
                </w:tcPr>
                <w:p>
                  <w:pPr>
                    <w:pStyle w:val="20"/>
                    <w:tabs>
                      <w:tab w:val="left" w:pos="0"/>
                      <w:tab w:val="left" w:pos="833"/>
                    </w:tabs>
                    <w:spacing w:before="0" w:after="0" w:line="240" w:lineRule="auto"/>
                    <w:ind w:right="0"/>
                    <w:jc w:val="center"/>
                    <w:rPr>
                      <w:bCs/>
                      <w:sz w:val="21"/>
                      <w:szCs w:val="21"/>
                    </w:rPr>
                  </w:pPr>
                  <w:r>
                    <w:rPr>
                      <w:bCs/>
                      <w:sz w:val="21"/>
                      <w:szCs w:val="21"/>
                    </w:rPr>
                    <w:t>Y坐标</w:t>
                  </w:r>
                </w:p>
              </w:tc>
              <w:tc>
                <w:tcPr>
                  <w:tcW w:w="1662" w:type="dxa"/>
                  <w:vMerge w:val="continue"/>
                  <w:vAlign w:val="center"/>
                </w:tcPr>
                <w:p>
                  <w:pPr>
                    <w:pStyle w:val="20"/>
                    <w:tabs>
                      <w:tab w:val="left" w:pos="0"/>
                      <w:tab w:val="left" w:pos="833"/>
                    </w:tabs>
                    <w:spacing w:before="0" w:after="0" w:line="240" w:lineRule="auto"/>
                    <w:ind w:right="0"/>
                    <w:jc w:val="center"/>
                    <w:rPr>
                      <w:bCs/>
                      <w:sz w:val="21"/>
                      <w:szCs w:val="21"/>
                    </w:rPr>
                  </w:pPr>
                </w:p>
              </w:tc>
              <w:tc>
                <w:tcPr>
                  <w:tcW w:w="656" w:type="dxa"/>
                  <w:vMerge w:val="continue"/>
                  <w:vAlign w:val="center"/>
                </w:tcPr>
                <w:p>
                  <w:pPr>
                    <w:pStyle w:val="20"/>
                    <w:tabs>
                      <w:tab w:val="left" w:pos="0"/>
                      <w:tab w:val="left" w:pos="833"/>
                    </w:tabs>
                    <w:spacing w:before="0" w:after="0" w:line="240" w:lineRule="auto"/>
                    <w:ind w:right="0"/>
                    <w:jc w:val="center"/>
                    <w:rPr>
                      <w:bCs/>
                      <w:sz w:val="21"/>
                      <w:szCs w:val="21"/>
                    </w:rPr>
                  </w:pPr>
                </w:p>
              </w:tc>
              <w:tc>
                <w:tcPr>
                  <w:tcW w:w="832" w:type="dxa"/>
                  <w:vMerge w:val="continue"/>
                  <w:vAlign w:val="center"/>
                </w:tcPr>
                <w:p>
                  <w:pPr>
                    <w:pStyle w:val="20"/>
                    <w:tabs>
                      <w:tab w:val="left" w:pos="0"/>
                      <w:tab w:val="left" w:pos="833"/>
                    </w:tabs>
                    <w:spacing w:before="0" w:after="0" w:line="240" w:lineRule="auto"/>
                    <w:ind w:right="0"/>
                    <w:jc w:val="center"/>
                    <w:rPr>
                      <w:bCs/>
                      <w:sz w:val="21"/>
                      <w:szCs w:val="21"/>
                    </w:rPr>
                  </w:pPr>
                </w:p>
              </w:tc>
              <w:tc>
                <w:tcPr>
                  <w:tcW w:w="1336" w:type="dxa"/>
                  <w:vMerge w:val="continue"/>
                  <w:vAlign w:val="center"/>
                </w:tcPr>
                <w:p>
                  <w:pPr>
                    <w:pStyle w:val="20"/>
                    <w:tabs>
                      <w:tab w:val="left" w:pos="0"/>
                      <w:tab w:val="left" w:pos="833"/>
                    </w:tabs>
                    <w:spacing w:before="0" w:after="0" w:line="240" w:lineRule="auto"/>
                    <w:ind w:right="0"/>
                    <w:jc w:val="center"/>
                    <w:rPr>
                      <w:bCs/>
                      <w:sz w:val="21"/>
                      <w:szCs w:val="21"/>
                    </w:rPr>
                  </w:pPr>
                </w:p>
              </w:tc>
              <w:tc>
                <w:tcPr>
                  <w:tcW w:w="825" w:type="dxa"/>
                  <w:vMerge w:val="continue"/>
                  <w:vAlign w:val="center"/>
                </w:tcPr>
                <w:p>
                  <w:pPr>
                    <w:pStyle w:val="20"/>
                    <w:tabs>
                      <w:tab w:val="left" w:pos="0"/>
                      <w:tab w:val="left" w:pos="833"/>
                    </w:tabs>
                    <w:spacing w:before="0" w:after="0" w:line="240" w:lineRule="auto"/>
                    <w:ind w:right="0"/>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11" w:type="dxa"/>
                  <w:vAlign w:val="center"/>
                </w:tcPr>
                <w:p>
                  <w:pPr>
                    <w:pStyle w:val="20"/>
                    <w:tabs>
                      <w:tab w:val="left" w:pos="0"/>
                      <w:tab w:val="left" w:pos="833"/>
                    </w:tabs>
                    <w:spacing w:before="0" w:after="0" w:line="240" w:lineRule="auto"/>
                    <w:ind w:right="0"/>
                    <w:jc w:val="center"/>
                    <w:rPr>
                      <w:bCs/>
                      <w:sz w:val="21"/>
                      <w:szCs w:val="21"/>
                    </w:rPr>
                  </w:pPr>
                  <w:r>
                    <w:rPr>
                      <w:rFonts w:hint="eastAsia"/>
                      <w:bCs/>
                      <w:sz w:val="21"/>
                      <w:szCs w:val="21"/>
                    </w:rPr>
                    <w:t>铁北1侧井</w:t>
                  </w:r>
                </w:p>
              </w:tc>
              <w:tc>
                <w:tcPr>
                  <w:tcW w:w="1091" w:type="dxa"/>
                  <w:vAlign w:val="center"/>
                </w:tcPr>
                <w:p>
                  <w:pPr>
                    <w:pStyle w:val="20"/>
                    <w:tabs>
                      <w:tab w:val="left" w:pos="0"/>
                      <w:tab w:val="left" w:pos="833"/>
                    </w:tabs>
                    <w:spacing w:before="0" w:after="0" w:line="240" w:lineRule="auto"/>
                    <w:ind w:right="0"/>
                    <w:jc w:val="center"/>
                    <w:rPr>
                      <w:bCs/>
                      <w:sz w:val="21"/>
                      <w:szCs w:val="21"/>
                    </w:rPr>
                  </w:pPr>
                  <w:r>
                    <w:rPr>
                      <w:bCs/>
                      <w:sz w:val="21"/>
                      <w:szCs w:val="21"/>
                    </w:rPr>
                    <w:t>3479166</w:t>
                  </w:r>
                </w:p>
              </w:tc>
              <w:tc>
                <w:tcPr>
                  <w:tcW w:w="1105" w:type="dxa"/>
                  <w:vAlign w:val="center"/>
                </w:tcPr>
                <w:p>
                  <w:pPr>
                    <w:pStyle w:val="20"/>
                    <w:tabs>
                      <w:tab w:val="left" w:pos="0"/>
                      <w:tab w:val="left" w:pos="833"/>
                    </w:tabs>
                    <w:spacing w:before="0" w:after="0" w:line="240" w:lineRule="auto"/>
                    <w:ind w:right="0"/>
                    <w:jc w:val="center"/>
                    <w:rPr>
                      <w:bCs/>
                      <w:sz w:val="21"/>
                      <w:szCs w:val="21"/>
                    </w:rPr>
                  </w:pPr>
                  <w:r>
                    <w:rPr>
                      <w:bCs/>
                      <w:sz w:val="21"/>
                      <w:szCs w:val="21"/>
                    </w:rPr>
                    <w:t>18739000</w:t>
                  </w:r>
                </w:p>
              </w:tc>
              <w:tc>
                <w:tcPr>
                  <w:tcW w:w="1662" w:type="dxa"/>
                  <w:vAlign w:val="center"/>
                </w:tcPr>
                <w:p>
                  <w:pPr>
                    <w:pStyle w:val="20"/>
                    <w:tabs>
                      <w:tab w:val="left" w:pos="0"/>
                      <w:tab w:val="left" w:pos="833"/>
                    </w:tabs>
                    <w:spacing w:before="0" w:after="0" w:line="240" w:lineRule="auto"/>
                    <w:ind w:right="0"/>
                    <w:jc w:val="center"/>
                    <w:rPr>
                      <w:bCs/>
                      <w:sz w:val="21"/>
                      <w:szCs w:val="21"/>
                    </w:rPr>
                  </w:pPr>
                  <w:r>
                    <w:rPr>
                      <w:rFonts w:hint="eastAsia"/>
                      <w:bCs/>
                      <w:sz w:val="21"/>
                      <w:szCs w:val="21"/>
                    </w:rPr>
                    <w:t>5221.0（导眼井）/5263.0(水平井)</w:t>
                  </w:r>
                </w:p>
              </w:tc>
              <w:tc>
                <w:tcPr>
                  <w:tcW w:w="656" w:type="dxa"/>
                  <w:vAlign w:val="center"/>
                </w:tcPr>
                <w:p>
                  <w:pPr>
                    <w:pStyle w:val="20"/>
                    <w:tabs>
                      <w:tab w:val="left" w:pos="0"/>
                      <w:tab w:val="left" w:pos="833"/>
                    </w:tabs>
                    <w:spacing w:before="0" w:after="0" w:line="240" w:lineRule="auto"/>
                    <w:ind w:right="0"/>
                    <w:jc w:val="center"/>
                    <w:rPr>
                      <w:bCs/>
                      <w:sz w:val="21"/>
                      <w:szCs w:val="21"/>
                    </w:rPr>
                  </w:pPr>
                  <w:r>
                    <w:rPr>
                      <w:rFonts w:hint="eastAsia"/>
                      <w:bCs/>
                      <w:sz w:val="21"/>
                      <w:szCs w:val="21"/>
                    </w:rPr>
                    <w:t>水平井</w:t>
                  </w:r>
                </w:p>
              </w:tc>
              <w:tc>
                <w:tcPr>
                  <w:tcW w:w="832" w:type="dxa"/>
                  <w:vAlign w:val="center"/>
                </w:tcPr>
                <w:p>
                  <w:pPr>
                    <w:pStyle w:val="20"/>
                    <w:tabs>
                      <w:tab w:val="left" w:pos="0"/>
                      <w:tab w:val="left" w:pos="833"/>
                    </w:tabs>
                    <w:spacing w:before="0" w:after="0" w:line="240" w:lineRule="auto"/>
                    <w:ind w:right="0"/>
                    <w:jc w:val="center"/>
                    <w:rPr>
                      <w:bCs/>
                      <w:sz w:val="21"/>
                      <w:szCs w:val="21"/>
                    </w:rPr>
                  </w:pPr>
                  <w:r>
                    <w:rPr>
                      <w:bCs/>
                      <w:sz w:val="21"/>
                      <w:szCs w:val="21"/>
                    </w:rPr>
                    <w:t>评价井</w:t>
                  </w:r>
                </w:p>
              </w:tc>
              <w:tc>
                <w:tcPr>
                  <w:tcW w:w="1336" w:type="dxa"/>
                  <w:vAlign w:val="center"/>
                </w:tcPr>
                <w:p>
                  <w:pPr>
                    <w:pStyle w:val="20"/>
                    <w:tabs>
                      <w:tab w:val="left" w:pos="0"/>
                      <w:tab w:val="left" w:pos="833"/>
                    </w:tabs>
                    <w:spacing w:before="0" w:after="0" w:line="240" w:lineRule="auto"/>
                    <w:ind w:right="0"/>
                    <w:jc w:val="center"/>
                    <w:rPr>
                      <w:bCs/>
                      <w:sz w:val="21"/>
                      <w:szCs w:val="21"/>
                    </w:rPr>
                  </w:pPr>
                  <w:r>
                    <w:rPr>
                      <w:bCs/>
                      <w:sz w:val="21"/>
                      <w:szCs w:val="21"/>
                    </w:rPr>
                    <w:t>二叠系茅口组（导眼）</w:t>
                  </w:r>
                </w:p>
                <w:p>
                  <w:pPr>
                    <w:pStyle w:val="20"/>
                    <w:tabs>
                      <w:tab w:val="left" w:pos="0"/>
                      <w:tab w:val="left" w:pos="833"/>
                    </w:tabs>
                    <w:spacing w:before="0" w:after="0" w:line="240" w:lineRule="auto"/>
                    <w:ind w:right="0"/>
                    <w:jc w:val="center"/>
                    <w:rPr>
                      <w:bCs/>
                      <w:sz w:val="21"/>
                      <w:szCs w:val="21"/>
                    </w:rPr>
                  </w:pPr>
                  <w:r>
                    <w:rPr>
                      <w:bCs/>
                      <w:sz w:val="21"/>
                      <w:szCs w:val="21"/>
                    </w:rPr>
                    <w:t>二叠系龙潭组（水平段）</w:t>
                  </w:r>
                </w:p>
              </w:tc>
              <w:tc>
                <w:tcPr>
                  <w:tcW w:w="825" w:type="dxa"/>
                  <w:vAlign w:val="center"/>
                </w:tcPr>
                <w:p>
                  <w:pPr>
                    <w:pStyle w:val="20"/>
                    <w:tabs>
                      <w:tab w:val="left" w:pos="0"/>
                      <w:tab w:val="left" w:pos="833"/>
                    </w:tabs>
                    <w:spacing w:before="0" w:after="0" w:line="240" w:lineRule="auto"/>
                    <w:ind w:right="0"/>
                    <w:jc w:val="center"/>
                    <w:rPr>
                      <w:bCs/>
                      <w:sz w:val="21"/>
                      <w:szCs w:val="21"/>
                    </w:rPr>
                  </w:pPr>
                  <w:r>
                    <w:rPr>
                      <w:bCs/>
                      <w:sz w:val="21"/>
                      <w:szCs w:val="21"/>
                    </w:rPr>
                    <w:t>套管完井</w:t>
                  </w:r>
                </w:p>
              </w:tc>
            </w:tr>
          </w:tbl>
          <w:p>
            <w:pPr>
              <w:spacing w:line="360" w:lineRule="auto"/>
              <w:ind w:firstLine="480" w:firstLineChars="200"/>
              <w:rPr>
                <w:sz w:val="24"/>
                <w:szCs w:val="32"/>
              </w:rPr>
            </w:pPr>
            <w:r>
              <w:rPr>
                <w:sz w:val="24"/>
                <w:szCs w:val="32"/>
              </w:rPr>
              <w:t>（3）</w:t>
            </w:r>
            <w:r>
              <w:rPr>
                <w:rFonts w:hint="eastAsia"/>
                <w:sz w:val="24"/>
                <w:szCs w:val="32"/>
              </w:rPr>
              <w:t>储层改造工程</w:t>
            </w:r>
          </w:p>
          <w:p>
            <w:pPr>
              <w:spacing w:line="360" w:lineRule="auto"/>
              <w:ind w:firstLine="480" w:firstLineChars="200"/>
              <w:rPr>
                <w:sz w:val="24"/>
                <w:szCs w:val="32"/>
              </w:rPr>
            </w:pPr>
            <w:r>
              <w:rPr>
                <w:rFonts w:hint="eastAsia"/>
                <w:sz w:val="24"/>
                <w:szCs w:val="32"/>
              </w:rPr>
              <w:t>储层改造工程</w:t>
            </w:r>
            <w:r>
              <w:rPr>
                <w:sz w:val="24"/>
                <w:szCs w:val="32"/>
              </w:rPr>
              <w:t>主要包括洗井、射孔、压裂、测试回收及设备搬迁。根据工程设计，</w:t>
            </w:r>
            <w:r>
              <w:rPr>
                <w:rFonts w:hint="eastAsia"/>
                <w:sz w:val="24"/>
                <w:szCs w:val="32"/>
              </w:rPr>
              <w:t>铁北1侧HF井</w:t>
            </w:r>
            <w:r>
              <w:rPr>
                <w:sz w:val="24"/>
                <w:szCs w:val="32"/>
              </w:rPr>
              <w:t>压裂作业时使用压裂泵车，共</w:t>
            </w:r>
            <w:r>
              <w:rPr>
                <w:rFonts w:hint="eastAsia"/>
                <w:sz w:val="24"/>
                <w:szCs w:val="32"/>
              </w:rPr>
              <w:t>1</w:t>
            </w:r>
            <w:r>
              <w:rPr>
                <w:sz w:val="24"/>
                <w:szCs w:val="32"/>
              </w:rPr>
              <w:t>2台（</w:t>
            </w:r>
            <w:r>
              <w:rPr>
                <w:rFonts w:hint="eastAsia"/>
                <w:sz w:val="24"/>
                <w:szCs w:val="32"/>
              </w:rPr>
              <w:t>1</w:t>
            </w:r>
            <w:r>
              <w:rPr>
                <w:sz w:val="24"/>
                <w:szCs w:val="32"/>
              </w:rPr>
              <w:t>0用2备），每次压裂液泵入时间约2~3小时，均在白天进行，一天最长压裂作业时间不超过15个小时，并且最迟在晚上</w:t>
            </w:r>
            <w:r>
              <w:rPr>
                <w:rFonts w:hint="eastAsia"/>
                <w:sz w:val="24"/>
                <w:szCs w:val="32"/>
              </w:rPr>
              <w:t>10</w:t>
            </w:r>
            <w:r>
              <w:rPr>
                <w:sz w:val="24"/>
                <w:szCs w:val="32"/>
              </w:rPr>
              <w:t>点之前停止压裂作业，压裂作业完成后进行测试回收。</w:t>
            </w:r>
          </w:p>
          <w:p>
            <w:pPr>
              <w:pStyle w:val="20"/>
              <w:tabs>
                <w:tab w:val="left" w:pos="0"/>
                <w:tab w:val="left" w:pos="833"/>
              </w:tabs>
              <w:spacing w:before="0" w:after="0" w:line="360" w:lineRule="auto"/>
              <w:ind w:right="0" w:firstLine="480" w:firstLineChars="200"/>
              <w:rPr>
                <w:rStyle w:val="47"/>
                <w:b w:val="0"/>
                <w:sz w:val="24"/>
                <w:szCs w:val="24"/>
              </w:rPr>
            </w:pPr>
            <w:r>
              <w:rPr>
                <w:rStyle w:val="47"/>
                <w:b w:val="0"/>
                <w:sz w:val="24"/>
                <w:szCs w:val="24"/>
              </w:rPr>
              <w:t>（4）组织定员及工程投资</w:t>
            </w:r>
          </w:p>
          <w:p>
            <w:pPr>
              <w:pStyle w:val="20"/>
              <w:tabs>
                <w:tab w:val="left" w:pos="0"/>
                <w:tab w:val="left" w:pos="833"/>
              </w:tabs>
              <w:spacing w:before="0" w:after="0" w:line="360" w:lineRule="auto"/>
              <w:ind w:right="0" w:firstLine="480" w:firstLineChars="200"/>
              <w:rPr>
                <w:rStyle w:val="47"/>
                <w:b w:val="0"/>
                <w:sz w:val="24"/>
                <w:szCs w:val="24"/>
              </w:rPr>
            </w:pPr>
            <w:r>
              <w:rPr>
                <w:rStyle w:val="47"/>
                <w:b w:val="0"/>
                <w:sz w:val="24"/>
                <w:szCs w:val="24"/>
              </w:rPr>
              <w:t>工程投资：</w:t>
            </w:r>
            <w:r>
              <w:rPr>
                <w:rStyle w:val="47"/>
                <w:rFonts w:hint="eastAsia"/>
                <w:b w:val="0"/>
                <w:sz w:val="24"/>
                <w:szCs w:val="24"/>
              </w:rPr>
              <w:t>5</w:t>
            </w:r>
            <w:r>
              <w:rPr>
                <w:rStyle w:val="47"/>
                <w:b w:val="0"/>
                <w:sz w:val="24"/>
                <w:szCs w:val="24"/>
              </w:rPr>
              <w:t>000万</w:t>
            </w:r>
            <w:r>
              <w:rPr>
                <w:bCs/>
                <w:sz w:val="24"/>
                <w:szCs w:val="24"/>
              </w:rPr>
              <w:t>，</w:t>
            </w:r>
            <w:r>
              <w:rPr>
                <w:rStyle w:val="47"/>
                <w:b w:val="0"/>
                <w:sz w:val="24"/>
                <w:szCs w:val="24"/>
              </w:rPr>
              <w:t>环保投资</w:t>
            </w:r>
            <w:r>
              <w:rPr>
                <w:rStyle w:val="47"/>
                <w:rFonts w:hint="eastAsia"/>
                <w:b w:val="0"/>
                <w:bCs w:val="0"/>
                <w:sz w:val="24"/>
                <w:szCs w:val="24"/>
              </w:rPr>
              <w:t>173</w:t>
            </w:r>
            <w:r>
              <w:rPr>
                <w:rStyle w:val="47"/>
                <w:b w:val="0"/>
                <w:sz w:val="24"/>
                <w:szCs w:val="24"/>
              </w:rPr>
              <w:t>万，占总投资</w:t>
            </w:r>
            <w:r>
              <w:rPr>
                <w:rStyle w:val="47"/>
                <w:rFonts w:hint="eastAsia"/>
                <w:b w:val="0"/>
                <w:sz w:val="24"/>
                <w:szCs w:val="24"/>
              </w:rPr>
              <w:t>3.46</w:t>
            </w:r>
            <w:r>
              <w:rPr>
                <w:rStyle w:val="47"/>
                <w:b w:val="0"/>
                <w:sz w:val="24"/>
                <w:szCs w:val="24"/>
              </w:rPr>
              <w:t>%</w:t>
            </w:r>
            <w:bookmarkEnd w:id="6"/>
            <w:r>
              <w:rPr>
                <w:rStyle w:val="47"/>
                <w:b w:val="0"/>
                <w:sz w:val="24"/>
                <w:szCs w:val="24"/>
              </w:rPr>
              <w:t>。</w:t>
            </w:r>
          </w:p>
          <w:p>
            <w:pPr>
              <w:spacing w:line="360" w:lineRule="auto"/>
              <w:ind w:firstLine="480" w:firstLineChars="200"/>
              <w:rPr>
                <w:bCs/>
                <w:sz w:val="24"/>
              </w:rPr>
            </w:pPr>
            <w:r>
              <w:rPr>
                <w:bCs/>
                <w:sz w:val="24"/>
              </w:rPr>
              <w:t>组织机构及定员、进度：</w:t>
            </w:r>
          </w:p>
          <w:p>
            <w:pPr>
              <w:spacing w:line="360" w:lineRule="auto"/>
              <w:ind w:firstLine="480" w:firstLineChars="200"/>
              <w:rPr>
                <w:bCs/>
                <w:sz w:val="24"/>
              </w:rPr>
            </w:pPr>
            <w:r>
              <w:rPr>
                <w:bCs/>
                <w:sz w:val="24"/>
              </w:rPr>
              <w:t>钻井工程共1个钻井队，钻井队编制约40人，钻井工程周期约</w:t>
            </w:r>
            <w:r>
              <w:rPr>
                <w:rFonts w:hint="eastAsia"/>
                <w:bCs/>
                <w:sz w:val="24"/>
              </w:rPr>
              <w:t>1</w:t>
            </w:r>
            <w:r>
              <w:rPr>
                <w:bCs/>
                <w:sz w:val="24"/>
              </w:rPr>
              <w:t>个月</w:t>
            </w:r>
            <w:r>
              <w:rPr>
                <w:rFonts w:hint="eastAsia"/>
                <w:bCs/>
                <w:sz w:val="24"/>
              </w:rPr>
              <w:t>，</w:t>
            </w:r>
            <w:r>
              <w:rPr>
                <w:bCs/>
                <w:sz w:val="24"/>
              </w:rPr>
              <w:t>钻井井队为24h连续工作。</w:t>
            </w:r>
          </w:p>
          <w:p>
            <w:pPr>
              <w:spacing w:line="360" w:lineRule="auto"/>
              <w:ind w:firstLine="480" w:firstLineChars="200"/>
              <w:rPr>
                <w:bCs/>
                <w:sz w:val="24"/>
              </w:rPr>
            </w:pPr>
            <w:r>
              <w:rPr>
                <w:rFonts w:hint="eastAsia"/>
                <w:bCs/>
                <w:sz w:val="24"/>
              </w:rPr>
              <w:t>储层改造工程施工人数约45人，储层改造施工周期约1个月。</w:t>
            </w:r>
          </w:p>
          <w:p>
            <w:pPr>
              <w:spacing w:line="360" w:lineRule="auto"/>
              <w:ind w:firstLine="480" w:firstLineChars="200"/>
              <w:rPr>
                <w:bCs/>
                <w:sz w:val="24"/>
              </w:rPr>
            </w:pPr>
            <w:r>
              <w:rPr>
                <w:bCs/>
                <w:sz w:val="24"/>
              </w:rPr>
              <w:t>设备搬迁、场地清理时间约</w:t>
            </w:r>
            <w:r>
              <w:rPr>
                <w:rFonts w:hint="eastAsia"/>
                <w:bCs/>
                <w:sz w:val="24"/>
              </w:rPr>
              <w:t>1</w:t>
            </w:r>
            <w:r>
              <w:rPr>
                <w:bCs/>
                <w:sz w:val="24"/>
              </w:rPr>
              <w:t>个月。</w:t>
            </w:r>
            <w:bookmarkEnd w:id="7"/>
          </w:p>
          <w:p>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项目组成</w:t>
            </w:r>
          </w:p>
          <w:p>
            <w:pPr>
              <w:spacing w:line="360" w:lineRule="auto"/>
              <w:ind w:firstLine="480" w:firstLineChars="200"/>
              <w:rPr>
                <w:bCs/>
                <w:sz w:val="24"/>
              </w:rPr>
            </w:pPr>
            <w:r>
              <w:rPr>
                <w:kern w:val="0"/>
                <w:sz w:val="24"/>
                <w:lang w:bidi="ar"/>
              </w:rPr>
              <w:t>根据项目的工程特点，可将本项目实施分为钻前工程、钻井工程以及</w:t>
            </w:r>
            <w:r>
              <w:rPr>
                <w:rFonts w:hint="eastAsia"/>
                <w:kern w:val="0"/>
                <w:sz w:val="24"/>
                <w:lang w:val="en-US" w:eastAsia="zh-CN" w:bidi="ar"/>
              </w:rPr>
              <w:t>储层改造</w:t>
            </w:r>
            <w:r>
              <w:rPr>
                <w:kern w:val="0"/>
                <w:sz w:val="24"/>
                <w:lang w:bidi="ar"/>
              </w:rPr>
              <w:t>工程。工程不涉及运营期进行油气的采输生产问题，因此不对运营期工程进行分析。</w:t>
            </w:r>
            <w:bookmarkStart w:id="10" w:name="_Hlk80691108"/>
            <w:r>
              <w:rPr>
                <w:kern w:val="0"/>
                <w:sz w:val="24"/>
                <w:lang w:bidi="ar"/>
              </w:rPr>
              <w:t>项目</w:t>
            </w:r>
            <w:r>
              <w:rPr>
                <w:bCs/>
                <w:sz w:val="24"/>
              </w:rPr>
              <w:t>主要工程内容和工程量见下表。</w:t>
            </w:r>
          </w:p>
          <w:p>
            <w:pPr>
              <w:pStyle w:val="20"/>
              <w:numPr>
                <w:ilvl w:val="0"/>
                <w:numId w:val="5"/>
              </w:numPr>
              <w:tabs>
                <w:tab w:val="left" w:pos="0"/>
                <w:tab w:val="left" w:pos="833"/>
              </w:tabs>
              <w:spacing w:before="0" w:after="0" w:line="360" w:lineRule="auto"/>
              <w:ind w:left="0" w:right="0" w:firstLine="0"/>
              <w:jc w:val="center"/>
              <w:rPr>
                <w:b/>
                <w:bCs/>
                <w:sz w:val="24"/>
                <w:szCs w:val="24"/>
              </w:rPr>
            </w:pPr>
            <w:r>
              <w:rPr>
                <w:b/>
                <w:bCs/>
                <w:sz w:val="24"/>
                <w:szCs w:val="24"/>
              </w:rPr>
              <w:t>项目组成及主要环境影响</w:t>
            </w:r>
          </w:p>
          <w:tbl>
            <w:tblPr>
              <w:tblStyle w:val="44"/>
              <w:tblW w:w="85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457"/>
              <w:gridCol w:w="821"/>
              <w:gridCol w:w="4792"/>
              <w:gridCol w:w="723"/>
              <w:gridCol w:w="11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7" w:type="dxa"/>
                  <w:vAlign w:val="center"/>
                </w:tcPr>
                <w:p>
                  <w:pPr>
                    <w:keepNext w:val="0"/>
                    <w:keepLines w:val="0"/>
                    <w:pageBreakBefore w:val="0"/>
                    <w:kinsoku/>
                    <w:wordWrap/>
                    <w:topLinePunct w:val="0"/>
                    <w:autoSpaceDN/>
                    <w:bidi w:val="0"/>
                    <w:spacing w:line="240" w:lineRule="auto"/>
                    <w:jc w:val="center"/>
                    <w:rPr>
                      <w:kern w:val="28"/>
                      <w:szCs w:val="21"/>
                    </w:rPr>
                  </w:pPr>
                  <w:bookmarkStart w:id="11" w:name="_Hlk69130929"/>
                  <w:r>
                    <w:rPr>
                      <w:kern w:val="28"/>
                      <w:szCs w:val="21"/>
                    </w:rPr>
                    <w:t>名称</w:t>
                  </w: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建设内容</w:t>
                  </w:r>
                </w:p>
              </w:tc>
              <w:tc>
                <w:tcPr>
                  <w:tcW w:w="4792"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建设规模</w:t>
                  </w:r>
                </w:p>
              </w:tc>
              <w:tc>
                <w:tcPr>
                  <w:tcW w:w="723" w:type="dxa"/>
                  <w:vAlign w:val="center"/>
                </w:tcPr>
                <w:p>
                  <w:pPr>
                    <w:keepNext w:val="0"/>
                    <w:keepLines w:val="0"/>
                    <w:pageBreakBefore w:val="0"/>
                    <w:kinsoku/>
                    <w:wordWrap/>
                    <w:topLinePunct w:val="0"/>
                    <w:autoSpaceDN/>
                    <w:bidi w:val="0"/>
                    <w:spacing w:line="240" w:lineRule="auto"/>
                    <w:jc w:val="center"/>
                    <w:rPr>
                      <w:kern w:val="28"/>
                      <w:szCs w:val="21"/>
                    </w:rPr>
                  </w:pPr>
                  <w:r>
                    <w:rPr>
                      <w:rFonts w:hint="eastAsia"/>
                      <w:kern w:val="28"/>
                      <w:szCs w:val="21"/>
                    </w:rPr>
                    <w:t>建设性质</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可能产生的环境影响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主体工程</w:t>
                  </w:r>
                </w:p>
              </w:tc>
              <w:tc>
                <w:tcPr>
                  <w:tcW w:w="457" w:type="dxa"/>
                  <w:vMerge w:val="restart"/>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rFonts w:hint="eastAsia"/>
                      <w:kern w:val="28"/>
                      <w:sz w:val="21"/>
                      <w:szCs w:val="21"/>
                    </w:rPr>
                    <w:t>钻前工程</w:t>
                  </w:r>
                </w:p>
              </w:tc>
              <w:tc>
                <w:tcPr>
                  <w:tcW w:w="821" w:type="dxa"/>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rFonts w:hint="eastAsia"/>
                      <w:kern w:val="28"/>
                      <w:sz w:val="21"/>
                      <w:szCs w:val="21"/>
                    </w:rPr>
                    <w:t>井场平整</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依托铁北1井</w:t>
                  </w:r>
                  <w:r>
                    <w:rPr>
                      <w:rFonts w:hint="eastAsia"/>
                      <w:kern w:val="28"/>
                      <w:sz w:val="21"/>
                      <w:szCs w:val="21"/>
                    </w:rPr>
                    <w:t>已建场地</w:t>
                  </w:r>
                  <w:r>
                    <w:rPr>
                      <w:kern w:val="28"/>
                      <w:sz w:val="21"/>
                      <w:szCs w:val="21"/>
                    </w:rPr>
                    <w:t>进行建设，原铁北1井已建</w:t>
                  </w:r>
                  <w:r>
                    <w:rPr>
                      <w:rFonts w:hint="eastAsia"/>
                      <w:kern w:val="28"/>
                      <w:sz w:val="21"/>
                      <w:szCs w:val="21"/>
                      <w:lang w:val="en-US" w:eastAsia="zh-CN"/>
                    </w:rPr>
                    <w:t>井场</w:t>
                  </w:r>
                  <w:r>
                    <w:rPr>
                      <w:kern w:val="28"/>
                      <w:sz w:val="21"/>
                      <w:szCs w:val="21"/>
                    </w:rPr>
                    <w:t>占地面积为</w:t>
                  </w:r>
                  <w:r>
                    <w:rPr>
                      <w:rFonts w:hint="eastAsia"/>
                      <w:kern w:val="28"/>
                      <w:sz w:val="21"/>
                      <w:szCs w:val="21"/>
                      <w:lang w:val="en-US" w:eastAsia="zh-CN"/>
                    </w:rPr>
                    <w:t>6850</w:t>
                  </w:r>
                  <w:r>
                    <w:rPr>
                      <w:kern w:val="28"/>
                      <w:sz w:val="21"/>
                      <w:szCs w:val="21"/>
                    </w:rPr>
                    <w:t>m</w:t>
                  </w:r>
                  <w:r>
                    <w:rPr>
                      <w:kern w:val="28"/>
                      <w:sz w:val="21"/>
                      <w:szCs w:val="21"/>
                      <w:vertAlign w:val="superscript"/>
                    </w:rPr>
                    <w:t>2</w:t>
                  </w:r>
                  <w:r>
                    <w:rPr>
                      <w:kern w:val="28"/>
                      <w:sz w:val="21"/>
                      <w:szCs w:val="21"/>
                    </w:rPr>
                    <w:t>，</w:t>
                  </w:r>
                  <w:r>
                    <w:rPr>
                      <w:rFonts w:hint="eastAsia"/>
                      <w:kern w:val="28"/>
                      <w:sz w:val="21"/>
                      <w:szCs w:val="21"/>
                    </w:rPr>
                    <w:t>井场大小为50m×100m，钻前工程</w:t>
                  </w:r>
                  <w:r>
                    <w:rPr>
                      <w:kern w:val="28"/>
                      <w:sz w:val="21"/>
                      <w:szCs w:val="21"/>
                    </w:rPr>
                    <w:t>主要进行场地平整，钻前设备安装等</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sz w:val="21"/>
                      <w:szCs w:val="21"/>
                    </w:rPr>
                  </w:pPr>
                  <w:r>
                    <w:rPr>
                      <w:rFonts w:hint="eastAsia"/>
                      <w:sz w:val="21"/>
                      <w:szCs w:val="21"/>
                    </w:rPr>
                    <w:t>依托</w:t>
                  </w:r>
                </w:p>
              </w:tc>
              <w:tc>
                <w:tcPr>
                  <w:tcW w:w="1196"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57" w:type="dxa"/>
                  <w:vMerge w:val="continue"/>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p>
              </w:tc>
              <w:tc>
                <w:tcPr>
                  <w:tcW w:w="821" w:type="dxa"/>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rFonts w:hint="eastAsia"/>
                      <w:kern w:val="28"/>
                      <w:sz w:val="21"/>
                      <w:szCs w:val="21"/>
                    </w:rPr>
                    <w:t>废水</w:t>
                  </w:r>
                  <w:r>
                    <w:rPr>
                      <w:kern w:val="28"/>
                      <w:sz w:val="21"/>
                      <w:szCs w:val="21"/>
                    </w:rPr>
                    <w:t>池</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sz w:val="21"/>
                      <w:szCs w:val="21"/>
                    </w:rPr>
                    <w:t>已建成1座</w:t>
                  </w:r>
                  <w:r>
                    <w:rPr>
                      <w:rFonts w:hint="eastAsia"/>
                      <w:sz w:val="21"/>
                      <w:szCs w:val="21"/>
                      <w:lang w:val="en-US" w:eastAsia="zh-CN"/>
                    </w:rPr>
                    <w:t>清水池和</w:t>
                  </w:r>
                  <w:r>
                    <w:rPr>
                      <w:rFonts w:hint="eastAsia"/>
                      <w:sz w:val="21"/>
                      <w:szCs w:val="21"/>
                    </w:rPr>
                    <w:t>废水池，</w:t>
                  </w:r>
                  <w:r>
                    <w:rPr>
                      <w:sz w:val="21"/>
                      <w:szCs w:val="21"/>
                    </w:rPr>
                    <w:t>位于井场外</w:t>
                  </w:r>
                  <w:r>
                    <w:rPr>
                      <w:rFonts w:hint="eastAsia"/>
                      <w:sz w:val="21"/>
                      <w:szCs w:val="21"/>
                    </w:rPr>
                    <w:t>东北侧</w:t>
                  </w:r>
                  <w:r>
                    <w:rPr>
                      <w:sz w:val="21"/>
                      <w:szCs w:val="21"/>
                    </w:rPr>
                    <w:t>，共</w:t>
                  </w:r>
                  <w:r>
                    <w:rPr>
                      <w:rFonts w:hint="eastAsia"/>
                      <w:sz w:val="21"/>
                      <w:szCs w:val="21"/>
                    </w:rPr>
                    <w:t>2</w:t>
                  </w:r>
                  <w:r>
                    <w:rPr>
                      <w:sz w:val="21"/>
                      <w:szCs w:val="21"/>
                    </w:rPr>
                    <w:t>格，</w:t>
                  </w:r>
                  <w:r>
                    <w:rPr>
                      <w:rFonts w:hint="eastAsia"/>
                      <w:sz w:val="21"/>
                      <w:szCs w:val="21"/>
                      <w:lang w:val="en-US" w:eastAsia="zh-CN"/>
                    </w:rPr>
                    <w:t>清水池容积为800m</w:t>
                  </w:r>
                  <w:r>
                    <w:rPr>
                      <w:rFonts w:hint="eastAsia"/>
                      <w:sz w:val="21"/>
                      <w:szCs w:val="21"/>
                      <w:vertAlign w:val="superscript"/>
                      <w:lang w:val="en-US" w:eastAsia="zh-CN"/>
                    </w:rPr>
                    <w:t>3</w:t>
                  </w:r>
                  <w:r>
                    <w:rPr>
                      <w:rFonts w:hint="eastAsia"/>
                      <w:sz w:val="21"/>
                      <w:szCs w:val="21"/>
                      <w:lang w:val="en-US" w:eastAsia="zh-CN"/>
                    </w:rPr>
                    <w:t>，废水池</w:t>
                  </w:r>
                  <w:r>
                    <w:rPr>
                      <w:sz w:val="21"/>
                      <w:szCs w:val="21"/>
                    </w:rPr>
                    <w:t>容积为</w:t>
                  </w:r>
                  <w:r>
                    <w:rPr>
                      <w:rFonts w:hint="eastAsia"/>
                      <w:sz w:val="21"/>
                      <w:szCs w:val="21"/>
                    </w:rPr>
                    <w:t>1</w:t>
                  </w:r>
                  <w:r>
                    <w:rPr>
                      <w:rFonts w:hint="eastAsia"/>
                      <w:sz w:val="21"/>
                      <w:szCs w:val="21"/>
                      <w:lang w:val="en-US" w:eastAsia="zh-CN"/>
                    </w:rPr>
                    <w:t>5</w:t>
                  </w:r>
                  <w:r>
                    <w:rPr>
                      <w:sz w:val="21"/>
                      <w:szCs w:val="21"/>
                    </w:rPr>
                    <w:t>00m</w:t>
                  </w:r>
                  <w:r>
                    <w:rPr>
                      <w:sz w:val="21"/>
                      <w:szCs w:val="21"/>
                      <w:vertAlign w:val="superscript"/>
                    </w:rPr>
                    <w:t>3</w:t>
                  </w:r>
                  <w:r>
                    <w:rPr>
                      <w:sz w:val="21"/>
                      <w:szCs w:val="21"/>
                    </w:rPr>
                    <w:t>，</w:t>
                  </w:r>
                  <w:r>
                    <w:rPr>
                      <w:rFonts w:hint="eastAsia"/>
                      <w:sz w:val="21"/>
                      <w:szCs w:val="21"/>
                    </w:rPr>
                    <w:t>已</w:t>
                  </w:r>
                  <w:r>
                    <w:rPr>
                      <w:sz w:val="21"/>
                      <w:szCs w:val="21"/>
                    </w:rPr>
                    <w:t>在池壁四周设置钢质护栏，池内</w:t>
                  </w:r>
                  <w:r>
                    <w:rPr>
                      <w:rFonts w:hint="eastAsia"/>
                      <w:sz w:val="21"/>
                      <w:szCs w:val="21"/>
                    </w:rPr>
                    <w:t>已做</w:t>
                  </w:r>
                  <w:r>
                    <w:rPr>
                      <w:sz w:val="21"/>
                      <w:szCs w:val="21"/>
                    </w:rPr>
                    <w:t>重点防渗处理。</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sz w:val="21"/>
                      <w:szCs w:val="21"/>
                    </w:rPr>
                  </w:pPr>
                  <w:r>
                    <w:rPr>
                      <w:rFonts w:hint="eastAsia"/>
                      <w:sz w:val="21"/>
                      <w:szCs w:val="21"/>
                    </w:rPr>
                    <w:t>依托</w:t>
                  </w:r>
                </w:p>
              </w:tc>
              <w:tc>
                <w:tcPr>
                  <w:tcW w:w="1196"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57" w:type="dxa"/>
                  <w:vMerge w:val="continue"/>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p>
              </w:tc>
              <w:tc>
                <w:tcPr>
                  <w:tcW w:w="821" w:type="dxa"/>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放喷池</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sz w:val="21"/>
                      <w:szCs w:val="21"/>
                    </w:rPr>
                    <w:t>已建成2</w:t>
                  </w:r>
                  <w:r>
                    <w:rPr>
                      <w:sz w:val="21"/>
                      <w:szCs w:val="21"/>
                    </w:rPr>
                    <w:t>个</w:t>
                  </w:r>
                  <w:r>
                    <w:rPr>
                      <w:rFonts w:hint="eastAsia"/>
                      <w:sz w:val="21"/>
                      <w:szCs w:val="21"/>
                    </w:rPr>
                    <w:t>放喷池</w:t>
                  </w:r>
                  <w:r>
                    <w:rPr>
                      <w:sz w:val="21"/>
                      <w:szCs w:val="21"/>
                    </w:rPr>
                    <w:t>，</w:t>
                  </w:r>
                  <w:r>
                    <w:rPr>
                      <w:rFonts w:hint="eastAsia"/>
                      <w:sz w:val="21"/>
                      <w:szCs w:val="21"/>
                    </w:rPr>
                    <w:t>分别</w:t>
                  </w:r>
                  <w:r>
                    <w:rPr>
                      <w:sz w:val="21"/>
                      <w:szCs w:val="21"/>
                    </w:rPr>
                    <w:t>位于井场</w:t>
                  </w:r>
                  <w:r>
                    <w:rPr>
                      <w:rFonts w:hint="eastAsia"/>
                      <w:sz w:val="21"/>
                      <w:szCs w:val="21"/>
                    </w:rPr>
                    <w:t>北侧及南侧</w:t>
                  </w:r>
                  <w:r>
                    <w:rPr>
                      <w:sz w:val="21"/>
                      <w:szCs w:val="21"/>
                    </w:rPr>
                    <w:t>，放喷坑为A类放喷坑（7m*14m），作为紧急放空点火使用。配10m</w:t>
                  </w:r>
                  <w:r>
                    <w:rPr>
                      <w:sz w:val="21"/>
                      <w:szCs w:val="21"/>
                      <w:vertAlign w:val="superscript"/>
                    </w:rPr>
                    <w:t>3</w:t>
                  </w:r>
                  <w:r>
                    <w:rPr>
                      <w:sz w:val="21"/>
                      <w:szCs w:val="21"/>
                    </w:rPr>
                    <w:t>集酸池一座，池内采用重点防渗。</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sz w:val="21"/>
                      <w:szCs w:val="21"/>
                    </w:rPr>
                  </w:pPr>
                  <w:r>
                    <w:rPr>
                      <w:sz w:val="21"/>
                      <w:szCs w:val="21"/>
                    </w:rPr>
                    <w:t>依托</w:t>
                  </w:r>
                </w:p>
              </w:tc>
              <w:tc>
                <w:tcPr>
                  <w:tcW w:w="1196"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57" w:type="dxa"/>
                  <w:vMerge w:val="continue"/>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p>
              </w:tc>
              <w:tc>
                <w:tcPr>
                  <w:tcW w:w="821" w:type="dxa"/>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隔油池</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sz w:val="21"/>
                      <w:szCs w:val="21"/>
                    </w:rPr>
                    <w:t>井场四角处各设一个5m</w:t>
                  </w:r>
                  <w:r>
                    <w:rPr>
                      <w:sz w:val="21"/>
                      <w:szCs w:val="21"/>
                      <w:vertAlign w:val="superscript"/>
                    </w:rPr>
                    <w:t>3</w:t>
                  </w:r>
                  <w:r>
                    <w:rPr>
                      <w:sz w:val="21"/>
                      <w:szCs w:val="21"/>
                    </w:rPr>
                    <w:t>隔油池；在</w:t>
                  </w:r>
                  <w:r>
                    <w:rPr>
                      <w:rFonts w:hint="eastAsia"/>
                      <w:sz w:val="21"/>
                      <w:szCs w:val="21"/>
                    </w:rPr>
                    <w:t>生活区</w:t>
                  </w:r>
                  <w:r>
                    <w:rPr>
                      <w:sz w:val="21"/>
                      <w:szCs w:val="21"/>
                    </w:rPr>
                    <w:t>设置一处10m</w:t>
                  </w:r>
                  <w:r>
                    <w:rPr>
                      <w:sz w:val="21"/>
                      <w:szCs w:val="21"/>
                      <w:vertAlign w:val="superscript"/>
                    </w:rPr>
                    <w:t>3</w:t>
                  </w:r>
                  <w:r>
                    <w:rPr>
                      <w:sz w:val="21"/>
                      <w:szCs w:val="21"/>
                    </w:rPr>
                    <w:t>的污水隔油池，对隔油池顶面做防雨水措施。</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sz w:val="21"/>
                      <w:szCs w:val="21"/>
                    </w:rPr>
                  </w:pPr>
                  <w:r>
                    <w:rPr>
                      <w:sz w:val="21"/>
                      <w:szCs w:val="21"/>
                    </w:rPr>
                    <w:t>依托</w:t>
                  </w:r>
                </w:p>
              </w:tc>
              <w:tc>
                <w:tcPr>
                  <w:tcW w:w="1196"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57" w:type="dxa"/>
                  <w:vMerge w:val="restart"/>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rFonts w:hint="eastAsia"/>
                      <w:kern w:val="28"/>
                      <w:sz w:val="21"/>
                      <w:szCs w:val="21"/>
                    </w:rPr>
                    <w:t>钻井工程</w:t>
                  </w:r>
                </w:p>
              </w:tc>
              <w:tc>
                <w:tcPr>
                  <w:tcW w:w="821" w:type="dxa"/>
                  <w:tcBorders>
                    <w:bottom w:val="single" w:color="auto" w:sz="4" w:space="0"/>
                  </w:tcBorders>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钻井工程</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sz w:val="21"/>
                      <w:szCs w:val="21"/>
                    </w:rPr>
                  </w:pPr>
                  <w:r>
                    <w:rPr>
                      <w:rFonts w:hint="eastAsia"/>
                      <w:kern w:val="28"/>
                      <w:sz w:val="21"/>
                      <w:szCs w:val="21"/>
                    </w:rPr>
                    <w:t>铁北1侧HF井</w:t>
                  </w:r>
                  <w:r>
                    <w:rPr>
                      <w:kern w:val="28"/>
                      <w:sz w:val="21"/>
                      <w:szCs w:val="21"/>
                    </w:rPr>
                    <w:t>为</w:t>
                  </w:r>
                  <w:r>
                    <w:rPr>
                      <w:rFonts w:hint="eastAsia"/>
                      <w:kern w:val="28"/>
                      <w:sz w:val="21"/>
                      <w:szCs w:val="21"/>
                    </w:rPr>
                    <w:t>水平井</w:t>
                  </w:r>
                  <w:r>
                    <w:rPr>
                      <w:kern w:val="28"/>
                      <w:sz w:val="21"/>
                      <w:szCs w:val="21"/>
                    </w:rPr>
                    <w:t>，</w:t>
                  </w:r>
                  <w:r>
                    <w:rPr>
                      <w:rFonts w:hint="eastAsia"/>
                      <w:kern w:val="28"/>
                      <w:sz w:val="21"/>
                      <w:szCs w:val="21"/>
                    </w:rPr>
                    <w:t>导眼井设计井深为5221m，完钻层位为二叠系茅口组，水平井设计井深为5263m，</w:t>
                  </w:r>
                  <w:r>
                    <w:rPr>
                      <w:sz w:val="21"/>
                      <w:szCs w:val="21"/>
                    </w:rPr>
                    <w:t>完钻层位为二叠系</w:t>
                  </w:r>
                  <w:r>
                    <w:rPr>
                      <w:rFonts w:hint="eastAsia"/>
                      <w:sz w:val="21"/>
                      <w:szCs w:val="21"/>
                    </w:rPr>
                    <w:t>龙潭</w:t>
                  </w:r>
                  <w:r>
                    <w:rPr>
                      <w:sz w:val="21"/>
                      <w:szCs w:val="21"/>
                    </w:rPr>
                    <w:t>组</w:t>
                  </w:r>
                  <w:r>
                    <w:rPr>
                      <w:kern w:val="28"/>
                      <w:sz w:val="21"/>
                      <w:szCs w:val="21"/>
                    </w:rPr>
                    <w:t>。</w:t>
                  </w:r>
                  <w:r>
                    <w:rPr>
                      <w:rFonts w:hint="eastAsia"/>
                      <w:kern w:val="28"/>
                      <w:sz w:val="21"/>
                      <w:szCs w:val="21"/>
                    </w:rPr>
                    <w:t>导眼段采用水基聚合物钻井液，水平段</w:t>
                  </w:r>
                  <w:r>
                    <w:rPr>
                      <w:kern w:val="28"/>
                      <w:sz w:val="21"/>
                      <w:szCs w:val="21"/>
                    </w:rPr>
                    <w:t>采用油基钻井液。</w:t>
                  </w:r>
                  <w:r>
                    <w:rPr>
                      <w:rFonts w:hint="eastAsia"/>
                      <w:kern w:val="28"/>
                      <w:sz w:val="21"/>
                      <w:szCs w:val="21"/>
                    </w:rPr>
                    <w:t>本项目</w:t>
                  </w:r>
                  <w:r>
                    <w:rPr>
                      <w:kern w:val="28"/>
                      <w:sz w:val="21"/>
                      <w:szCs w:val="21"/>
                    </w:rPr>
                    <w:t>钻井采用</w:t>
                  </w:r>
                  <w:r>
                    <w:rPr>
                      <w:rFonts w:hint="eastAsia"/>
                      <w:kern w:val="28"/>
                      <w:sz w:val="21"/>
                      <w:szCs w:val="21"/>
                    </w:rPr>
                    <w:t>ZJ70型</w:t>
                  </w:r>
                  <w:r>
                    <w:rPr>
                      <w:kern w:val="28"/>
                      <w:sz w:val="21"/>
                      <w:szCs w:val="21"/>
                    </w:rPr>
                    <w:t>钻机</w:t>
                  </w:r>
                  <w:r>
                    <w:rPr>
                      <w:rFonts w:hint="eastAsia"/>
                      <w:kern w:val="28"/>
                      <w:sz w:val="21"/>
                      <w:szCs w:val="21"/>
                    </w:rPr>
                    <w:t>。</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kern w:val="28"/>
                      <w:sz w:val="21"/>
                      <w:szCs w:val="21"/>
                    </w:rPr>
                    <w:t>新建</w:t>
                  </w:r>
                </w:p>
              </w:tc>
              <w:tc>
                <w:tcPr>
                  <w:tcW w:w="1196"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jc w:val="center"/>
                    <w:rPr>
                      <w:kern w:val="28"/>
                      <w:sz w:val="21"/>
                      <w:szCs w:val="21"/>
                    </w:rPr>
                  </w:pPr>
                  <w:r>
                    <w:rPr>
                      <w:kern w:val="28"/>
                      <w:sz w:val="21"/>
                      <w:szCs w:val="21"/>
                    </w:rPr>
                    <w:t>生产废水、固废、设备噪声、废气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测井、取心、录井</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测井、取心、录井主要为取样分析地质等情况，对可能的油、气层进行的中途测试。</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固井作业</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全井段施套管保护+水泥固井。</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57"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rFonts w:hint="eastAsia"/>
                      <w:kern w:val="28"/>
                      <w:szCs w:val="21"/>
                    </w:rPr>
                    <w:t>储层改造工程</w:t>
                  </w:r>
                </w:p>
              </w:tc>
              <w:tc>
                <w:tcPr>
                  <w:tcW w:w="821"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分段射孔、压裂</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kern w:val="28"/>
                      <w:sz w:val="21"/>
                      <w:szCs w:val="21"/>
                    </w:rPr>
                    <w:t>铁北1侧HF井</w:t>
                  </w:r>
                  <w:r>
                    <w:rPr>
                      <w:kern w:val="28"/>
                      <w:sz w:val="21"/>
                      <w:szCs w:val="21"/>
                    </w:rPr>
                    <w:t>所有单井采用分段射孔，分段</w:t>
                  </w:r>
                  <w:r>
                    <w:rPr>
                      <w:rFonts w:hint="eastAsia"/>
                      <w:kern w:val="28"/>
                      <w:sz w:val="21"/>
                      <w:szCs w:val="21"/>
                    </w:rPr>
                    <w:t>酸化</w:t>
                  </w:r>
                  <w:r>
                    <w:rPr>
                      <w:kern w:val="28"/>
                      <w:sz w:val="21"/>
                      <w:szCs w:val="21"/>
                    </w:rPr>
                    <w:t>压裂，每段之间采用电缆可钻桥塞分层对压裂段进行分段暂闭；</w:t>
                  </w:r>
                </w:p>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射孔：采用电缆分段射孔；</w:t>
                  </w:r>
                </w:p>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kern w:val="28"/>
                      <w:sz w:val="21"/>
                      <w:szCs w:val="21"/>
                    </w:rPr>
                    <w:t>酸化</w:t>
                  </w:r>
                  <w:r>
                    <w:rPr>
                      <w:kern w:val="28"/>
                      <w:sz w:val="21"/>
                      <w:szCs w:val="21"/>
                    </w:rPr>
                    <w:t>压裂：设置</w:t>
                  </w:r>
                  <w:r>
                    <w:rPr>
                      <w:rFonts w:hint="eastAsia"/>
                      <w:kern w:val="28"/>
                      <w:sz w:val="21"/>
                      <w:szCs w:val="21"/>
                    </w:rPr>
                    <w:t>1</w:t>
                  </w:r>
                  <w:r>
                    <w:rPr>
                      <w:kern w:val="28"/>
                      <w:sz w:val="21"/>
                      <w:szCs w:val="21"/>
                    </w:rPr>
                    <w:t>2台压裂车，</w:t>
                  </w:r>
                  <w:r>
                    <w:rPr>
                      <w:rFonts w:hint="eastAsia"/>
                      <w:kern w:val="28"/>
                      <w:sz w:val="21"/>
                      <w:szCs w:val="21"/>
                    </w:rPr>
                    <w:t>1</w:t>
                  </w:r>
                  <w:r>
                    <w:rPr>
                      <w:kern w:val="28"/>
                      <w:sz w:val="21"/>
                      <w:szCs w:val="21"/>
                    </w:rPr>
                    <w:t>0用2备。</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kern w:val="28"/>
                      <w:szCs w:val="21"/>
                    </w:rPr>
                  </w:pPr>
                  <w:r>
                    <w:rPr>
                      <w:rFonts w:hint="eastAsia"/>
                      <w:kern w:val="28"/>
                      <w:szCs w:val="21"/>
                    </w:rPr>
                    <w:t>试气作业</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对目的层的气量、气性质进行测试</w:t>
                  </w:r>
                  <w:r>
                    <w:rPr>
                      <w:rFonts w:hint="eastAsia"/>
                      <w:kern w:val="28"/>
                      <w:sz w:val="21"/>
                      <w:szCs w:val="21"/>
                    </w:rPr>
                    <w:t>。</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5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821"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设备搬迁</w:t>
                  </w:r>
                </w:p>
              </w:tc>
              <w:tc>
                <w:tcPr>
                  <w:tcW w:w="4792"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kern w:val="28"/>
                      <w:sz w:val="21"/>
                      <w:szCs w:val="21"/>
                    </w:rPr>
                    <w:t>测试结束后，井队撤离现场，井场内设施设备搬迁，按井场占地类型进行迹地恢复。</w:t>
                  </w:r>
                </w:p>
              </w:tc>
              <w:tc>
                <w:tcPr>
                  <w:tcW w:w="723" w:type="dxa"/>
                  <w:vAlign w:val="center"/>
                </w:tcPr>
                <w:p>
                  <w:pPr>
                    <w:pStyle w:val="26"/>
                    <w:keepNext w:val="0"/>
                    <w:keepLines w:val="0"/>
                    <w:pageBreakBefore w:val="0"/>
                    <w:tabs>
                      <w:tab w:val="left" w:pos="2321"/>
                    </w:tabs>
                    <w:kinsoku/>
                    <w:wordWrap/>
                    <w:overflowPunct w:val="0"/>
                    <w:topLinePunct w:val="0"/>
                    <w:autoSpaceDE w:val="0"/>
                    <w:autoSpaceDN/>
                    <w:bidi w:val="0"/>
                    <w:spacing w:line="240" w:lineRule="auto"/>
                    <w:rPr>
                      <w:kern w:val="28"/>
                      <w:sz w:val="21"/>
                      <w:szCs w:val="21"/>
                    </w:rPr>
                  </w:pPr>
                  <w:r>
                    <w:rPr>
                      <w:rFonts w:hint="eastAsia"/>
                      <w:kern w:val="28"/>
                      <w:sz w:val="21"/>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辅助工程</w:t>
                  </w:r>
                </w:p>
              </w:tc>
              <w:tc>
                <w:tcPr>
                  <w:tcW w:w="1278" w:type="dxa"/>
                  <w:gridSpan w:val="2"/>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泥浆循环系统</w:t>
                  </w:r>
                </w:p>
              </w:tc>
              <w:tc>
                <w:tcPr>
                  <w:tcW w:w="4792" w:type="dxa"/>
                  <w:vAlign w:val="center"/>
                </w:tcPr>
                <w:p>
                  <w:pPr>
                    <w:keepNext w:val="0"/>
                    <w:keepLines w:val="0"/>
                    <w:pageBreakBefore w:val="0"/>
                    <w:kinsoku/>
                    <w:wordWrap/>
                    <w:topLinePunct w:val="0"/>
                    <w:autoSpaceDN/>
                    <w:bidi w:val="0"/>
                    <w:spacing w:line="240" w:lineRule="auto"/>
                    <w:rPr>
                      <w:kern w:val="0"/>
                      <w:szCs w:val="21"/>
                    </w:rPr>
                  </w:pPr>
                  <w:r>
                    <w:rPr>
                      <w:kern w:val="0"/>
                      <w:szCs w:val="21"/>
                    </w:rPr>
                    <w:t>共1套泥浆循环系统，含振动筛、除砂器、离心机、液气分离器、除泥除砂一体机、除气器等装置及循环罐组成。</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泥浆跑冒滴漏污染土壤、地下水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清洁生产操作平台</w:t>
                  </w:r>
                </w:p>
              </w:tc>
              <w:tc>
                <w:tcPr>
                  <w:tcW w:w="4792" w:type="dxa"/>
                  <w:vAlign w:val="center"/>
                </w:tcPr>
                <w:p>
                  <w:pPr>
                    <w:keepNext w:val="0"/>
                    <w:keepLines w:val="0"/>
                    <w:pageBreakBefore w:val="0"/>
                    <w:kinsoku/>
                    <w:wordWrap/>
                    <w:topLinePunct w:val="0"/>
                    <w:autoSpaceDN/>
                    <w:bidi w:val="0"/>
                    <w:spacing w:line="240" w:lineRule="auto"/>
                    <w:jc w:val="left"/>
                    <w:rPr>
                      <w:kern w:val="0"/>
                      <w:szCs w:val="21"/>
                    </w:rPr>
                  </w:pPr>
                  <w:r>
                    <w:rPr>
                      <w:kern w:val="0"/>
                      <w:szCs w:val="21"/>
                    </w:rPr>
                    <w:t>废水预处理区：主要有4个40m</w:t>
                  </w:r>
                  <w:r>
                    <w:rPr>
                      <w:kern w:val="0"/>
                      <w:szCs w:val="21"/>
                      <w:vertAlign w:val="superscript"/>
                    </w:rPr>
                    <w:t>3</w:t>
                  </w:r>
                  <w:r>
                    <w:rPr>
                      <w:kern w:val="0"/>
                      <w:szCs w:val="21"/>
                    </w:rPr>
                    <w:t>的污水罐组成，其中隔油罐1个、沉淀罐1个、回用罐1个及废水罐1个。</w:t>
                  </w:r>
                </w:p>
              </w:tc>
              <w:tc>
                <w:tcPr>
                  <w:tcW w:w="723" w:type="dxa"/>
                  <w:vAlign w:val="center"/>
                </w:tcPr>
                <w:p>
                  <w:pPr>
                    <w:keepNext w:val="0"/>
                    <w:keepLines w:val="0"/>
                    <w:pageBreakBefore w:val="0"/>
                    <w:kinsoku/>
                    <w:wordWrap/>
                    <w:topLinePunct w:val="0"/>
                    <w:autoSpaceDN/>
                    <w:bidi w:val="0"/>
                    <w:spacing w:line="240" w:lineRule="auto"/>
                    <w:jc w:val="left"/>
                    <w:rPr>
                      <w:kern w:val="0"/>
                      <w:szCs w:val="21"/>
                    </w:rPr>
                  </w:pPr>
                  <w:r>
                    <w:rPr>
                      <w:kern w:val="0"/>
                      <w:szCs w:val="21"/>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泄漏污染土壤、地下水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jc w:val="left"/>
                    <w:rPr>
                      <w:kern w:val="0"/>
                      <w:szCs w:val="21"/>
                    </w:rPr>
                  </w:pPr>
                  <w:r>
                    <w:rPr>
                      <w:kern w:val="0"/>
                      <w:szCs w:val="21"/>
                    </w:rPr>
                    <w:t>岩屑收集罐由4个20m</w:t>
                  </w:r>
                  <w:r>
                    <w:rPr>
                      <w:kern w:val="0"/>
                      <w:szCs w:val="21"/>
                      <w:vertAlign w:val="superscript"/>
                    </w:rPr>
                    <w:t>3</w:t>
                  </w:r>
                  <w:r>
                    <w:rPr>
                      <w:kern w:val="0"/>
                      <w:szCs w:val="21"/>
                    </w:rPr>
                    <w:t>的岩屑罐+15个2m</w:t>
                  </w:r>
                  <w:r>
                    <w:rPr>
                      <w:kern w:val="0"/>
                      <w:szCs w:val="21"/>
                      <w:vertAlign w:val="superscript"/>
                    </w:rPr>
                    <w:t>3</w:t>
                  </w:r>
                  <w:r>
                    <w:rPr>
                      <w:kern w:val="0"/>
                      <w:szCs w:val="21"/>
                    </w:rPr>
                    <w:t>的岩屑罐组成。</w:t>
                  </w:r>
                </w:p>
              </w:tc>
              <w:tc>
                <w:tcPr>
                  <w:tcW w:w="723" w:type="dxa"/>
                  <w:vAlign w:val="center"/>
                </w:tcPr>
                <w:p>
                  <w:pPr>
                    <w:keepNext w:val="0"/>
                    <w:keepLines w:val="0"/>
                    <w:pageBreakBefore w:val="0"/>
                    <w:kinsoku/>
                    <w:wordWrap/>
                    <w:topLinePunct w:val="0"/>
                    <w:autoSpaceDN/>
                    <w:bidi w:val="0"/>
                    <w:spacing w:line="240" w:lineRule="auto"/>
                    <w:jc w:val="left"/>
                    <w:rPr>
                      <w:kern w:val="0"/>
                      <w:szCs w:val="21"/>
                    </w:rPr>
                  </w:pPr>
                  <w:r>
                    <w:rPr>
                      <w:kern w:val="0"/>
                      <w:szCs w:val="21"/>
                    </w:rPr>
                    <w:t>新建</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jc w:val="left"/>
                    <w:rPr>
                      <w:rFonts w:hint="default" w:eastAsia="宋体"/>
                      <w:kern w:val="0"/>
                      <w:szCs w:val="21"/>
                      <w:lang w:val="en-US" w:eastAsia="zh-CN"/>
                    </w:rPr>
                  </w:pPr>
                  <w:r>
                    <w:rPr>
                      <w:kern w:val="0"/>
                      <w:szCs w:val="21"/>
                    </w:rPr>
                    <w:t>化学品存放区：</w:t>
                  </w:r>
                  <w:r>
                    <w:rPr>
                      <w:szCs w:val="21"/>
                    </w:rPr>
                    <w:t>主要摆放水处理药剂等。</w:t>
                  </w:r>
                  <w:r>
                    <w:rPr>
                      <w:rFonts w:hint="eastAsia"/>
                      <w:szCs w:val="21"/>
                      <w:lang w:val="en-US" w:eastAsia="zh-CN"/>
                    </w:rPr>
                    <w:t>位于井场南侧区域。</w:t>
                  </w:r>
                </w:p>
              </w:tc>
              <w:tc>
                <w:tcPr>
                  <w:tcW w:w="723" w:type="dxa"/>
                  <w:vAlign w:val="center"/>
                </w:tcPr>
                <w:p>
                  <w:pPr>
                    <w:keepNext w:val="0"/>
                    <w:keepLines w:val="0"/>
                    <w:pageBreakBefore w:val="0"/>
                    <w:kinsoku/>
                    <w:wordWrap/>
                    <w:topLinePunct w:val="0"/>
                    <w:autoSpaceDN/>
                    <w:bidi w:val="0"/>
                    <w:spacing w:line="240" w:lineRule="auto"/>
                    <w:jc w:val="left"/>
                    <w:rPr>
                      <w:kern w:val="0"/>
                      <w:szCs w:val="21"/>
                    </w:rPr>
                  </w:pPr>
                  <w:r>
                    <w:rPr>
                      <w:kern w:val="0"/>
                      <w:szCs w:val="21"/>
                    </w:rPr>
                    <w:t>新建</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放喷池及放喷管线</w:t>
                  </w:r>
                </w:p>
              </w:tc>
              <w:tc>
                <w:tcPr>
                  <w:tcW w:w="4792" w:type="dxa"/>
                  <w:vAlign w:val="center"/>
                </w:tcPr>
                <w:p>
                  <w:pPr>
                    <w:keepNext w:val="0"/>
                    <w:keepLines w:val="0"/>
                    <w:pageBreakBefore w:val="0"/>
                    <w:kinsoku/>
                    <w:wordWrap/>
                    <w:topLinePunct w:val="0"/>
                    <w:autoSpaceDN/>
                    <w:bidi w:val="0"/>
                    <w:spacing w:line="240" w:lineRule="auto"/>
                    <w:rPr>
                      <w:kern w:val="28"/>
                      <w:szCs w:val="21"/>
                    </w:rPr>
                  </w:pPr>
                  <w:r>
                    <w:rPr>
                      <w:rFonts w:hint="eastAsia"/>
                      <w:kern w:val="0"/>
                      <w:szCs w:val="21"/>
                      <w:lang w:bidi="ar"/>
                    </w:rPr>
                    <w:t>依托已建</w:t>
                  </w:r>
                  <w:r>
                    <w:rPr>
                      <w:kern w:val="0"/>
                      <w:szCs w:val="21"/>
                      <w:lang w:bidi="ar"/>
                    </w:rPr>
                    <w:t>放喷池，</w:t>
                  </w:r>
                  <w:r>
                    <w:rPr>
                      <w:rFonts w:hint="eastAsia"/>
                      <w:kern w:val="0"/>
                      <w:szCs w:val="21"/>
                      <w:lang w:bidi="ar"/>
                    </w:rPr>
                    <w:t>主</w:t>
                  </w:r>
                  <w:r>
                    <w:rPr>
                      <w:kern w:val="0"/>
                      <w:szCs w:val="21"/>
                      <w:lang w:bidi="ar"/>
                    </w:rPr>
                    <w:t>放喷池位于平台</w:t>
                  </w:r>
                  <w:r>
                    <w:rPr>
                      <w:rFonts w:hint="eastAsia"/>
                      <w:kern w:val="0"/>
                      <w:szCs w:val="21"/>
                      <w:lang w:bidi="ar"/>
                    </w:rPr>
                    <w:t>北侧，副放喷池位于平台南侧</w:t>
                  </w:r>
                  <w:r>
                    <w:rPr>
                      <w:kern w:val="0"/>
                      <w:szCs w:val="21"/>
                      <w:lang w:bidi="ar"/>
                    </w:rPr>
                    <w:t>，放喷池外配10m</w:t>
                  </w:r>
                  <w:r>
                    <w:rPr>
                      <w:kern w:val="0"/>
                      <w:szCs w:val="21"/>
                      <w:vertAlign w:val="superscript"/>
                      <w:lang w:bidi="ar"/>
                    </w:rPr>
                    <w:t>3</w:t>
                  </w:r>
                  <w:r>
                    <w:rPr>
                      <w:kern w:val="0"/>
                      <w:szCs w:val="21"/>
                      <w:lang w:bidi="ar"/>
                    </w:rPr>
                    <w:t>集酸坑1座</w:t>
                  </w:r>
                  <w:r>
                    <w:rPr>
                      <w:kern w:val="28"/>
                      <w:szCs w:val="21"/>
                    </w:rPr>
                    <w:t>。</w:t>
                  </w:r>
                </w:p>
              </w:tc>
              <w:tc>
                <w:tcPr>
                  <w:tcW w:w="723" w:type="dxa"/>
                  <w:vAlign w:val="center"/>
                </w:tcPr>
                <w:p>
                  <w:pPr>
                    <w:keepNext w:val="0"/>
                    <w:keepLines w:val="0"/>
                    <w:pageBreakBefore w:val="0"/>
                    <w:kinsoku/>
                    <w:wordWrap/>
                    <w:topLinePunct w:val="0"/>
                    <w:autoSpaceDN/>
                    <w:bidi w:val="0"/>
                    <w:spacing w:line="240" w:lineRule="auto"/>
                    <w:rPr>
                      <w:kern w:val="0"/>
                      <w:szCs w:val="21"/>
                      <w:lang w:bidi="ar"/>
                    </w:rPr>
                  </w:pPr>
                  <w:r>
                    <w:rPr>
                      <w:rFonts w:hint="eastAsia"/>
                      <w:kern w:val="0"/>
                      <w:szCs w:val="21"/>
                      <w:lang w:val="en-US" w:eastAsia="zh-CN" w:bidi="ar"/>
                    </w:rPr>
                    <w:t>依托</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燃烧热辐射。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放喷点火系统</w:t>
                  </w:r>
                </w:p>
              </w:tc>
              <w:tc>
                <w:tcPr>
                  <w:tcW w:w="4792" w:type="dxa"/>
                  <w:vAlign w:val="center"/>
                </w:tcPr>
                <w:p>
                  <w:pPr>
                    <w:keepNext w:val="0"/>
                    <w:keepLines w:val="0"/>
                    <w:pageBreakBefore w:val="0"/>
                    <w:kinsoku/>
                    <w:wordWrap/>
                    <w:topLinePunct w:val="0"/>
                    <w:autoSpaceDN/>
                    <w:bidi w:val="0"/>
                    <w:spacing w:line="240" w:lineRule="auto"/>
                    <w:rPr>
                      <w:kern w:val="0"/>
                      <w:szCs w:val="21"/>
                    </w:rPr>
                  </w:pPr>
                  <w:r>
                    <w:rPr>
                      <w:kern w:val="0"/>
                      <w:szCs w:val="21"/>
                    </w:rPr>
                    <w:t>放喷池配备自动、手动点火装置各1套。</w:t>
                  </w:r>
                </w:p>
              </w:tc>
              <w:tc>
                <w:tcPr>
                  <w:tcW w:w="723" w:type="dxa"/>
                  <w:vAlign w:val="center"/>
                </w:tcPr>
                <w:p>
                  <w:pPr>
                    <w:keepNext w:val="0"/>
                    <w:keepLines w:val="0"/>
                    <w:pageBreakBefore w:val="0"/>
                    <w:kinsoku/>
                    <w:wordWrap/>
                    <w:topLinePunct w:val="0"/>
                    <w:autoSpaceDN/>
                    <w:bidi w:val="0"/>
                    <w:spacing w:line="240" w:lineRule="auto"/>
                    <w:rPr>
                      <w:kern w:val="0"/>
                      <w:szCs w:val="21"/>
                    </w:rPr>
                  </w:pPr>
                  <w:r>
                    <w:rPr>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szCs w:val="21"/>
                      <w:lang w:bidi="ar"/>
                    </w:rPr>
                  </w:pPr>
                  <w:r>
                    <w:rPr>
                      <w:kern w:val="0"/>
                      <w:szCs w:val="21"/>
                      <w:lang w:bidi="ar"/>
                    </w:rPr>
                    <w:t>生活垃圾箱</w:t>
                  </w:r>
                </w:p>
              </w:tc>
              <w:tc>
                <w:tcPr>
                  <w:tcW w:w="4792" w:type="dxa"/>
                  <w:vAlign w:val="center"/>
                </w:tcPr>
                <w:p>
                  <w:pPr>
                    <w:keepNext w:val="0"/>
                    <w:keepLines w:val="0"/>
                    <w:pageBreakBefore w:val="0"/>
                    <w:kinsoku/>
                    <w:wordWrap/>
                    <w:topLinePunct w:val="0"/>
                    <w:autoSpaceDN/>
                    <w:bidi w:val="0"/>
                    <w:spacing w:line="240" w:lineRule="auto"/>
                    <w:rPr>
                      <w:kern w:val="0"/>
                      <w:szCs w:val="21"/>
                    </w:rPr>
                  </w:pPr>
                  <w:r>
                    <w:rPr>
                      <w:szCs w:val="21"/>
                      <w:lang w:bidi="ar"/>
                    </w:rPr>
                    <w:t>井场区域和生活区各设1个。</w:t>
                  </w:r>
                </w:p>
              </w:tc>
              <w:tc>
                <w:tcPr>
                  <w:tcW w:w="723" w:type="dxa"/>
                  <w:vAlign w:val="center"/>
                </w:tcPr>
                <w:p>
                  <w:pPr>
                    <w:keepNext w:val="0"/>
                    <w:keepLines w:val="0"/>
                    <w:pageBreakBefore w:val="0"/>
                    <w:kinsoku/>
                    <w:wordWrap/>
                    <w:topLinePunct w:val="0"/>
                    <w:autoSpaceDN/>
                    <w:bidi w:val="0"/>
                    <w:spacing w:line="240" w:lineRule="auto"/>
                    <w:rPr>
                      <w:szCs w:val="21"/>
                      <w:lang w:bidi="ar"/>
                    </w:rPr>
                  </w:pPr>
                  <w:r>
                    <w:rPr>
                      <w:szCs w:val="21"/>
                      <w:lang w:bidi="ar"/>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widowControl/>
                    <w:kinsoku/>
                    <w:wordWrap/>
                    <w:topLinePunct w:val="0"/>
                    <w:autoSpaceDN/>
                    <w:bidi w:val="0"/>
                    <w:spacing w:line="240" w:lineRule="auto"/>
                    <w:jc w:val="center"/>
                    <w:rPr>
                      <w:kern w:val="0"/>
                      <w:szCs w:val="21"/>
                      <w:lang w:bidi="ar"/>
                    </w:rPr>
                  </w:pPr>
                  <w:r>
                    <w:rPr>
                      <w:kern w:val="0"/>
                      <w:szCs w:val="21"/>
                      <w:lang w:bidi="ar"/>
                    </w:rPr>
                    <w:t>生活区隔油池</w:t>
                  </w:r>
                </w:p>
              </w:tc>
              <w:tc>
                <w:tcPr>
                  <w:tcW w:w="4792" w:type="dxa"/>
                  <w:vAlign w:val="center"/>
                </w:tcPr>
                <w:p>
                  <w:pPr>
                    <w:keepNext w:val="0"/>
                    <w:keepLines w:val="0"/>
                    <w:pageBreakBefore w:val="0"/>
                    <w:kinsoku/>
                    <w:wordWrap/>
                    <w:topLinePunct w:val="0"/>
                    <w:autoSpaceDN/>
                    <w:bidi w:val="0"/>
                    <w:spacing w:line="240" w:lineRule="auto"/>
                    <w:rPr>
                      <w:szCs w:val="21"/>
                      <w:lang w:bidi="ar"/>
                    </w:rPr>
                  </w:pPr>
                  <w:r>
                    <w:rPr>
                      <w:kern w:val="0"/>
                      <w:szCs w:val="21"/>
                    </w:rPr>
                    <w:t>厨房废水经10m</w:t>
                  </w:r>
                  <w:r>
                    <w:rPr>
                      <w:kern w:val="0"/>
                      <w:szCs w:val="21"/>
                      <w:vertAlign w:val="superscript"/>
                    </w:rPr>
                    <w:t>3</w:t>
                  </w:r>
                  <w:r>
                    <w:rPr>
                      <w:kern w:val="0"/>
                      <w:szCs w:val="21"/>
                    </w:rPr>
                    <w:t>的污水隔油池处理后同生活废水处置。</w:t>
                  </w:r>
                </w:p>
              </w:tc>
              <w:tc>
                <w:tcPr>
                  <w:tcW w:w="723" w:type="dxa"/>
                  <w:vAlign w:val="center"/>
                </w:tcPr>
                <w:p>
                  <w:pPr>
                    <w:keepNext w:val="0"/>
                    <w:keepLines w:val="0"/>
                    <w:pageBreakBefore w:val="0"/>
                    <w:kinsoku/>
                    <w:wordWrap/>
                    <w:topLinePunct w:val="0"/>
                    <w:autoSpaceDN/>
                    <w:bidi w:val="0"/>
                    <w:spacing w:line="240" w:lineRule="auto"/>
                    <w:rPr>
                      <w:kern w:val="0"/>
                      <w:szCs w:val="21"/>
                    </w:rPr>
                  </w:pPr>
                  <w:r>
                    <w:rPr>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Align w:val="center"/>
                </w:tcPr>
                <w:p>
                  <w:pPr>
                    <w:keepNext w:val="0"/>
                    <w:keepLines w:val="0"/>
                    <w:pageBreakBefore w:val="0"/>
                    <w:widowControl/>
                    <w:kinsoku/>
                    <w:wordWrap/>
                    <w:topLinePunct w:val="0"/>
                    <w:autoSpaceDN/>
                    <w:bidi w:val="0"/>
                    <w:spacing w:line="240" w:lineRule="auto"/>
                    <w:jc w:val="center"/>
                    <w:rPr>
                      <w:kern w:val="28"/>
                      <w:szCs w:val="21"/>
                    </w:rPr>
                  </w:pPr>
                  <w:r>
                    <w:rPr>
                      <w:kern w:val="28"/>
                      <w:szCs w:val="21"/>
                    </w:rPr>
                    <w:t>办公及生活</w:t>
                  </w:r>
                </w:p>
              </w:tc>
              <w:tc>
                <w:tcPr>
                  <w:tcW w:w="1278" w:type="dxa"/>
                  <w:gridSpan w:val="2"/>
                  <w:vAlign w:val="center"/>
                </w:tcPr>
                <w:p>
                  <w:pPr>
                    <w:keepNext w:val="0"/>
                    <w:keepLines w:val="0"/>
                    <w:pageBreakBefore w:val="0"/>
                    <w:widowControl/>
                    <w:kinsoku/>
                    <w:wordWrap/>
                    <w:topLinePunct w:val="0"/>
                    <w:autoSpaceDN/>
                    <w:bidi w:val="0"/>
                    <w:spacing w:line="240" w:lineRule="auto"/>
                    <w:jc w:val="center"/>
                    <w:rPr>
                      <w:kern w:val="0"/>
                      <w:szCs w:val="21"/>
                      <w:lang w:bidi="ar"/>
                    </w:rPr>
                  </w:pPr>
                  <w:r>
                    <w:rPr>
                      <w:kern w:val="28"/>
                      <w:szCs w:val="21"/>
                    </w:rPr>
                    <w:t>生活区活动板房</w:t>
                  </w:r>
                </w:p>
              </w:tc>
              <w:tc>
                <w:tcPr>
                  <w:tcW w:w="4792" w:type="dxa"/>
                  <w:vAlign w:val="center"/>
                </w:tcPr>
                <w:p>
                  <w:pPr>
                    <w:keepNext w:val="0"/>
                    <w:keepLines w:val="0"/>
                    <w:pageBreakBefore w:val="0"/>
                    <w:kinsoku/>
                    <w:wordWrap/>
                    <w:topLinePunct w:val="0"/>
                    <w:autoSpaceDN/>
                    <w:bidi w:val="0"/>
                    <w:spacing w:line="240" w:lineRule="auto"/>
                    <w:rPr>
                      <w:kern w:val="0"/>
                      <w:szCs w:val="21"/>
                    </w:rPr>
                  </w:pPr>
                  <w:r>
                    <w:rPr>
                      <w:szCs w:val="21"/>
                    </w:rPr>
                    <w:t>板房现场吊装。共新建1套生活区，</w:t>
                  </w:r>
                  <w:r>
                    <w:rPr>
                      <w:rFonts w:hint="eastAsia"/>
                      <w:szCs w:val="21"/>
                      <w:lang w:val="en-US" w:eastAsia="zh-CN"/>
                    </w:rPr>
                    <w:t>占地面积为1400m</w:t>
                  </w:r>
                  <w:r>
                    <w:rPr>
                      <w:rFonts w:hint="eastAsia"/>
                      <w:szCs w:val="21"/>
                      <w:vertAlign w:val="superscript"/>
                      <w:lang w:val="en-US" w:eastAsia="zh-CN"/>
                    </w:rPr>
                    <w:t>2</w:t>
                  </w:r>
                  <w:r>
                    <w:rPr>
                      <w:rFonts w:hint="eastAsia"/>
                      <w:szCs w:val="21"/>
                      <w:lang w:val="en-US" w:eastAsia="zh-CN"/>
                    </w:rPr>
                    <w:t>，</w:t>
                  </w:r>
                  <w:r>
                    <w:rPr>
                      <w:szCs w:val="21"/>
                    </w:rPr>
                    <w:t>位于井场</w:t>
                  </w:r>
                  <w:r>
                    <w:rPr>
                      <w:rFonts w:hint="eastAsia"/>
                      <w:szCs w:val="21"/>
                    </w:rPr>
                    <w:t>东北侧</w:t>
                  </w:r>
                  <w:r>
                    <w:rPr>
                      <w:szCs w:val="21"/>
                    </w:rPr>
                    <w:t>，距离井场约</w:t>
                  </w:r>
                  <w:r>
                    <w:rPr>
                      <w:rFonts w:hint="eastAsia"/>
                      <w:szCs w:val="21"/>
                      <w:lang w:val="en-US" w:eastAsia="zh-CN"/>
                    </w:rPr>
                    <w:t>312</w:t>
                  </w:r>
                  <w:r>
                    <w:rPr>
                      <w:szCs w:val="21"/>
                    </w:rPr>
                    <w:t>m，生活区设置1座</w:t>
                  </w:r>
                  <w:r>
                    <w:rPr>
                      <w:rFonts w:hint="eastAsia"/>
                      <w:szCs w:val="21"/>
                    </w:rPr>
                    <w:t>生态一体化</w:t>
                  </w:r>
                  <w:r>
                    <w:rPr>
                      <w:szCs w:val="21"/>
                    </w:rPr>
                    <w:t>厕所。</w:t>
                  </w:r>
                </w:p>
              </w:tc>
              <w:tc>
                <w:tcPr>
                  <w:tcW w:w="723" w:type="dxa"/>
                  <w:vAlign w:val="center"/>
                </w:tcPr>
                <w:p>
                  <w:pPr>
                    <w:keepNext w:val="0"/>
                    <w:keepLines w:val="0"/>
                    <w:pageBreakBefore w:val="0"/>
                    <w:kinsoku/>
                    <w:wordWrap/>
                    <w:topLinePunct w:val="0"/>
                    <w:autoSpaceDN/>
                    <w:bidi w:val="0"/>
                    <w:spacing w:line="240" w:lineRule="auto"/>
                    <w:rPr>
                      <w:szCs w:val="21"/>
                    </w:rPr>
                  </w:pPr>
                  <w:r>
                    <w:rPr>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公用工程</w:t>
                  </w: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给水</w:t>
                  </w:r>
                </w:p>
              </w:tc>
              <w:tc>
                <w:tcPr>
                  <w:tcW w:w="4792" w:type="dxa"/>
                  <w:vAlign w:val="center"/>
                </w:tcPr>
                <w:p>
                  <w:pPr>
                    <w:keepNext w:val="0"/>
                    <w:keepLines w:val="0"/>
                    <w:pageBreakBefore w:val="0"/>
                    <w:kinsoku/>
                    <w:wordWrap/>
                    <w:topLinePunct w:val="0"/>
                    <w:autoSpaceDN/>
                    <w:bidi w:val="0"/>
                    <w:spacing w:line="240" w:lineRule="auto"/>
                    <w:rPr>
                      <w:kern w:val="28"/>
                      <w:szCs w:val="21"/>
                    </w:rPr>
                  </w:pPr>
                  <w:r>
                    <w:rPr>
                      <w:rFonts w:hint="eastAsia" w:ascii="宋体" w:hAnsi="宋体" w:cs="宋体"/>
                      <w:kern w:val="28"/>
                      <w:szCs w:val="21"/>
                    </w:rPr>
                    <w:t>①</w:t>
                  </w:r>
                  <w:r>
                    <w:rPr>
                      <w:kern w:val="28"/>
                      <w:szCs w:val="21"/>
                    </w:rPr>
                    <w:t>生产用水：采用清洁化生产处理水作为生产用水，不足部分采用运水车从当地自来水管网取水。</w:t>
                  </w:r>
                </w:p>
                <w:p>
                  <w:pPr>
                    <w:keepNext w:val="0"/>
                    <w:keepLines w:val="0"/>
                    <w:pageBreakBefore w:val="0"/>
                    <w:kinsoku/>
                    <w:wordWrap/>
                    <w:topLinePunct w:val="0"/>
                    <w:autoSpaceDN/>
                    <w:bidi w:val="0"/>
                    <w:spacing w:line="240" w:lineRule="auto"/>
                    <w:rPr>
                      <w:kern w:val="28"/>
                      <w:szCs w:val="21"/>
                    </w:rPr>
                  </w:pPr>
                  <w:r>
                    <w:rPr>
                      <w:rFonts w:hint="eastAsia" w:ascii="宋体" w:hAnsi="宋体" w:cs="宋体"/>
                      <w:kern w:val="28"/>
                      <w:szCs w:val="21"/>
                    </w:rPr>
                    <w:t>②</w:t>
                  </w:r>
                  <w:r>
                    <w:rPr>
                      <w:kern w:val="28"/>
                      <w:szCs w:val="21"/>
                    </w:rPr>
                    <w:t>生活用水：车辆拉运桶装水至场地。</w:t>
                  </w:r>
                </w:p>
              </w:tc>
              <w:tc>
                <w:tcPr>
                  <w:tcW w:w="723" w:type="dxa"/>
                  <w:vAlign w:val="center"/>
                </w:tcPr>
                <w:p>
                  <w:pPr>
                    <w:keepNext w:val="0"/>
                    <w:keepLines w:val="0"/>
                    <w:pageBreakBefore w:val="0"/>
                    <w:kinsoku/>
                    <w:wordWrap/>
                    <w:topLinePunct w:val="0"/>
                    <w:autoSpaceDN/>
                    <w:bidi w:val="0"/>
                    <w:spacing w:line="240" w:lineRule="auto"/>
                    <w:rPr>
                      <w:rFonts w:ascii="宋体" w:hAnsi="宋体" w:cs="宋体"/>
                      <w:kern w:val="28"/>
                      <w:szCs w:val="21"/>
                    </w:rPr>
                  </w:pPr>
                  <w:r>
                    <w:rPr>
                      <w:rFonts w:hint="eastAsia" w:ascii="宋体" w:hAnsi="宋体" w:cs="宋体"/>
                      <w:kern w:val="28"/>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场外排水</w:t>
                  </w:r>
                </w:p>
              </w:tc>
              <w:tc>
                <w:tcPr>
                  <w:tcW w:w="4792" w:type="dxa"/>
                  <w:vAlign w:val="center"/>
                </w:tcPr>
                <w:p>
                  <w:pPr>
                    <w:keepNext w:val="0"/>
                    <w:keepLines w:val="0"/>
                    <w:pageBreakBefore w:val="0"/>
                    <w:kinsoku/>
                    <w:wordWrap/>
                    <w:topLinePunct w:val="0"/>
                    <w:autoSpaceDN/>
                    <w:bidi w:val="0"/>
                    <w:spacing w:line="240" w:lineRule="auto"/>
                    <w:rPr>
                      <w:kern w:val="28"/>
                      <w:szCs w:val="21"/>
                    </w:rPr>
                  </w:pPr>
                  <w:r>
                    <w:rPr>
                      <w:rFonts w:hint="eastAsia"/>
                      <w:kern w:val="28"/>
                      <w:szCs w:val="21"/>
                    </w:rPr>
                    <w:t>新建场外</w:t>
                  </w:r>
                  <w:r>
                    <w:rPr>
                      <w:kern w:val="28"/>
                      <w:szCs w:val="21"/>
                    </w:rPr>
                    <w:t>排水沟，排水沟总长</w:t>
                  </w:r>
                  <w:r>
                    <w:rPr>
                      <w:rFonts w:hint="eastAsia"/>
                      <w:kern w:val="28"/>
                      <w:szCs w:val="21"/>
                    </w:rPr>
                    <w:t>320m</w:t>
                  </w:r>
                  <w:r>
                    <w:rPr>
                      <w:kern w:val="28"/>
                      <w:szCs w:val="21"/>
                    </w:rPr>
                    <w:t>。</w:t>
                  </w:r>
                </w:p>
              </w:tc>
              <w:tc>
                <w:tcPr>
                  <w:tcW w:w="723" w:type="dxa"/>
                  <w:vAlign w:val="center"/>
                </w:tcPr>
                <w:p>
                  <w:pPr>
                    <w:keepNext w:val="0"/>
                    <w:keepLines w:val="0"/>
                    <w:pageBreakBefore w:val="0"/>
                    <w:kinsoku/>
                    <w:wordWrap/>
                    <w:topLinePunct w:val="0"/>
                    <w:autoSpaceDN/>
                    <w:bidi w:val="0"/>
                    <w:spacing w:line="240" w:lineRule="auto"/>
                    <w:rPr>
                      <w:kern w:val="28"/>
                      <w:szCs w:val="21"/>
                    </w:rPr>
                  </w:pPr>
                  <w:r>
                    <w:rPr>
                      <w:rFonts w:hint="eastAsia"/>
                      <w:kern w:val="28"/>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场内排水</w:t>
                  </w:r>
                </w:p>
              </w:tc>
              <w:tc>
                <w:tcPr>
                  <w:tcW w:w="4792" w:type="dxa"/>
                  <w:vAlign w:val="center"/>
                </w:tcPr>
                <w:p>
                  <w:pPr>
                    <w:keepNext w:val="0"/>
                    <w:keepLines w:val="0"/>
                    <w:pageBreakBefore w:val="0"/>
                    <w:kinsoku/>
                    <w:wordWrap/>
                    <w:topLinePunct w:val="0"/>
                    <w:autoSpaceDN/>
                    <w:bidi w:val="0"/>
                    <w:spacing w:line="240" w:lineRule="auto"/>
                    <w:jc w:val="left"/>
                    <w:rPr>
                      <w:kern w:val="0"/>
                      <w:szCs w:val="21"/>
                      <w:lang w:bidi="ar"/>
                    </w:rPr>
                  </w:pPr>
                  <w:r>
                    <w:rPr>
                      <w:rFonts w:hint="eastAsia"/>
                      <w:kern w:val="0"/>
                      <w:szCs w:val="21"/>
                      <w:lang w:bidi="ar"/>
                    </w:rPr>
                    <w:t>新建</w:t>
                  </w:r>
                  <w:r>
                    <w:rPr>
                      <w:kern w:val="0"/>
                      <w:szCs w:val="21"/>
                      <w:lang w:bidi="ar"/>
                    </w:rPr>
                    <w:t>场内清水沟400mm宽×300mm深，总长</w:t>
                  </w:r>
                  <w:r>
                    <w:rPr>
                      <w:rFonts w:hint="eastAsia"/>
                      <w:kern w:val="0"/>
                      <w:szCs w:val="21"/>
                      <w:lang w:bidi="ar"/>
                    </w:rPr>
                    <w:t>400m</w:t>
                  </w:r>
                  <w:r>
                    <w:rPr>
                      <w:kern w:val="0"/>
                      <w:szCs w:val="21"/>
                      <w:lang w:bidi="ar"/>
                    </w:rPr>
                    <w:t>。</w:t>
                  </w:r>
                </w:p>
              </w:tc>
              <w:tc>
                <w:tcPr>
                  <w:tcW w:w="723" w:type="dxa"/>
                  <w:vAlign w:val="center"/>
                </w:tcPr>
                <w:p>
                  <w:pPr>
                    <w:keepNext w:val="0"/>
                    <w:keepLines w:val="0"/>
                    <w:pageBreakBefore w:val="0"/>
                    <w:kinsoku/>
                    <w:wordWrap/>
                    <w:topLinePunct w:val="0"/>
                    <w:autoSpaceDN/>
                    <w:bidi w:val="0"/>
                    <w:spacing w:line="240" w:lineRule="auto"/>
                    <w:jc w:val="left"/>
                    <w:rPr>
                      <w:kern w:val="0"/>
                      <w:szCs w:val="21"/>
                      <w:lang w:bidi="ar"/>
                    </w:rPr>
                  </w:pPr>
                  <w:r>
                    <w:rPr>
                      <w:rFonts w:hint="eastAsia"/>
                      <w:kern w:val="0"/>
                      <w:szCs w:val="21"/>
                      <w:lang w:bidi="ar"/>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rPr>
                      <w:kern w:val="0"/>
                      <w:szCs w:val="21"/>
                      <w:lang w:bidi="ar"/>
                    </w:rPr>
                  </w:pPr>
                  <w:r>
                    <w:rPr>
                      <w:kern w:val="0"/>
                      <w:szCs w:val="21"/>
                      <w:lang w:bidi="ar"/>
                    </w:rPr>
                    <w:t>井场清洁区雨水通过排水沟和隔油池处理后排入自然水系。</w:t>
                  </w:r>
                </w:p>
              </w:tc>
              <w:tc>
                <w:tcPr>
                  <w:tcW w:w="723" w:type="dxa"/>
                  <w:vAlign w:val="center"/>
                </w:tcPr>
                <w:p>
                  <w:pPr>
                    <w:keepNext w:val="0"/>
                    <w:keepLines w:val="0"/>
                    <w:pageBreakBefore w:val="0"/>
                    <w:kinsoku/>
                    <w:wordWrap/>
                    <w:topLinePunct w:val="0"/>
                    <w:autoSpaceDN/>
                    <w:bidi w:val="0"/>
                    <w:spacing w:line="240" w:lineRule="auto"/>
                    <w:rPr>
                      <w:kern w:val="0"/>
                      <w:szCs w:val="21"/>
                      <w:lang w:bidi="ar"/>
                    </w:rPr>
                  </w:pPr>
                  <w:r>
                    <w:rPr>
                      <w:rFonts w:hint="eastAsia"/>
                      <w:kern w:val="0"/>
                      <w:szCs w:val="21"/>
                      <w:lang w:bidi="ar"/>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jc w:val="left"/>
                    <w:rPr>
                      <w:kern w:val="0"/>
                      <w:szCs w:val="21"/>
                      <w:lang w:bidi="ar"/>
                    </w:rPr>
                  </w:pPr>
                  <w:r>
                    <w:rPr>
                      <w:kern w:val="0"/>
                      <w:szCs w:val="21"/>
                      <w:lang w:bidi="ar"/>
                    </w:rPr>
                    <w:t>井场四周</w:t>
                  </w:r>
                  <w:r>
                    <w:rPr>
                      <w:rFonts w:hint="eastAsia"/>
                      <w:kern w:val="0"/>
                      <w:szCs w:val="21"/>
                      <w:lang w:bidi="ar"/>
                    </w:rPr>
                    <w:t>新建</w:t>
                  </w:r>
                  <w:r>
                    <w:rPr>
                      <w:kern w:val="0"/>
                      <w:szCs w:val="21"/>
                      <w:lang w:bidi="ar"/>
                    </w:rPr>
                    <w:t>设4座B型隔油池，场内产污区雨水经场内排水沟汇入隔油池，经油水分离后油品回收，分离后废水泵入</w:t>
                  </w:r>
                  <w:r>
                    <w:rPr>
                      <w:kern w:val="28"/>
                      <w:szCs w:val="21"/>
                    </w:rPr>
                    <w:t>清洁生产操作平台</w:t>
                  </w:r>
                  <w:r>
                    <w:rPr>
                      <w:kern w:val="0"/>
                      <w:szCs w:val="21"/>
                    </w:rPr>
                    <w:t>废水罐</w:t>
                  </w:r>
                  <w:r>
                    <w:rPr>
                      <w:kern w:val="28"/>
                      <w:szCs w:val="21"/>
                    </w:rPr>
                    <w:t>处理回用</w:t>
                  </w:r>
                  <w:r>
                    <w:rPr>
                      <w:kern w:val="0"/>
                      <w:szCs w:val="21"/>
                      <w:lang w:bidi="ar"/>
                    </w:rPr>
                    <w:t>。</w:t>
                  </w:r>
                </w:p>
              </w:tc>
              <w:tc>
                <w:tcPr>
                  <w:tcW w:w="723" w:type="dxa"/>
                  <w:vAlign w:val="center"/>
                </w:tcPr>
                <w:p>
                  <w:pPr>
                    <w:keepNext w:val="0"/>
                    <w:keepLines w:val="0"/>
                    <w:pageBreakBefore w:val="0"/>
                    <w:kinsoku/>
                    <w:wordWrap/>
                    <w:topLinePunct w:val="0"/>
                    <w:autoSpaceDN/>
                    <w:bidi w:val="0"/>
                    <w:spacing w:line="240" w:lineRule="auto"/>
                    <w:jc w:val="left"/>
                    <w:rPr>
                      <w:kern w:val="0"/>
                      <w:szCs w:val="21"/>
                      <w:lang w:bidi="ar"/>
                    </w:rPr>
                  </w:pPr>
                  <w:r>
                    <w:rPr>
                      <w:rFonts w:hint="eastAsia"/>
                      <w:kern w:val="0"/>
                      <w:szCs w:val="21"/>
                      <w:lang w:bidi="ar"/>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jc w:val="left"/>
                    <w:rPr>
                      <w:kern w:val="0"/>
                      <w:szCs w:val="21"/>
                    </w:rPr>
                  </w:pPr>
                  <w:r>
                    <w:rPr>
                      <w:kern w:val="28"/>
                      <w:szCs w:val="21"/>
                    </w:rPr>
                    <w:t>生活污水经</w:t>
                  </w:r>
                  <w:r>
                    <w:rPr>
                      <w:rFonts w:hint="eastAsia"/>
                      <w:kern w:val="28"/>
                      <w:szCs w:val="21"/>
                    </w:rPr>
                    <w:t>生态一体化厕所</w:t>
                  </w:r>
                  <w:r>
                    <w:rPr>
                      <w:kern w:val="28"/>
                      <w:szCs w:val="21"/>
                    </w:rPr>
                    <w:t>收集后由吸污车拉运至</w:t>
                  </w:r>
                  <w:r>
                    <w:rPr>
                      <w:rFonts w:hint="eastAsia"/>
                      <w:kern w:val="28"/>
                      <w:szCs w:val="21"/>
                    </w:rPr>
                    <w:t>大成镇</w:t>
                  </w:r>
                  <w:r>
                    <w:rPr>
                      <w:kern w:val="28"/>
                      <w:szCs w:val="21"/>
                    </w:rPr>
                    <w:t>污水处理厂处理后排放。</w:t>
                  </w:r>
                  <w:r>
                    <w:rPr>
                      <w:kern w:val="0"/>
                      <w:szCs w:val="21"/>
                    </w:rPr>
                    <w:t>厨房废水隔油1座处理后同生活污水处置</w:t>
                  </w:r>
                  <w:r>
                    <w:rPr>
                      <w:kern w:val="28"/>
                      <w:szCs w:val="21"/>
                    </w:rPr>
                    <w:t>。</w:t>
                  </w:r>
                </w:p>
              </w:tc>
              <w:tc>
                <w:tcPr>
                  <w:tcW w:w="723" w:type="dxa"/>
                  <w:vAlign w:val="center"/>
                </w:tcPr>
                <w:p>
                  <w:pPr>
                    <w:keepNext w:val="0"/>
                    <w:keepLines w:val="0"/>
                    <w:pageBreakBefore w:val="0"/>
                    <w:kinsoku/>
                    <w:wordWrap/>
                    <w:topLinePunct w:val="0"/>
                    <w:autoSpaceDN/>
                    <w:bidi w:val="0"/>
                    <w:spacing w:line="240" w:lineRule="auto"/>
                    <w:jc w:val="left"/>
                    <w:rPr>
                      <w:kern w:val="28"/>
                      <w:szCs w:val="21"/>
                    </w:rPr>
                  </w:pPr>
                  <w:r>
                    <w:rPr>
                      <w:rFonts w:hint="eastAsia"/>
                      <w:kern w:val="28"/>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4792" w:type="dxa"/>
                  <w:vAlign w:val="center"/>
                </w:tcPr>
                <w:p>
                  <w:pPr>
                    <w:keepNext w:val="0"/>
                    <w:keepLines w:val="0"/>
                    <w:pageBreakBefore w:val="0"/>
                    <w:kinsoku/>
                    <w:wordWrap/>
                    <w:topLinePunct w:val="0"/>
                    <w:autoSpaceDN/>
                    <w:bidi w:val="0"/>
                    <w:spacing w:line="240" w:lineRule="auto"/>
                    <w:rPr>
                      <w:kern w:val="28"/>
                      <w:szCs w:val="21"/>
                    </w:rPr>
                  </w:pPr>
                  <w:r>
                    <w:rPr>
                      <w:kern w:val="28"/>
                      <w:szCs w:val="21"/>
                    </w:rPr>
                    <w:t>钻井废水、试气废水经现场预处理后拟交由装车拉运至大湾403污水站处理达标后管输至毛开1井回注站回注。</w:t>
                  </w:r>
                </w:p>
              </w:tc>
              <w:tc>
                <w:tcPr>
                  <w:tcW w:w="723" w:type="dxa"/>
                  <w:vAlign w:val="center"/>
                </w:tcPr>
                <w:p>
                  <w:pPr>
                    <w:keepNext w:val="0"/>
                    <w:keepLines w:val="0"/>
                    <w:pageBreakBefore w:val="0"/>
                    <w:kinsoku/>
                    <w:wordWrap/>
                    <w:topLinePunct w:val="0"/>
                    <w:autoSpaceDN/>
                    <w:bidi w:val="0"/>
                    <w:spacing w:line="240" w:lineRule="auto"/>
                    <w:rPr>
                      <w:kern w:val="28"/>
                      <w:szCs w:val="21"/>
                    </w:rPr>
                  </w:pPr>
                  <w:r>
                    <w:rPr>
                      <w:kern w:val="28"/>
                      <w:szCs w:val="21"/>
                    </w:rPr>
                    <w:t>依托</w:t>
                  </w:r>
                </w:p>
              </w:tc>
              <w:tc>
                <w:tcPr>
                  <w:tcW w:w="1196"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28"/>
                      <w:szCs w:val="21"/>
                    </w:rPr>
                    <w:t>供电</w:t>
                  </w:r>
                </w:p>
              </w:tc>
              <w:tc>
                <w:tcPr>
                  <w:tcW w:w="4792"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由当地网电</w:t>
                  </w:r>
                  <w:r>
                    <w:rPr>
                      <w:kern w:val="0"/>
                      <w:szCs w:val="21"/>
                    </w:rPr>
                    <w:t>供给</w:t>
                  </w:r>
                  <w:r>
                    <w:rPr>
                      <w:rFonts w:hint="eastAsia"/>
                      <w:kern w:val="0"/>
                      <w:szCs w:val="21"/>
                    </w:rPr>
                    <w:t>。</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依托</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噪声</w:t>
                  </w:r>
                  <w:r>
                    <w:rPr>
                      <w:rFonts w:hint="eastAsia"/>
                      <w:kern w:val="0"/>
                      <w:szCs w:val="21"/>
                    </w:rPr>
                    <w:t>、废气</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widowControl/>
                    <w:kinsoku/>
                    <w:wordWrap/>
                    <w:topLinePunct w:val="0"/>
                    <w:autoSpaceDN/>
                    <w:bidi w:val="0"/>
                    <w:spacing w:line="240" w:lineRule="auto"/>
                    <w:jc w:val="center"/>
                    <w:rPr>
                      <w:kern w:val="28"/>
                      <w:szCs w:val="21"/>
                    </w:rPr>
                  </w:pPr>
                  <w:r>
                    <w:rPr>
                      <w:kern w:val="28"/>
                      <w:szCs w:val="21"/>
                    </w:rPr>
                    <w:t>仓储</w:t>
                  </w:r>
                </w:p>
                <w:p>
                  <w:pPr>
                    <w:keepNext w:val="0"/>
                    <w:keepLines w:val="0"/>
                    <w:pageBreakBefore w:val="0"/>
                    <w:widowControl/>
                    <w:kinsoku/>
                    <w:wordWrap/>
                    <w:topLinePunct w:val="0"/>
                    <w:autoSpaceDN/>
                    <w:bidi w:val="0"/>
                    <w:spacing w:line="240" w:lineRule="auto"/>
                    <w:jc w:val="center"/>
                    <w:rPr>
                      <w:kern w:val="28"/>
                      <w:szCs w:val="21"/>
                    </w:rPr>
                  </w:pPr>
                  <w:r>
                    <w:rPr>
                      <w:kern w:val="28"/>
                      <w:szCs w:val="21"/>
                    </w:rPr>
                    <w:t>工程</w:t>
                  </w: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柴油罐区</w:t>
                  </w:r>
                </w:p>
              </w:tc>
              <w:tc>
                <w:tcPr>
                  <w:tcW w:w="4792" w:type="dxa"/>
                  <w:vAlign w:val="center"/>
                </w:tcPr>
                <w:p>
                  <w:pPr>
                    <w:keepNext w:val="0"/>
                    <w:keepLines w:val="0"/>
                    <w:pageBreakBefore w:val="0"/>
                    <w:kinsoku/>
                    <w:wordWrap/>
                    <w:topLinePunct w:val="0"/>
                    <w:autoSpaceDN/>
                    <w:bidi w:val="0"/>
                    <w:spacing w:line="240" w:lineRule="auto"/>
                    <w:rPr>
                      <w:kern w:val="0"/>
                      <w:szCs w:val="21"/>
                    </w:rPr>
                  </w:pPr>
                  <w:r>
                    <w:rPr>
                      <w:kern w:val="0"/>
                      <w:szCs w:val="21"/>
                    </w:rPr>
                    <w:t>共设</w:t>
                  </w:r>
                  <w:r>
                    <w:rPr>
                      <w:rFonts w:hint="eastAsia"/>
                      <w:kern w:val="0"/>
                      <w:szCs w:val="21"/>
                    </w:rPr>
                    <w:t>1</w:t>
                  </w:r>
                  <w:r>
                    <w:rPr>
                      <w:kern w:val="0"/>
                      <w:szCs w:val="21"/>
                    </w:rPr>
                    <w:t>个柴油罐，罐区占地30m</w:t>
                  </w:r>
                  <w:r>
                    <w:rPr>
                      <w:kern w:val="0"/>
                      <w:szCs w:val="21"/>
                      <w:vertAlign w:val="superscript"/>
                    </w:rPr>
                    <w:t>2</w:t>
                  </w:r>
                  <w:r>
                    <w:rPr>
                      <w:kern w:val="0"/>
                      <w:szCs w:val="21"/>
                    </w:rPr>
                    <w:t>，容积为20m</w:t>
                  </w:r>
                  <w:r>
                    <w:rPr>
                      <w:kern w:val="0"/>
                      <w:szCs w:val="21"/>
                      <w:vertAlign w:val="superscript"/>
                    </w:rPr>
                    <w:t>3</w:t>
                  </w:r>
                  <w:r>
                    <w:rPr>
                      <w:kern w:val="0"/>
                      <w:szCs w:val="21"/>
                    </w:rPr>
                    <w:t>，最大储存量为10t。地面</w:t>
                  </w:r>
                  <w:r>
                    <w:rPr>
                      <w:rFonts w:hint="eastAsia"/>
                      <w:kern w:val="0"/>
                      <w:szCs w:val="21"/>
                    </w:rPr>
                    <w:t>采取</w:t>
                  </w:r>
                  <w:r>
                    <w:rPr>
                      <w:kern w:val="0"/>
                      <w:szCs w:val="21"/>
                    </w:rPr>
                    <w:t>硬化</w:t>
                  </w:r>
                  <w:r>
                    <w:rPr>
                      <w:rFonts w:hint="eastAsia"/>
                      <w:kern w:val="0"/>
                      <w:szCs w:val="21"/>
                    </w:rPr>
                    <w:t>处置</w:t>
                  </w:r>
                  <w:r>
                    <w:rPr>
                      <w:kern w:val="0"/>
                      <w:szCs w:val="21"/>
                    </w:rPr>
                    <w:t>，铺设防渗膜并设围堰。</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泄漏污染、火灾爆炸环境风险影响。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pStyle w:val="387"/>
                    <w:keepNext w:val="0"/>
                    <w:keepLines w:val="0"/>
                    <w:pageBreakBefore w:val="0"/>
                    <w:kinsoku/>
                    <w:wordWrap/>
                    <w:topLinePunct w:val="0"/>
                    <w:autoSpaceDN/>
                    <w:bidi w:val="0"/>
                    <w:spacing w:line="240" w:lineRule="auto"/>
                    <w:rPr>
                      <w:kern w:val="0"/>
                    </w:rPr>
                  </w:pPr>
                  <w:r>
                    <w:rPr>
                      <w:rFonts w:ascii="Times New Roman" w:hAnsi="宋体" w:eastAsia="宋体"/>
                    </w:rPr>
                    <w:t>盐酸储罐</w:t>
                  </w:r>
                </w:p>
              </w:tc>
              <w:tc>
                <w:tcPr>
                  <w:tcW w:w="4792" w:type="dxa"/>
                  <w:vAlign w:val="center"/>
                </w:tcPr>
                <w:p>
                  <w:pPr>
                    <w:pStyle w:val="387"/>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eastAsia="宋体"/>
                      <w:kern w:val="0"/>
                      <w:lang w:val="en-US" w:eastAsia="zh-CN"/>
                    </w:rPr>
                  </w:pPr>
                  <w:r>
                    <w:rPr>
                      <w:rFonts w:hint="eastAsia" w:ascii="Times New Roman" w:eastAsia="宋体"/>
                    </w:rPr>
                    <w:t>储层改造期间设置</w:t>
                  </w:r>
                  <w:r>
                    <w:rPr>
                      <w:rFonts w:hint="eastAsia" w:ascii="Times New Roman" w:eastAsia="宋体"/>
                      <w:lang w:val="en-US" w:eastAsia="zh-CN"/>
                    </w:rPr>
                    <w:t>6</w:t>
                  </w:r>
                  <w:r>
                    <w:rPr>
                      <w:rFonts w:ascii="Times New Roman" w:hAnsi="宋体" w:eastAsia="宋体"/>
                    </w:rPr>
                    <w:t>个盐酸储罐</w:t>
                  </w:r>
                  <w:r>
                    <w:rPr>
                      <w:rFonts w:hint="eastAsia" w:ascii="Times New Roman" w:hAnsi="宋体" w:eastAsia="宋体"/>
                      <w:lang w:eastAsia="zh-CN"/>
                    </w:rPr>
                    <w:t>（</w:t>
                  </w:r>
                  <w:r>
                    <w:rPr>
                      <w:rFonts w:hint="eastAsia" w:ascii="Times New Roman" w:hAnsi="宋体" w:eastAsia="宋体"/>
                      <w:lang w:val="en-US" w:eastAsia="zh-CN"/>
                    </w:rPr>
                    <w:t>5用1备</w:t>
                  </w:r>
                  <w:r>
                    <w:rPr>
                      <w:rFonts w:hint="eastAsia" w:ascii="Times New Roman" w:hAnsi="宋体" w:eastAsia="宋体"/>
                      <w:lang w:eastAsia="zh-CN"/>
                    </w:rPr>
                    <w:t>）</w:t>
                  </w:r>
                  <w:r>
                    <w:rPr>
                      <w:rFonts w:ascii="Times New Roman" w:hAnsi="宋体" w:eastAsia="宋体"/>
                    </w:rPr>
                    <w:t>，</w:t>
                  </w:r>
                  <w:r>
                    <w:rPr>
                      <w:rFonts w:hint="eastAsia" w:ascii="Times New Roman" w:hAnsi="宋体" w:eastAsia="宋体"/>
                      <w:lang w:val="en-US" w:eastAsia="zh-CN"/>
                    </w:rPr>
                    <w:t>每个罐</w:t>
                  </w:r>
                  <w:r>
                    <w:rPr>
                      <w:rFonts w:ascii="Times New Roman" w:hAnsi="宋体" w:eastAsia="宋体"/>
                    </w:rPr>
                    <w:t>容积</w:t>
                  </w:r>
                  <w:r>
                    <w:rPr>
                      <w:rFonts w:ascii="Times New Roman" w:eastAsia="宋体"/>
                    </w:rPr>
                    <w:t>20m</w:t>
                  </w:r>
                  <w:r>
                    <w:rPr>
                      <w:rFonts w:ascii="Times New Roman" w:eastAsia="宋体"/>
                      <w:vertAlign w:val="superscript"/>
                    </w:rPr>
                    <w:t>3</w:t>
                  </w:r>
                  <w:r>
                    <w:rPr>
                      <w:rFonts w:hint="eastAsia" w:ascii="Times New Roman" w:eastAsia="宋体"/>
                      <w:vertAlign w:val="baseline"/>
                      <w:lang w:eastAsia="zh-CN"/>
                    </w:rPr>
                    <w:t>，</w:t>
                  </w:r>
                  <w:r>
                    <w:rPr>
                      <w:rFonts w:hint="eastAsia" w:ascii="Times New Roman" w:eastAsia="宋体"/>
                      <w:vertAlign w:val="baseline"/>
                      <w:lang w:val="en-US" w:eastAsia="zh-CN"/>
                    </w:rPr>
                    <w:t>现场共储存100m</w:t>
                  </w:r>
                  <w:r>
                    <w:rPr>
                      <w:rFonts w:hint="eastAsia" w:ascii="Times New Roman" w:eastAsia="宋体"/>
                      <w:vertAlign w:val="superscript"/>
                      <w:lang w:val="en-US" w:eastAsia="zh-CN"/>
                    </w:rPr>
                    <w:t>3</w:t>
                  </w:r>
                  <w:r>
                    <w:rPr>
                      <w:rFonts w:hint="eastAsia" w:ascii="Times New Roman" w:eastAsia="宋体"/>
                      <w:vertAlign w:val="baseline"/>
                      <w:lang w:val="en-US" w:eastAsia="zh-CN"/>
                    </w:rPr>
                    <w:t>盐酸。</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泥浆储备罐</w:t>
                  </w:r>
                </w:p>
              </w:tc>
              <w:tc>
                <w:tcPr>
                  <w:tcW w:w="4792" w:type="dxa"/>
                  <w:vAlign w:val="center"/>
                </w:tcPr>
                <w:p>
                  <w:pPr>
                    <w:keepNext w:val="0"/>
                    <w:keepLines w:val="0"/>
                    <w:pageBreakBefore w:val="0"/>
                    <w:kinsoku/>
                    <w:wordWrap/>
                    <w:topLinePunct w:val="0"/>
                    <w:autoSpaceDN/>
                    <w:bidi w:val="0"/>
                    <w:spacing w:line="240" w:lineRule="auto"/>
                    <w:rPr>
                      <w:rFonts w:hint="default" w:eastAsia="宋体"/>
                      <w:kern w:val="28"/>
                      <w:szCs w:val="21"/>
                      <w:lang w:val="en-US" w:eastAsia="zh-CN"/>
                    </w:rPr>
                  </w:pPr>
                  <w:r>
                    <w:rPr>
                      <w:kern w:val="0"/>
                      <w:szCs w:val="21"/>
                    </w:rPr>
                    <w:t>共设1个罐区，罐区储罐3个，</w:t>
                  </w:r>
                  <w:r>
                    <w:rPr>
                      <w:rFonts w:hint="eastAsia"/>
                      <w:kern w:val="0"/>
                      <w:szCs w:val="21"/>
                      <w:lang w:val="en-US" w:eastAsia="zh-CN"/>
                    </w:rPr>
                    <w:t>每个储备罐</w:t>
                  </w:r>
                  <w:r>
                    <w:rPr>
                      <w:kern w:val="0"/>
                      <w:szCs w:val="21"/>
                    </w:rPr>
                    <w:t>容积40m</w:t>
                  </w:r>
                  <w:r>
                    <w:rPr>
                      <w:kern w:val="0"/>
                      <w:szCs w:val="21"/>
                      <w:vertAlign w:val="superscript"/>
                    </w:rPr>
                    <w:t>3</w:t>
                  </w:r>
                  <w:r>
                    <w:rPr>
                      <w:kern w:val="0"/>
                      <w:szCs w:val="21"/>
                    </w:rPr>
                    <w:t>。</w:t>
                  </w:r>
                  <w:r>
                    <w:rPr>
                      <w:rFonts w:hint="eastAsia"/>
                      <w:kern w:val="0"/>
                      <w:szCs w:val="21"/>
                      <w:lang w:val="en-US" w:eastAsia="zh-CN"/>
                    </w:rPr>
                    <w:t>总容积为120m</w:t>
                  </w:r>
                  <w:r>
                    <w:rPr>
                      <w:rFonts w:hint="eastAsia"/>
                      <w:kern w:val="0"/>
                      <w:szCs w:val="21"/>
                      <w:vertAlign w:val="superscript"/>
                      <w:lang w:val="en-US" w:eastAsia="zh-CN"/>
                    </w:rPr>
                    <w:t>3</w:t>
                  </w:r>
                  <w:r>
                    <w:rPr>
                      <w:rFonts w:hint="eastAsia"/>
                      <w:kern w:val="0"/>
                      <w:szCs w:val="21"/>
                      <w:lang w:val="en-US" w:eastAsia="zh-CN"/>
                    </w:rPr>
                    <w:t>。</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临时占用土地，</w:t>
                  </w:r>
                  <w:r>
                    <w:rPr>
                      <w:szCs w:val="21"/>
                      <w:lang w:bidi="ar"/>
                    </w:rPr>
                    <w:t>地表植被破坏、水土流失。</w:t>
                  </w:r>
                  <w:r>
                    <w:rPr>
                      <w:kern w:val="0"/>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kern w:val="0"/>
                      <w:szCs w:val="21"/>
                    </w:rPr>
                  </w:pPr>
                  <w:r>
                    <w:rPr>
                      <w:rFonts w:hint="eastAsia"/>
                      <w:kern w:val="0"/>
                      <w:szCs w:val="21"/>
                    </w:rPr>
                    <w:t>重叠罐区</w:t>
                  </w:r>
                </w:p>
              </w:tc>
              <w:tc>
                <w:tcPr>
                  <w:tcW w:w="4792"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lang w:val="en-US" w:eastAsia="zh-CN"/>
                    </w:rPr>
                    <w:t>储层改造</w:t>
                  </w:r>
                  <w:r>
                    <w:rPr>
                      <w:rFonts w:hint="eastAsia"/>
                      <w:kern w:val="0"/>
                      <w:szCs w:val="21"/>
                    </w:rPr>
                    <w:t>阶段设置1套重叠罐，位于井口西北侧，容积</w:t>
                  </w:r>
                  <w:r>
                    <w:rPr>
                      <w:rFonts w:hint="eastAsia"/>
                      <w:kern w:val="0"/>
                      <w:szCs w:val="21"/>
                      <w:lang w:val="en-US" w:eastAsia="zh-CN"/>
                    </w:rPr>
                    <w:t>为</w:t>
                  </w:r>
                  <w:r>
                    <w:rPr>
                      <w:rFonts w:hint="eastAsia"/>
                      <w:kern w:val="0"/>
                      <w:szCs w:val="21"/>
                    </w:rPr>
                    <w:t>120m</w:t>
                  </w:r>
                  <w:r>
                    <w:rPr>
                      <w:rFonts w:hint="eastAsia"/>
                      <w:kern w:val="0"/>
                      <w:szCs w:val="21"/>
                      <w:vertAlign w:val="superscript"/>
                    </w:rPr>
                    <w:t>3</w:t>
                  </w:r>
                  <w:r>
                    <w:rPr>
                      <w:rFonts w:hint="eastAsia"/>
                      <w:kern w:val="0"/>
                      <w:szCs w:val="21"/>
                    </w:rPr>
                    <w:t>，用于压裂用水储存及压裂返排液储存。</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pageBreakBefore w:val="0"/>
                    <w:widowControl/>
                    <w:kinsoku/>
                    <w:wordWrap/>
                    <w:topLinePunct w:val="0"/>
                    <w:autoSpaceDN/>
                    <w:bidi w:val="0"/>
                    <w:spacing w:line="240" w:lineRule="auto"/>
                    <w:jc w:val="center"/>
                    <w:rPr>
                      <w:kern w:val="28"/>
                      <w:szCs w:val="21"/>
                    </w:rPr>
                  </w:pPr>
                  <w:r>
                    <w:rPr>
                      <w:kern w:val="28"/>
                      <w:szCs w:val="21"/>
                    </w:rPr>
                    <w:t>环保工程</w:t>
                  </w: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废水处置</w:t>
                  </w:r>
                </w:p>
              </w:tc>
              <w:tc>
                <w:tcPr>
                  <w:tcW w:w="4792" w:type="dxa"/>
                  <w:vAlign w:val="center"/>
                </w:tcPr>
                <w:p>
                  <w:pPr>
                    <w:keepNext w:val="0"/>
                    <w:keepLines w:val="0"/>
                    <w:pageBreakBefore w:val="0"/>
                    <w:kinsoku/>
                    <w:wordWrap/>
                    <w:topLinePunct w:val="0"/>
                    <w:autoSpaceDN/>
                    <w:bidi w:val="0"/>
                    <w:spacing w:line="240" w:lineRule="auto"/>
                    <w:rPr>
                      <w:kern w:val="28"/>
                      <w:szCs w:val="21"/>
                    </w:rPr>
                  </w:pPr>
                  <w:r>
                    <w:rPr>
                      <w:rFonts w:hint="eastAsia"/>
                      <w:kern w:val="28"/>
                      <w:szCs w:val="21"/>
                    </w:rPr>
                    <w:t>废水池</w:t>
                  </w:r>
                  <w:r>
                    <w:rPr>
                      <w:kern w:val="28"/>
                      <w:szCs w:val="21"/>
                    </w:rPr>
                    <w:t>位于平台</w:t>
                  </w:r>
                  <w:r>
                    <w:rPr>
                      <w:rFonts w:hint="eastAsia"/>
                      <w:kern w:val="28"/>
                      <w:szCs w:val="21"/>
                    </w:rPr>
                    <w:t>北侧</w:t>
                  </w:r>
                  <w:r>
                    <w:rPr>
                      <w:kern w:val="28"/>
                      <w:szCs w:val="21"/>
                    </w:rPr>
                    <w:t>，容积为</w:t>
                  </w:r>
                  <w:r>
                    <w:rPr>
                      <w:rFonts w:hint="eastAsia"/>
                      <w:kern w:val="28"/>
                      <w:szCs w:val="21"/>
                    </w:rPr>
                    <w:t>1</w:t>
                  </w:r>
                  <w:r>
                    <w:rPr>
                      <w:rFonts w:hint="eastAsia"/>
                      <w:kern w:val="28"/>
                      <w:szCs w:val="21"/>
                      <w:lang w:val="en-US" w:eastAsia="zh-CN"/>
                    </w:rPr>
                    <w:t>5</w:t>
                  </w:r>
                  <w:r>
                    <w:rPr>
                      <w:kern w:val="28"/>
                      <w:szCs w:val="21"/>
                    </w:rPr>
                    <w:t>00m</w:t>
                  </w:r>
                  <w:r>
                    <w:rPr>
                      <w:kern w:val="28"/>
                      <w:szCs w:val="21"/>
                      <w:vertAlign w:val="superscript"/>
                    </w:rPr>
                    <w:t>3</w:t>
                  </w:r>
                  <w:r>
                    <w:rPr>
                      <w:kern w:val="28"/>
                      <w:szCs w:val="21"/>
                    </w:rPr>
                    <w:t>，为钢筋混凝土结构，事故状态下作为应急使用，完钻后作为废水临时储存设施。</w:t>
                  </w:r>
                </w:p>
              </w:tc>
              <w:tc>
                <w:tcPr>
                  <w:tcW w:w="723" w:type="dxa"/>
                  <w:vAlign w:val="center"/>
                </w:tcPr>
                <w:p>
                  <w:pPr>
                    <w:keepNext w:val="0"/>
                    <w:keepLines w:val="0"/>
                    <w:pageBreakBefore w:val="0"/>
                    <w:kinsoku/>
                    <w:wordWrap/>
                    <w:topLinePunct w:val="0"/>
                    <w:autoSpaceDN/>
                    <w:bidi w:val="0"/>
                    <w:spacing w:line="240" w:lineRule="auto"/>
                    <w:rPr>
                      <w:kern w:val="28"/>
                      <w:szCs w:val="21"/>
                    </w:rPr>
                  </w:pPr>
                  <w:r>
                    <w:rPr>
                      <w:kern w:val="28"/>
                      <w:szCs w:val="21"/>
                    </w:rPr>
                    <w:t>依托</w:t>
                  </w:r>
                </w:p>
              </w:tc>
              <w:tc>
                <w:tcPr>
                  <w:tcW w:w="1196" w:type="dxa"/>
                  <w:vMerge w:val="restart"/>
                  <w:vAlign w:val="center"/>
                </w:tcPr>
                <w:p>
                  <w:pPr>
                    <w:keepNext w:val="0"/>
                    <w:keepLines w:val="0"/>
                    <w:pageBreakBefore w:val="0"/>
                    <w:kinsoku/>
                    <w:wordWrap/>
                    <w:topLinePunct w:val="0"/>
                    <w:autoSpaceDN/>
                    <w:bidi w:val="0"/>
                    <w:spacing w:line="240" w:lineRule="auto"/>
                    <w:jc w:val="center"/>
                    <w:rPr>
                      <w:kern w:val="28"/>
                      <w:szCs w:val="21"/>
                    </w:rPr>
                  </w:pPr>
                  <w:r>
                    <w:rPr>
                      <w:kern w:val="0"/>
                      <w:szCs w:val="21"/>
                    </w:rPr>
                    <w:t>渗漏污染土壤、地下水、地表水环境。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kern w:val="0"/>
                      <w:szCs w:val="21"/>
                    </w:rPr>
                  </w:pPr>
                </w:p>
              </w:tc>
              <w:tc>
                <w:tcPr>
                  <w:tcW w:w="4792" w:type="dxa"/>
                  <w:vAlign w:val="center"/>
                </w:tcPr>
                <w:p>
                  <w:pPr>
                    <w:keepNext w:val="0"/>
                    <w:keepLines w:val="0"/>
                    <w:pageBreakBefore w:val="0"/>
                    <w:kinsoku/>
                    <w:wordWrap/>
                    <w:topLinePunct w:val="0"/>
                    <w:autoSpaceDN/>
                    <w:bidi w:val="0"/>
                    <w:spacing w:line="240" w:lineRule="auto"/>
                    <w:rPr>
                      <w:kern w:val="28"/>
                      <w:szCs w:val="21"/>
                    </w:rPr>
                  </w:pPr>
                  <w:r>
                    <w:rPr>
                      <w:kern w:val="28"/>
                      <w:szCs w:val="21"/>
                    </w:rPr>
                    <w:t>井场内外实施清污分流措施，场外雨水由排水沟收集沉淀后外排，场内产污区雨水经截流沟进入隔油池，油水分离后进入集水坑，泵入清洁生产操作平台废水罐处理回用</w:t>
                  </w:r>
                  <w:r>
                    <w:rPr>
                      <w:rFonts w:hint="eastAsia"/>
                      <w:kern w:val="28"/>
                      <w:szCs w:val="21"/>
                    </w:rPr>
                    <w:t>，现场不外排</w:t>
                  </w:r>
                  <w:r>
                    <w:rPr>
                      <w:kern w:val="28"/>
                      <w:szCs w:val="21"/>
                    </w:rPr>
                    <w:t>。</w:t>
                  </w:r>
                </w:p>
              </w:tc>
              <w:tc>
                <w:tcPr>
                  <w:tcW w:w="723" w:type="dxa"/>
                  <w:vAlign w:val="center"/>
                </w:tcPr>
                <w:p>
                  <w:pPr>
                    <w:keepNext w:val="0"/>
                    <w:keepLines w:val="0"/>
                    <w:pageBreakBefore w:val="0"/>
                    <w:kinsoku/>
                    <w:wordWrap/>
                    <w:topLinePunct w:val="0"/>
                    <w:autoSpaceDN/>
                    <w:bidi w:val="0"/>
                    <w:spacing w:line="240" w:lineRule="auto"/>
                    <w:rPr>
                      <w:kern w:val="28"/>
                      <w:szCs w:val="21"/>
                    </w:rPr>
                  </w:pPr>
                  <w:r>
                    <w:rPr>
                      <w:kern w:val="28"/>
                      <w:szCs w:val="21"/>
                    </w:rPr>
                    <w:t>依托</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kern w:val="0"/>
                      <w:szCs w:val="21"/>
                    </w:rPr>
                  </w:pPr>
                </w:p>
              </w:tc>
              <w:tc>
                <w:tcPr>
                  <w:tcW w:w="4792" w:type="dxa"/>
                  <w:vAlign w:val="center"/>
                </w:tcPr>
                <w:p>
                  <w:pPr>
                    <w:keepNext w:val="0"/>
                    <w:keepLines w:val="0"/>
                    <w:pageBreakBefore w:val="0"/>
                    <w:kinsoku/>
                    <w:wordWrap/>
                    <w:topLinePunct w:val="0"/>
                    <w:autoSpaceDN/>
                    <w:bidi w:val="0"/>
                    <w:spacing w:line="240" w:lineRule="auto"/>
                    <w:rPr>
                      <w:kern w:val="28"/>
                      <w:szCs w:val="21"/>
                    </w:rPr>
                  </w:pPr>
                  <w:bookmarkStart w:id="12" w:name="_Hlk103759908"/>
                  <w:r>
                    <w:rPr>
                      <w:kern w:val="0"/>
                      <w:szCs w:val="21"/>
                    </w:rPr>
                    <w:t>钻井废水全部回用于钻井补充泥浆的配置，完钻阶段钻井废水回用于压裂作业用水，洗井废水用于配制压裂液，压裂</w:t>
                  </w:r>
                  <w:r>
                    <w:rPr>
                      <w:rFonts w:hint="eastAsia"/>
                      <w:kern w:val="0"/>
                      <w:szCs w:val="21"/>
                    </w:rPr>
                    <w:t>返排液</w:t>
                  </w:r>
                  <w:r>
                    <w:rPr>
                      <w:kern w:val="0"/>
                      <w:szCs w:val="21"/>
                    </w:rPr>
                    <w:t>由</w:t>
                  </w:r>
                  <w:bookmarkStart w:id="13" w:name="_Hlk103760921"/>
                  <w:r>
                    <w:rPr>
                      <w:rFonts w:hint="eastAsia"/>
                      <w:kern w:val="0"/>
                      <w:szCs w:val="21"/>
                    </w:rPr>
                    <w:t>废水池</w:t>
                  </w:r>
                  <w:r>
                    <w:rPr>
                      <w:kern w:val="0"/>
                      <w:szCs w:val="21"/>
                    </w:rPr>
                    <w:t>暂存，</w:t>
                  </w:r>
                  <w:r>
                    <w:rPr>
                      <w:rFonts w:hint="eastAsia"/>
                      <w:kern w:val="0"/>
                      <w:szCs w:val="21"/>
                    </w:rPr>
                    <w:t>试气作业阶段产生的废水主要为压裂返排液，最终压裂返排液</w:t>
                  </w:r>
                  <w:r>
                    <w:rPr>
                      <w:kern w:val="0"/>
                      <w:szCs w:val="21"/>
                    </w:rPr>
                    <w:t>通过罐车拟交由</w:t>
                  </w:r>
                  <w:bookmarkEnd w:id="12"/>
                  <w:bookmarkEnd w:id="13"/>
                  <w:r>
                    <w:rPr>
                      <w:kern w:val="0"/>
                      <w:szCs w:val="21"/>
                    </w:rPr>
                    <w:t>装车拉运至大湾403污水站处理达标后管输至毛开1井回注站回注</w:t>
                  </w:r>
                  <w:r>
                    <w:rPr>
                      <w:kern w:val="28"/>
                      <w:szCs w:val="21"/>
                    </w:rPr>
                    <w:t>。</w:t>
                  </w:r>
                </w:p>
              </w:tc>
              <w:tc>
                <w:tcPr>
                  <w:tcW w:w="723" w:type="dxa"/>
                  <w:vAlign w:val="center"/>
                </w:tcPr>
                <w:p>
                  <w:pPr>
                    <w:keepNext w:val="0"/>
                    <w:keepLines w:val="0"/>
                    <w:pageBreakBefore w:val="0"/>
                    <w:kinsoku/>
                    <w:wordWrap/>
                    <w:topLinePunct w:val="0"/>
                    <w:autoSpaceDN/>
                    <w:bidi w:val="0"/>
                    <w:spacing w:line="240" w:lineRule="auto"/>
                    <w:rPr>
                      <w:kern w:val="0"/>
                      <w:szCs w:val="21"/>
                    </w:rPr>
                  </w:pPr>
                  <w:r>
                    <w:rPr>
                      <w:rFonts w:hint="eastAsia"/>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kern w:val="0"/>
                      <w:szCs w:val="21"/>
                    </w:rPr>
                  </w:pPr>
                </w:p>
              </w:tc>
              <w:tc>
                <w:tcPr>
                  <w:tcW w:w="4792" w:type="dxa"/>
                  <w:vAlign w:val="center"/>
                </w:tcPr>
                <w:p>
                  <w:pPr>
                    <w:keepNext w:val="0"/>
                    <w:keepLines w:val="0"/>
                    <w:pageBreakBefore w:val="0"/>
                    <w:kinsoku/>
                    <w:wordWrap/>
                    <w:topLinePunct w:val="0"/>
                    <w:autoSpaceDN/>
                    <w:bidi w:val="0"/>
                    <w:spacing w:line="240" w:lineRule="auto"/>
                    <w:rPr>
                      <w:kern w:val="0"/>
                      <w:szCs w:val="21"/>
                    </w:rPr>
                  </w:pPr>
                  <w:bookmarkStart w:id="14" w:name="_Hlk103759992"/>
                  <w:r>
                    <w:rPr>
                      <w:kern w:val="0"/>
                      <w:szCs w:val="21"/>
                    </w:rPr>
                    <w:t>生活污水经</w:t>
                  </w:r>
                  <w:r>
                    <w:rPr>
                      <w:rFonts w:hint="eastAsia"/>
                      <w:kern w:val="0"/>
                      <w:szCs w:val="21"/>
                    </w:rPr>
                    <w:t>生态一体化厕所</w:t>
                  </w:r>
                  <w:r>
                    <w:rPr>
                      <w:kern w:val="0"/>
                      <w:szCs w:val="21"/>
                    </w:rPr>
                    <w:t>收集后由吸污车运至</w:t>
                  </w:r>
                  <w:r>
                    <w:rPr>
                      <w:rFonts w:hint="eastAsia"/>
                      <w:kern w:val="0"/>
                      <w:szCs w:val="21"/>
                    </w:rPr>
                    <w:t>大成镇</w:t>
                  </w:r>
                  <w:r>
                    <w:rPr>
                      <w:kern w:val="0"/>
                      <w:szCs w:val="21"/>
                    </w:rPr>
                    <w:t>污水处理厂处理后排放</w:t>
                  </w:r>
                  <w:bookmarkEnd w:id="14"/>
                  <w:r>
                    <w:rPr>
                      <w:kern w:val="0"/>
                      <w:szCs w:val="21"/>
                    </w:rPr>
                    <w:t>。</w:t>
                  </w:r>
                </w:p>
              </w:tc>
              <w:tc>
                <w:tcPr>
                  <w:tcW w:w="723" w:type="dxa"/>
                  <w:vAlign w:val="center"/>
                </w:tcPr>
                <w:p>
                  <w:pPr>
                    <w:keepNext w:val="0"/>
                    <w:keepLines w:val="0"/>
                    <w:pageBreakBefore w:val="0"/>
                    <w:kinsoku/>
                    <w:wordWrap/>
                    <w:topLinePunct w:val="0"/>
                    <w:autoSpaceDN/>
                    <w:bidi w:val="0"/>
                    <w:spacing w:line="240" w:lineRule="auto"/>
                    <w:rPr>
                      <w:b/>
                      <w:bCs/>
                      <w:kern w:val="0"/>
                      <w:szCs w:val="21"/>
                    </w:rPr>
                  </w:pPr>
                  <w:r>
                    <w:rPr>
                      <w:rFonts w:hint="eastAsia"/>
                      <w:b/>
                      <w:bCs/>
                      <w:kern w:val="0"/>
                      <w:szCs w:val="21"/>
                    </w:rPr>
                    <w:t>新建</w:t>
                  </w:r>
                </w:p>
              </w:tc>
              <w:tc>
                <w:tcPr>
                  <w:tcW w:w="1196" w:type="dxa"/>
                  <w:vMerge w:val="continue"/>
                  <w:vAlign w:val="center"/>
                </w:tcPr>
                <w:p>
                  <w:pPr>
                    <w:keepNext w:val="0"/>
                    <w:keepLines w:val="0"/>
                    <w:pageBreakBefore w:val="0"/>
                    <w:kinsoku/>
                    <w:wordWrap/>
                    <w:topLinePunct w:val="0"/>
                    <w:autoSpaceDN/>
                    <w:bidi w:val="0"/>
                    <w:spacing w:line="240" w:lineRule="auto"/>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szCs w:val="21"/>
                    </w:rPr>
                  </w:pPr>
                  <w:r>
                    <w:rPr>
                      <w:szCs w:val="21"/>
                    </w:rPr>
                    <w:t>废气处置</w:t>
                  </w:r>
                </w:p>
              </w:tc>
              <w:tc>
                <w:tcPr>
                  <w:tcW w:w="4792" w:type="dxa"/>
                  <w:vAlign w:val="center"/>
                </w:tcPr>
                <w:p>
                  <w:pPr>
                    <w:keepNext w:val="0"/>
                    <w:keepLines w:val="0"/>
                    <w:pageBreakBefore w:val="0"/>
                    <w:widowControl/>
                    <w:kinsoku/>
                    <w:wordWrap/>
                    <w:topLinePunct w:val="0"/>
                    <w:autoSpaceDN/>
                    <w:bidi w:val="0"/>
                    <w:spacing w:line="240" w:lineRule="auto"/>
                    <w:rPr>
                      <w:kern w:val="0"/>
                      <w:szCs w:val="21"/>
                    </w:rPr>
                  </w:pPr>
                  <w:r>
                    <w:rPr>
                      <w:kern w:val="0"/>
                      <w:szCs w:val="21"/>
                    </w:rPr>
                    <w:t>柴油机经自带尾气处理系统后经过自带排气筒排放。</w:t>
                  </w:r>
                </w:p>
              </w:tc>
              <w:tc>
                <w:tcPr>
                  <w:tcW w:w="723" w:type="dxa"/>
                  <w:vAlign w:val="center"/>
                </w:tcPr>
                <w:p>
                  <w:pPr>
                    <w:keepNext w:val="0"/>
                    <w:keepLines w:val="0"/>
                    <w:pageBreakBefore w:val="0"/>
                    <w:widowControl/>
                    <w:kinsoku/>
                    <w:wordWrap/>
                    <w:topLinePunct w:val="0"/>
                    <w:autoSpaceDN/>
                    <w:bidi w:val="0"/>
                    <w:spacing w:line="240" w:lineRule="auto"/>
                    <w:rPr>
                      <w:kern w:val="0"/>
                      <w:szCs w:val="21"/>
                    </w:rPr>
                  </w:pPr>
                  <w:r>
                    <w:rPr>
                      <w:rFonts w:hint="eastAsia"/>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szCs w:val="21"/>
                    </w:rPr>
                  </w:pPr>
                </w:p>
              </w:tc>
              <w:tc>
                <w:tcPr>
                  <w:tcW w:w="4792" w:type="dxa"/>
                  <w:vAlign w:val="center"/>
                </w:tcPr>
                <w:p>
                  <w:pPr>
                    <w:keepNext w:val="0"/>
                    <w:keepLines w:val="0"/>
                    <w:pageBreakBefore w:val="0"/>
                    <w:widowControl/>
                    <w:kinsoku/>
                    <w:wordWrap/>
                    <w:topLinePunct w:val="0"/>
                    <w:autoSpaceDN/>
                    <w:bidi w:val="0"/>
                    <w:spacing w:line="240" w:lineRule="auto"/>
                    <w:rPr>
                      <w:kern w:val="0"/>
                      <w:szCs w:val="21"/>
                    </w:rPr>
                  </w:pPr>
                  <w:r>
                    <w:rPr>
                      <w:rFonts w:hint="eastAsia"/>
                      <w:kern w:val="0"/>
                      <w:szCs w:val="21"/>
                    </w:rPr>
                    <w:t>试气作业</w:t>
                  </w:r>
                  <w:r>
                    <w:rPr>
                      <w:kern w:val="0"/>
                      <w:szCs w:val="21"/>
                    </w:rPr>
                    <w:t>过程</w:t>
                  </w:r>
                  <w:r>
                    <w:rPr>
                      <w:rFonts w:hint="eastAsia"/>
                      <w:kern w:val="0"/>
                      <w:szCs w:val="21"/>
                    </w:rPr>
                    <w:t>中</w:t>
                  </w:r>
                  <w:r>
                    <w:rPr>
                      <w:kern w:val="0"/>
                      <w:szCs w:val="21"/>
                    </w:rPr>
                    <w:t>经放喷管线外输至放喷池燃烧处理。</w:t>
                  </w:r>
                </w:p>
              </w:tc>
              <w:tc>
                <w:tcPr>
                  <w:tcW w:w="723" w:type="dxa"/>
                  <w:vAlign w:val="center"/>
                </w:tcPr>
                <w:p>
                  <w:pPr>
                    <w:keepNext w:val="0"/>
                    <w:keepLines w:val="0"/>
                    <w:pageBreakBefore w:val="0"/>
                    <w:widowControl/>
                    <w:kinsoku/>
                    <w:wordWrap/>
                    <w:topLinePunct w:val="0"/>
                    <w:autoSpaceDN/>
                    <w:bidi w:val="0"/>
                    <w:spacing w:line="240" w:lineRule="auto"/>
                    <w:rPr>
                      <w:kern w:val="0"/>
                      <w:szCs w:val="21"/>
                    </w:rPr>
                  </w:pPr>
                  <w:r>
                    <w:rPr>
                      <w:rFonts w:hint="eastAsia"/>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restart"/>
                  <w:vAlign w:val="center"/>
                </w:tcPr>
                <w:p>
                  <w:pPr>
                    <w:keepNext w:val="0"/>
                    <w:keepLines w:val="0"/>
                    <w:pageBreakBefore w:val="0"/>
                    <w:kinsoku/>
                    <w:wordWrap/>
                    <w:topLinePunct w:val="0"/>
                    <w:autoSpaceDN/>
                    <w:bidi w:val="0"/>
                    <w:spacing w:line="240" w:lineRule="auto"/>
                    <w:jc w:val="center"/>
                    <w:rPr>
                      <w:szCs w:val="21"/>
                    </w:rPr>
                  </w:pPr>
                  <w:r>
                    <w:rPr>
                      <w:szCs w:val="21"/>
                    </w:rPr>
                    <w:t>固废处置</w:t>
                  </w:r>
                </w:p>
              </w:tc>
              <w:tc>
                <w:tcPr>
                  <w:tcW w:w="4792" w:type="dxa"/>
                  <w:vAlign w:val="center"/>
                </w:tcPr>
                <w:p>
                  <w:pPr>
                    <w:keepNext w:val="0"/>
                    <w:keepLines w:val="0"/>
                    <w:pageBreakBefore w:val="0"/>
                    <w:widowControl/>
                    <w:kinsoku/>
                    <w:wordWrap/>
                    <w:topLinePunct w:val="0"/>
                    <w:autoSpaceDN/>
                    <w:bidi w:val="0"/>
                    <w:spacing w:line="240" w:lineRule="auto"/>
                    <w:rPr>
                      <w:kern w:val="0"/>
                      <w:szCs w:val="21"/>
                    </w:rPr>
                  </w:pPr>
                  <w:bookmarkStart w:id="15" w:name="_Hlk103761166"/>
                  <w:r>
                    <w:rPr>
                      <w:rFonts w:hint="eastAsia"/>
                      <w:kern w:val="0"/>
                      <w:szCs w:val="21"/>
                    </w:rPr>
                    <w:t>导眼段</w:t>
                  </w:r>
                  <w:r>
                    <w:rPr>
                      <w:kern w:val="0"/>
                      <w:szCs w:val="21"/>
                    </w:rPr>
                    <w:t>产生的水基岩屑由岩屑收集罐进行收集暂存岩屑暂存区，钻井废弃泥浆由循环罐收集后暂存于清洁生产操作平台内</w:t>
                  </w:r>
                  <w:r>
                    <w:rPr>
                      <w:rFonts w:hint="eastAsia"/>
                      <w:kern w:val="0"/>
                      <w:szCs w:val="21"/>
                    </w:rPr>
                    <w:t>，并采取泥浆不落地措施，按照相关要求进行资源化利用</w:t>
                  </w:r>
                  <w:r>
                    <w:rPr>
                      <w:kern w:val="0"/>
                      <w:szCs w:val="21"/>
                    </w:rPr>
                    <w:t>，</w:t>
                  </w:r>
                  <w:r>
                    <w:rPr>
                      <w:rFonts w:hint="eastAsia"/>
                      <w:kern w:val="0"/>
                      <w:szCs w:val="21"/>
                    </w:rPr>
                    <w:t>水平</w:t>
                  </w:r>
                  <w:r>
                    <w:rPr>
                      <w:kern w:val="0"/>
                      <w:szCs w:val="21"/>
                    </w:rPr>
                    <w:t>段产生的油基岩屑收集后交由</w:t>
                  </w:r>
                  <w:r>
                    <w:rPr>
                      <w:rFonts w:hint="eastAsia"/>
                      <w:kern w:val="0"/>
                      <w:szCs w:val="21"/>
                    </w:rPr>
                    <w:t>有资质单位</w:t>
                  </w:r>
                  <w:r>
                    <w:rPr>
                      <w:kern w:val="0"/>
                      <w:szCs w:val="21"/>
                    </w:rPr>
                    <w:t>处置。</w:t>
                  </w:r>
                  <w:bookmarkEnd w:id="15"/>
                </w:p>
              </w:tc>
              <w:tc>
                <w:tcPr>
                  <w:tcW w:w="723" w:type="dxa"/>
                  <w:vAlign w:val="center"/>
                </w:tcPr>
                <w:p>
                  <w:pPr>
                    <w:keepNext w:val="0"/>
                    <w:keepLines w:val="0"/>
                    <w:pageBreakBefore w:val="0"/>
                    <w:widowControl/>
                    <w:kinsoku/>
                    <w:wordWrap/>
                    <w:topLinePunct w:val="0"/>
                    <w:autoSpaceDN/>
                    <w:bidi w:val="0"/>
                    <w:spacing w:line="240" w:lineRule="auto"/>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临时占用土地，</w:t>
                  </w:r>
                  <w:r>
                    <w:rPr>
                      <w:szCs w:val="21"/>
                      <w:lang w:bidi="ar"/>
                    </w:rPr>
                    <w:t>地表植被破坏、水土流失，</w:t>
                  </w:r>
                  <w:r>
                    <w:rPr>
                      <w:kern w:val="0"/>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szCs w:val="21"/>
                    </w:rPr>
                  </w:pPr>
                </w:p>
              </w:tc>
              <w:tc>
                <w:tcPr>
                  <w:tcW w:w="4792" w:type="dxa"/>
                  <w:vAlign w:val="center"/>
                </w:tcPr>
                <w:p>
                  <w:pPr>
                    <w:keepNext w:val="0"/>
                    <w:keepLines w:val="0"/>
                    <w:pageBreakBefore w:val="0"/>
                    <w:widowControl/>
                    <w:kinsoku/>
                    <w:wordWrap/>
                    <w:topLinePunct w:val="0"/>
                    <w:autoSpaceDN/>
                    <w:bidi w:val="0"/>
                    <w:spacing w:line="240" w:lineRule="auto"/>
                    <w:rPr>
                      <w:kern w:val="0"/>
                      <w:szCs w:val="21"/>
                    </w:rPr>
                  </w:pPr>
                  <w:r>
                    <w:rPr>
                      <w:kern w:val="0"/>
                      <w:szCs w:val="21"/>
                    </w:rPr>
                    <w:t>井场区域和生活区各设1个垃圾箱，完工后外运</w:t>
                  </w:r>
                  <w:r>
                    <w:rPr>
                      <w:rFonts w:hint="eastAsia"/>
                      <w:kern w:val="0"/>
                      <w:szCs w:val="21"/>
                    </w:rPr>
                    <w:t>大成镇</w:t>
                  </w:r>
                  <w:r>
                    <w:rPr>
                      <w:kern w:val="0"/>
                      <w:szCs w:val="21"/>
                    </w:rPr>
                    <w:t>环卫集中收集卫生填埋处置。废包装材料量较少，收集后全部回收利用。</w:t>
                  </w:r>
                </w:p>
              </w:tc>
              <w:tc>
                <w:tcPr>
                  <w:tcW w:w="723" w:type="dxa"/>
                  <w:vAlign w:val="center"/>
                </w:tcPr>
                <w:p>
                  <w:pPr>
                    <w:keepNext w:val="0"/>
                    <w:keepLines w:val="0"/>
                    <w:pageBreakBefore w:val="0"/>
                    <w:widowControl/>
                    <w:kinsoku/>
                    <w:wordWrap/>
                    <w:topLinePunct w:val="0"/>
                    <w:autoSpaceDN/>
                    <w:bidi w:val="0"/>
                    <w:spacing w:line="240" w:lineRule="auto"/>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Merge w:val="continue"/>
                  <w:vAlign w:val="center"/>
                </w:tcPr>
                <w:p>
                  <w:pPr>
                    <w:keepNext w:val="0"/>
                    <w:keepLines w:val="0"/>
                    <w:pageBreakBefore w:val="0"/>
                    <w:kinsoku/>
                    <w:wordWrap/>
                    <w:topLinePunct w:val="0"/>
                    <w:autoSpaceDN/>
                    <w:bidi w:val="0"/>
                    <w:spacing w:line="240" w:lineRule="auto"/>
                    <w:jc w:val="center"/>
                    <w:rPr>
                      <w:szCs w:val="21"/>
                    </w:rPr>
                  </w:pPr>
                </w:p>
              </w:tc>
              <w:tc>
                <w:tcPr>
                  <w:tcW w:w="4792" w:type="dxa"/>
                  <w:vAlign w:val="center"/>
                </w:tcPr>
                <w:p>
                  <w:pPr>
                    <w:keepNext w:val="0"/>
                    <w:keepLines w:val="0"/>
                    <w:pageBreakBefore w:val="0"/>
                    <w:widowControl/>
                    <w:kinsoku/>
                    <w:wordWrap/>
                    <w:topLinePunct w:val="0"/>
                    <w:autoSpaceDN/>
                    <w:bidi w:val="0"/>
                    <w:spacing w:line="240" w:lineRule="auto"/>
                    <w:jc w:val="left"/>
                    <w:rPr>
                      <w:kern w:val="0"/>
                      <w:szCs w:val="21"/>
                    </w:rPr>
                  </w:pPr>
                  <w:r>
                    <w:rPr>
                      <w:kern w:val="0"/>
                      <w:szCs w:val="21"/>
                    </w:rPr>
                    <w:t>钻井产生的废油由回收桶收集，贮存于清洁生产操作平台内，储存能力为</w:t>
                  </w:r>
                  <w:r>
                    <w:rPr>
                      <w:rFonts w:hint="eastAsia"/>
                      <w:kern w:val="0"/>
                      <w:szCs w:val="21"/>
                    </w:rPr>
                    <w:t>4</w:t>
                  </w:r>
                  <w:r>
                    <w:rPr>
                      <w:kern w:val="0"/>
                      <w:szCs w:val="21"/>
                    </w:rPr>
                    <w:t>m</w:t>
                  </w:r>
                  <w:r>
                    <w:rPr>
                      <w:kern w:val="0"/>
                      <w:szCs w:val="21"/>
                      <w:vertAlign w:val="superscript"/>
                    </w:rPr>
                    <w:t>3</w:t>
                  </w:r>
                  <w:r>
                    <w:rPr>
                      <w:kern w:val="0"/>
                      <w:szCs w:val="21"/>
                    </w:rPr>
                    <w:t>，采取必要的防护措施（防风、防雨、防晒、防渗、防漏、防腐）及其他环境污染防护措施，</w:t>
                  </w:r>
                  <w:r>
                    <w:rPr>
                      <w:rFonts w:hint="eastAsia"/>
                      <w:kern w:val="0"/>
                      <w:szCs w:val="21"/>
                    </w:rPr>
                    <w:t>拟及时交由有资质单位</w:t>
                  </w:r>
                  <w:r>
                    <w:rPr>
                      <w:kern w:val="0"/>
                      <w:szCs w:val="21"/>
                    </w:rPr>
                    <w:t>处置</w:t>
                  </w:r>
                </w:p>
              </w:tc>
              <w:tc>
                <w:tcPr>
                  <w:tcW w:w="723" w:type="dxa"/>
                  <w:vAlign w:val="center"/>
                </w:tcPr>
                <w:p>
                  <w:pPr>
                    <w:keepNext w:val="0"/>
                    <w:keepLines w:val="0"/>
                    <w:pageBreakBefore w:val="0"/>
                    <w:widowControl/>
                    <w:kinsoku/>
                    <w:wordWrap/>
                    <w:topLinePunct w:val="0"/>
                    <w:autoSpaceDN/>
                    <w:bidi w:val="0"/>
                    <w:spacing w:line="240" w:lineRule="auto"/>
                    <w:jc w:val="left"/>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szCs w:val="21"/>
                    </w:rPr>
                  </w:pPr>
                  <w:r>
                    <w:rPr>
                      <w:szCs w:val="21"/>
                    </w:rPr>
                    <w:t>噪声</w:t>
                  </w:r>
                </w:p>
              </w:tc>
              <w:tc>
                <w:tcPr>
                  <w:tcW w:w="4792" w:type="dxa"/>
                  <w:vAlign w:val="center"/>
                </w:tcPr>
                <w:p>
                  <w:pPr>
                    <w:keepNext w:val="0"/>
                    <w:keepLines w:val="0"/>
                    <w:pageBreakBefore w:val="0"/>
                    <w:widowControl/>
                    <w:kinsoku/>
                    <w:wordWrap/>
                    <w:topLinePunct w:val="0"/>
                    <w:autoSpaceDN/>
                    <w:bidi w:val="0"/>
                    <w:spacing w:line="240" w:lineRule="auto"/>
                    <w:jc w:val="left"/>
                    <w:rPr>
                      <w:kern w:val="0"/>
                      <w:szCs w:val="21"/>
                    </w:rPr>
                  </w:pPr>
                  <w:r>
                    <w:rPr>
                      <w:kern w:val="0"/>
                      <w:szCs w:val="21"/>
                    </w:rPr>
                    <w:t>噪声设备设置基础减震，同时备用发机组、空气压缩机、泥浆泵设置在房屋内进行隔声减小影响。</w:t>
                  </w:r>
                </w:p>
              </w:tc>
              <w:tc>
                <w:tcPr>
                  <w:tcW w:w="723" w:type="dxa"/>
                  <w:vAlign w:val="center"/>
                </w:tcPr>
                <w:p>
                  <w:pPr>
                    <w:keepNext w:val="0"/>
                    <w:keepLines w:val="0"/>
                    <w:pageBreakBefore w:val="0"/>
                    <w:widowControl/>
                    <w:kinsoku/>
                    <w:wordWrap/>
                    <w:topLinePunct w:val="0"/>
                    <w:autoSpaceDN/>
                    <w:bidi w:val="0"/>
                    <w:spacing w:line="240" w:lineRule="auto"/>
                    <w:jc w:val="left"/>
                    <w:rPr>
                      <w:kern w:val="0"/>
                      <w:szCs w:val="21"/>
                    </w:rPr>
                  </w:pPr>
                  <w:r>
                    <w:rPr>
                      <w:rFonts w:hint="eastAsia"/>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szCs w:val="21"/>
                    </w:rPr>
                  </w:pPr>
                  <w:r>
                    <w:rPr>
                      <w:szCs w:val="21"/>
                    </w:rPr>
                    <w:t>生态恢复</w:t>
                  </w:r>
                </w:p>
              </w:tc>
              <w:tc>
                <w:tcPr>
                  <w:tcW w:w="4792" w:type="dxa"/>
                  <w:vAlign w:val="center"/>
                </w:tcPr>
                <w:p>
                  <w:pPr>
                    <w:keepNext w:val="0"/>
                    <w:keepLines w:val="0"/>
                    <w:pageBreakBefore w:val="0"/>
                    <w:widowControl/>
                    <w:kinsoku/>
                    <w:wordWrap/>
                    <w:topLinePunct w:val="0"/>
                    <w:autoSpaceDN/>
                    <w:bidi w:val="0"/>
                    <w:spacing w:line="240" w:lineRule="auto"/>
                    <w:jc w:val="left"/>
                    <w:rPr>
                      <w:kern w:val="0"/>
                      <w:szCs w:val="21"/>
                    </w:rPr>
                  </w:pPr>
                  <w:r>
                    <w:rPr>
                      <w:kern w:val="0"/>
                      <w:szCs w:val="21"/>
                    </w:rPr>
                    <w:t>对热辐射破坏的植被进行补偿。</w:t>
                  </w:r>
                </w:p>
              </w:tc>
              <w:tc>
                <w:tcPr>
                  <w:tcW w:w="723" w:type="dxa"/>
                  <w:vAlign w:val="center"/>
                </w:tcPr>
                <w:p>
                  <w:pPr>
                    <w:keepNext w:val="0"/>
                    <w:keepLines w:val="0"/>
                    <w:pageBreakBefore w:val="0"/>
                    <w:widowControl/>
                    <w:kinsoku/>
                    <w:wordWrap/>
                    <w:topLinePunct w:val="0"/>
                    <w:autoSpaceDN/>
                    <w:bidi w:val="0"/>
                    <w:spacing w:line="240" w:lineRule="auto"/>
                    <w:jc w:val="left"/>
                    <w:rPr>
                      <w:kern w:val="0"/>
                      <w:szCs w:val="21"/>
                    </w:rPr>
                  </w:pPr>
                  <w:r>
                    <w:rPr>
                      <w:rFonts w:hint="eastAsia"/>
                      <w:kern w:val="0"/>
                      <w:szCs w:val="21"/>
                    </w:rPr>
                    <w:t>/</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pageBreakBefore w:val="0"/>
                    <w:widowControl/>
                    <w:kinsoku/>
                    <w:wordWrap/>
                    <w:topLinePunct w:val="0"/>
                    <w:autoSpaceDN/>
                    <w:bidi w:val="0"/>
                    <w:spacing w:line="240" w:lineRule="auto"/>
                    <w:jc w:val="center"/>
                    <w:rPr>
                      <w:kern w:val="28"/>
                      <w:szCs w:val="21"/>
                    </w:rPr>
                  </w:pPr>
                </w:p>
              </w:tc>
              <w:tc>
                <w:tcPr>
                  <w:tcW w:w="1278" w:type="dxa"/>
                  <w:gridSpan w:val="2"/>
                  <w:vAlign w:val="center"/>
                </w:tcPr>
                <w:p>
                  <w:pPr>
                    <w:keepNext w:val="0"/>
                    <w:keepLines w:val="0"/>
                    <w:pageBreakBefore w:val="0"/>
                    <w:kinsoku/>
                    <w:wordWrap/>
                    <w:topLinePunct w:val="0"/>
                    <w:autoSpaceDN/>
                    <w:bidi w:val="0"/>
                    <w:spacing w:line="240" w:lineRule="auto"/>
                    <w:jc w:val="center"/>
                    <w:rPr>
                      <w:szCs w:val="21"/>
                    </w:rPr>
                  </w:pPr>
                  <w:r>
                    <w:rPr>
                      <w:szCs w:val="21"/>
                    </w:rPr>
                    <w:t>挡水墙</w:t>
                  </w:r>
                </w:p>
              </w:tc>
              <w:tc>
                <w:tcPr>
                  <w:tcW w:w="4792" w:type="dxa"/>
                  <w:vAlign w:val="center"/>
                </w:tcPr>
                <w:p>
                  <w:pPr>
                    <w:keepNext w:val="0"/>
                    <w:keepLines w:val="0"/>
                    <w:pageBreakBefore w:val="0"/>
                    <w:widowControl/>
                    <w:kinsoku/>
                    <w:wordWrap/>
                    <w:topLinePunct w:val="0"/>
                    <w:autoSpaceDN/>
                    <w:bidi w:val="0"/>
                    <w:spacing w:line="240" w:lineRule="auto"/>
                    <w:jc w:val="left"/>
                    <w:rPr>
                      <w:kern w:val="0"/>
                      <w:szCs w:val="21"/>
                    </w:rPr>
                  </w:pPr>
                  <w:r>
                    <w:rPr>
                      <w:kern w:val="0"/>
                      <w:szCs w:val="21"/>
                    </w:rPr>
                    <w:t>场内设备基础外设置0.2m高挡水墙，循环系统外设0.6m高挡水墙。</w:t>
                  </w:r>
                </w:p>
              </w:tc>
              <w:tc>
                <w:tcPr>
                  <w:tcW w:w="723" w:type="dxa"/>
                  <w:vAlign w:val="center"/>
                </w:tcPr>
                <w:p>
                  <w:pPr>
                    <w:keepNext w:val="0"/>
                    <w:keepLines w:val="0"/>
                    <w:pageBreakBefore w:val="0"/>
                    <w:widowControl/>
                    <w:kinsoku/>
                    <w:wordWrap/>
                    <w:topLinePunct w:val="0"/>
                    <w:autoSpaceDN/>
                    <w:bidi w:val="0"/>
                    <w:spacing w:line="240" w:lineRule="auto"/>
                    <w:jc w:val="left"/>
                    <w:rPr>
                      <w:kern w:val="0"/>
                      <w:szCs w:val="21"/>
                    </w:rPr>
                  </w:pPr>
                  <w:r>
                    <w:rPr>
                      <w:rFonts w:hint="eastAsia"/>
                      <w:kern w:val="0"/>
                      <w:szCs w:val="21"/>
                    </w:rPr>
                    <w:t>新建</w:t>
                  </w:r>
                </w:p>
              </w:tc>
              <w:tc>
                <w:tcPr>
                  <w:tcW w:w="1196" w:type="dxa"/>
                  <w:vAlign w:val="center"/>
                </w:tcPr>
                <w:p>
                  <w:pPr>
                    <w:keepNext w:val="0"/>
                    <w:keepLines w:val="0"/>
                    <w:pageBreakBefore w:val="0"/>
                    <w:kinsoku/>
                    <w:wordWrap/>
                    <w:topLinePunct w:val="0"/>
                    <w:autoSpaceDN/>
                    <w:bidi w:val="0"/>
                    <w:spacing w:line="240" w:lineRule="auto"/>
                    <w:jc w:val="center"/>
                    <w:rPr>
                      <w:kern w:val="0"/>
                      <w:szCs w:val="21"/>
                    </w:rPr>
                  </w:pPr>
                  <w:r>
                    <w:rPr>
                      <w:kern w:val="0"/>
                      <w:szCs w:val="21"/>
                    </w:rPr>
                    <w:t>渗漏污染土壤、地下水、地表水环境。</w:t>
                  </w:r>
                </w:p>
              </w:tc>
            </w:tr>
            <w:bookmarkEnd w:id="10"/>
            <w:bookmarkEnd w:id="11"/>
          </w:tbl>
          <w:p>
            <w:pPr>
              <w:spacing w:line="360" w:lineRule="auto"/>
              <w:rPr>
                <w:b/>
                <w:sz w:val="24"/>
              </w:rPr>
            </w:pPr>
            <w:r>
              <w:rPr>
                <w:b/>
                <w:sz w:val="24"/>
              </w:rPr>
              <w:t>2.5设备</w:t>
            </w:r>
            <w:r>
              <w:rPr>
                <w:rFonts w:hint="eastAsia"/>
                <w:b/>
                <w:sz w:val="24"/>
              </w:rPr>
              <w:t>使用情况</w:t>
            </w:r>
          </w:p>
          <w:p>
            <w:pPr>
              <w:tabs>
                <w:tab w:val="left" w:pos="2321"/>
                <w:tab w:val="left" w:pos="5925"/>
              </w:tabs>
              <w:adjustRightInd w:val="0"/>
              <w:spacing w:line="360" w:lineRule="auto"/>
              <w:ind w:firstLine="480" w:firstLineChars="200"/>
              <w:rPr>
                <w:bCs/>
                <w:sz w:val="24"/>
              </w:rPr>
            </w:pPr>
            <w:r>
              <w:rPr>
                <w:bCs/>
                <w:sz w:val="24"/>
              </w:rPr>
              <w:t>由于</w:t>
            </w:r>
            <w:r>
              <w:rPr>
                <w:rFonts w:hint="eastAsia"/>
                <w:bCs/>
                <w:sz w:val="24"/>
              </w:rPr>
              <w:t>铁北1井依托已建井场，</w:t>
            </w:r>
            <w:r>
              <w:rPr>
                <w:bCs/>
                <w:sz w:val="24"/>
              </w:rPr>
              <w:t>钻前工程施工主要为</w:t>
            </w:r>
            <w:r>
              <w:rPr>
                <w:rFonts w:hint="eastAsia"/>
                <w:bCs/>
                <w:sz w:val="24"/>
              </w:rPr>
              <w:t>设备搬迁及生活区建设</w:t>
            </w:r>
            <w:r>
              <w:rPr>
                <w:bCs/>
                <w:sz w:val="24"/>
              </w:rPr>
              <w:t>，设备为</w:t>
            </w:r>
            <w:r>
              <w:rPr>
                <w:rFonts w:hint="eastAsia"/>
                <w:bCs/>
                <w:sz w:val="24"/>
              </w:rPr>
              <w:t>相关运输设备</w:t>
            </w:r>
            <w:r>
              <w:rPr>
                <w:bCs/>
                <w:sz w:val="24"/>
              </w:rPr>
              <w:t>，本评价不做详细列举，重点对钻井设备及</w:t>
            </w:r>
            <w:r>
              <w:rPr>
                <w:rFonts w:hint="eastAsia"/>
                <w:bCs/>
                <w:sz w:val="24"/>
              </w:rPr>
              <w:t>储层改造</w:t>
            </w:r>
            <w:r>
              <w:rPr>
                <w:bCs/>
                <w:sz w:val="24"/>
              </w:rPr>
              <w:t>设备列表说明。</w:t>
            </w:r>
          </w:p>
          <w:p>
            <w:pPr>
              <w:tabs>
                <w:tab w:val="left" w:pos="2321"/>
                <w:tab w:val="left" w:pos="5925"/>
              </w:tabs>
              <w:adjustRightInd w:val="0"/>
              <w:spacing w:line="360" w:lineRule="auto"/>
              <w:ind w:firstLine="480" w:firstLineChars="200"/>
              <w:rPr>
                <w:bCs/>
                <w:sz w:val="24"/>
              </w:rPr>
            </w:pPr>
            <w:r>
              <w:rPr>
                <w:rFonts w:hint="eastAsia"/>
                <w:bCs/>
                <w:sz w:val="24"/>
              </w:rPr>
              <w:t>（1）钻井设备</w:t>
            </w:r>
          </w:p>
          <w:p>
            <w:pPr>
              <w:tabs>
                <w:tab w:val="left" w:pos="2321"/>
                <w:tab w:val="left" w:pos="5925"/>
              </w:tabs>
              <w:adjustRightInd w:val="0"/>
              <w:spacing w:line="360" w:lineRule="auto"/>
              <w:ind w:firstLine="480" w:firstLineChars="200"/>
              <w:rPr>
                <w:bCs/>
                <w:sz w:val="24"/>
              </w:rPr>
            </w:pPr>
            <w:r>
              <w:rPr>
                <w:bCs/>
                <w:sz w:val="24"/>
              </w:rPr>
              <w:t>根据《</w:t>
            </w:r>
            <w:r>
              <w:rPr>
                <w:rFonts w:hint="eastAsia"/>
                <w:bCs/>
                <w:sz w:val="24"/>
              </w:rPr>
              <w:t>铁北1侧HF井</w:t>
            </w:r>
            <w:r>
              <w:rPr>
                <w:bCs/>
                <w:sz w:val="24"/>
              </w:rPr>
              <w:t>钻井工程设计》，钻井作业主要钻井设备包括泥浆钻井系统、井架设备和井场监控自动化设备。根据对设备清单的核查检索，无国家规定的禁止使用和淘汰类设备。本项目使用设备如下：</w:t>
            </w:r>
          </w:p>
          <w:p>
            <w:pPr>
              <w:pStyle w:val="20"/>
              <w:numPr>
                <w:ilvl w:val="0"/>
                <w:numId w:val="5"/>
              </w:numPr>
              <w:tabs>
                <w:tab w:val="left" w:pos="0"/>
                <w:tab w:val="left" w:pos="833"/>
              </w:tabs>
              <w:spacing w:before="0" w:after="0" w:line="360" w:lineRule="auto"/>
              <w:ind w:left="0" w:right="0" w:firstLine="0"/>
              <w:jc w:val="center"/>
              <w:rPr>
                <w:b/>
                <w:bCs/>
                <w:sz w:val="24"/>
                <w:szCs w:val="24"/>
              </w:rPr>
            </w:pPr>
            <w:r>
              <w:rPr>
                <w:rFonts w:hint="eastAsia"/>
                <w:b/>
                <w:bCs/>
                <w:sz w:val="24"/>
                <w:szCs w:val="24"/>
              </w:rPr>
              <w:t>铁北1侧HF井</w:t>
            </w:r>
            <w:r>
              <w:rPr>
                <w:b/>
                <w:bCs/>
                <w:sz w:val="24"/>
                <w:szCs w:val="24"/>
              </w:rPr>
              <w:t>钻井工程主要钻井设备</w:t>
            </w:r>
          </w:p>
          <w:tbl>
            <w:tblPr>
              <w:tblStyle w:val="44"/>
              <w:tblW w:w="85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717"/>
              <w:gridCol w:w="1404"/>
              <w:gridCol w:w="1376"/>
              <w:gridCol w:w="2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88" w:type="pct"/>
                  <w:tcBorders>
                    <w:tl2br w:val="nil"/>
                    <w:tr2bl w:val="nil"/>
                  </w:tcBorders>
                  <w:vAlign w:val="center"/>
                </w:tcPr>
                <w:p>
                  <w:pPr>
                    <w:jc w:val="center"/>
                  </w:pPr>
                  <w:r>
                    <w:rPr>
                      <w:rFonts w:hAnsi="宋体"/>
                    </w:rPr>
                    <w:t>序号</w:t>
                  </w:r>
                </w:p>
              </w:tc>
              <w:tc>
                <w:tcPr>
                  <w:tcW w:w="1587" w:type="pct"/>
                  <w:tcBorders>
                    <w:tl2br w:val="nil"/>
                    <w:tr2bl w:val="nil"/>
                  </w:tcBorders>
                  <w:vAlign w:val="center"/>
                </w:tcPr>
                <w:p>
                  <w:pPr>
                    <w:jc w:val="center"/>
                  </w:pPr>
                  <w:r>
                    <w:rPr>
                      <w:rFonts w:hAnsi="宋体"/>
                    </w:rPr>
                    <w:t>名称</w:t>
                  </w:r>
                </w:p>
              </w:tc>
              <w:tc>
                <w:tcPr>
                  <w:tcW w:w="820" w:type="pct"/>
                  <w:tcBorders>
                    <w:tl2br w:val="nil"/>
                    <w:tr2bl w:val="nil"/>
                  </w:tcBorders>
                  <w:vAlign w:val="center"/>
                </w:tcPr>
                <w:p>
                  <w:pPr>
                    <w:jc w:val="center"/>
                  </w:pPr>
                  <w:r>
                    <w:rPr>
                      <w:rFonts w:hAnsi="宋体"/>
                    </w:rPr>
                    <w:t>功率或负荷</w:t>
                  </w:r>
                </w:p>
              </w:tc>
              <w:tc>
                <w:tcPr>
                  <w:tcW w:w="804" w:type="pct"/>
                  <w:tcBorders>
                    <w:tl2br w:val="nil"/>
                    <w:tr2bl w:val="nil"/>
                  </w:tcBorders>
                  <w:vAlign w:val="center"/>
                </w:tcPr>
                <w:p>
                  <w:pPr>
                    <w:jc w:val="center"/>
                  </w:pPr>
                  <w:r>
                    <w:rPr>
                      <w:rFonts w:hAnsi="宋体"/>
                    </w:rPr>
                    <w:t>数量</w:t>
                  </w:r>
                </w:p>
              </w:tc>
              <w:tc>
                <w:tcPr>
                  <w:tcW w:w="1399" w:type="pct"/>
                  <w:tcBorders>
                    <w:tl2br w:val="nil"/>
                    <w:tr2bl w:val="nil"/>
                  </w:tcBorders>
                  <w:vAlign w:val="center"/>
                </w:tcPr>
                <w:p>
                  <w:pPr>
                    <w:jc w:val="center"/>
                  </w:pPr>
                  <w:r>
                    <w:rPr>
                      <w:rFonts w:hAnsi="宋体"/>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w:t>
                  </w:r>
                </w:p>
              </w:tc>
              <w:tc>
                <w:tcPr>
                  <w:tcW w:w="1587" w:type="pct"/>
                  <w:tcBorders>
                    <w:tl2br w:val="nil"/>
                    <w:tr2bl w:val="nil"/>
                  </w:tcBorders>
                  <w:vAlign w:val="center"/>
                </w:tcPr>
                <w:p>
                  <w:pPr>
                    <w:jc w:val="center"/>
                  </w:pPr>
                  <w:r>
                    <w:rPr>
                      <w:rFonts w:hAnsi="宋体"/>
                    </w:rPr>
                    <w:t>井架</w:t>
                  </w:r>
                </w:p>
              </w:tc>
              <w:tc>
                <w:tcPr>
                  <w:tcW w:w="820" w:type="pct"/>
                  <w:tcBorders>
                    <w:tl2br w:val="nil"/>
                    <w:tr2bl w:val="nil"/>
                  </w:tcBorders>
                  <w:vAlign w:val="center"/>
                </w:tcPr>
                <w:p>
                  <w:pPr>
                    <w:jc w:val="center"/>
                  </w:pPr>
                  <w:r>
                    <w:t>3150kN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w:t>
                  </w:r>
                </w:p>
              </w:tc>
              <w:tc>
                <w:tcPr>
                  <w:tcW w:w="1587" w:type="pct"/>
                  <w:tcBorders>
                    <w:tl2br w:val="nil"/>
                    <w:tr2bl w:val="nil"/>
                  </w:tcBorders>
                  <w:vAlign w:val="center"/>
                </w:tcPr>
                <w:p>
                  <w:pPr>
                    <w:jc w:val="center"/>
                  </w:pPr>
                  <w:r>
                    <w:rPr>
                      <w:rFonts w:hAnsi="宋体"/>
                    </w:rPr>
                    <w:t>天车</w:t>
                  </w:r>
                </w:p>
              </w:tc>
              <w:tc>
                <w:tcPr>
                  <w:tcW w:w="820" w:type="pct"/>
                  <w:tcBorders>
                    <w:tl2br w:val="nil"/>
                    <w:tr2bl w:val="nil"/>
                  </w:tcBorders>
                  <w:vAlign w:val="center"/>
                </w:tcPr>
                <w:p>
                  <w:pPr>
                    <w:jc w:val="center"/>
                  </w:pPr>
                  <w:r>
                    <w:t>3150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w:t>
                  </w:r>
                </w:p>
              </w:tc>
              <w:tc>
                <w:tcPr>
                  <w:tcW w:w="1587" w:type="pct"/>
                  <w:tcBorders>
                    <w:tl2br w:val="nil"/>
                    <w:tr2bl w:val="nil"/>
                  </w:tcBorders>
                  <w:vAlign w:val="center"/>
                </w:tcPr>
                <w:p>
                  <w:pPr>
                    <w:jc w:val="center"/>
                  </w:pPr>
                  <w:r>
                    <w:rPr>
                      <w:rFonts w:hAnsi="宋体"/>
                    </w:rPr>
                    <w:t>游动滑车</w:t>
                  </w:r>
                </w:p>
              </w:tc>
              <w:tc>
                <w:tcPr>
                  <w:tcW w:w="820" w:type="pct"/>
                  <w:tcBorders>
                    <w:tl2br w:val="nil"/>
                    <w:tr2bl w:val="nil"/>
                  </w:tcBorders>
                  <w:vAlign w:val="center"/>
                </w:tcPr>
                <w:p>
                  <w:pPr>
                    <w:jc w:val="center"/>
                  </w:pPr>
                  <w:r>
                    <w:t>3150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4</w:t>
                  </w:r>
                </w:p>
              </w:tc>
              <w:tc>
                <w:tcPr>
                  <w:tcW w:w="1587" w:type="pct"/>
                  <w:tcBorders>
                    <w:tl2br w:val="nil"/>
                    <w:tr2bl w:val="nil"/>
                  </w:tcBorders>
                  <w:vAlign w:val="center"/>
                </w:tcPr>
                <w:p>
                  <w:pPr>
                    <w:jc w:val="center"/>
                  </w:pPr>
                  <w:r>
                    <w:rPr>
                      <w:rFonts w:hAnsi="宋体"/>
                    </w:rPr>
                    <w:t>大钩</w:t>
                  </w:r>
                </w:p>
              </w:tc>
              <w:tc>
                <w:tcPr>
                  <w:tcW w:w="820" w:type="pct"/>
                  <w:tcBorders>
                    <w:tl2br w:val="nil"/>
                    <w:tr2bl w:val="nil"/>
                  </w:tcBorders>
                  <w:vAlign w:val="center"/>
                </w:tcPr>
                <w:p>
                  <w:pPr>
                    <w:jc w:val="center"/>
                  </w:pPr>
                  <w:r>
                    <w:t>3150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5</w:t>
                  </w:r>
                </w:p>
              </w:tc>
              <w:tc>
                <w:tcPr>
                  <w:tcW w:w="1587" w:type="pct"/>
                  <w:tcBorders>
                    <w:tl2br w:val="nil"/>
                    <w:tr2bl w:val="nil"/>
                  </w:tcBorders>
                  <w:vAlign w:val="center"/>
                </w:tcPr>
                <w:p>
                  <w:pPr>
                    <w:jc w:val="center"/>
                  </w:pPr>
                  <w:r>
                    <w:rPr>
                      <w:rFonts w:hAnsi="宋体"/>
                    </w:rPr>
                    <w:t>水龙头</w:t>
                  </w:r>
                </w:p>
              </w:tc>
              <w:tc>
                <w:tcPr>
                  <w:tcW w:w="820" w:type="pct"/>
                  <w:tcBorders>
                    <w:tl2br w:val="nil"/>
                    <w:tr2bl w:val="nil"/>
                  </w:tcBorders>
                  <w:vAlign w:val="center"/>
                </w:tcPr>
                <w:p>
                  <w:pPr>
                    <w:jc w:val="center"/>
                  </w:pPr>
                  <w:r>
                    <w:t>4500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6</w:t>
                  </w:r>
                </w:p>
              </w:tc>
              <w:tc>
                <w:tcPr>
                  <w:tcW w:w="1587" w:type="pct"/>
                  <w:tcBorders>
                    <w:tl2br w:val="nil"/>
                    <w:tr2bl w:val="nil"/>
                  </w:tcBorders>
                  <w:vAlign w:val="center"/>
                </w:tcPr>
                <w:p>
                  <w:pPr>
                    <w:jc w:val="center"/>
                  </w:pPr>
                  <w:r>
                    <w:rPr>
                      <w:rFonts w:hAnsi="宋体"/>
                    </w:rPr>
                    <w:t>转盘</w:t>
                  </w:r>
                </w:p>
              </w:tc>
              <w:tc>
                <w:tcPr>
                  <w:tcW w:w="820" w:type="pct"/>
                  <w:tcBorders>
                    <w:tl2br w:val="nil"/>
                    <w:tr2bl w:val="nil"/>
                  </w:tcBorders>
                  <w:vAlign w:val="center"/>
                </w:tcPr>
                <w:p>
                  <w:pPr>
                    <w:jc w:val="center"/>
                  </w:pPr>
                  <w:r>
                    <w:t>4500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7</w:t>
                  </w:r>
                </w:p>
              </w:tc>
              <w:tc>
                <w:tcPr>
                  <w:tcW w:w="1587" w:type="pct"/>
                  <w:tcBorders>
                    <w:tl2br w:val="nil"/>
                    <w:tr2bl w:val="nil"/>
                  </w:tcBorders>
                  <w:vAlign w:val="center"/>
                </w:tcPr>
                <w:p>
                  <w:pPr>
                    <w:jc w:val="center"/>
                  </w:pPr>
                  <w:r>
                    <w:rPr>
                      <w:rFonts w:hAnsi="宋体"/>
                    </w:rPr>
                    <w:t>绞车</w:t>
                  </w:r>
                </w:p>
              </w:tc>
              <w:tc>
                <w:tcPr>
                  <w:tcW w:w="820" w:type="pct"/>
                  <w:tcBorders>
                    <w:tl2br w:val="nil"/>
                    <w:tr2bl w:val="nil"/>
                  </w:tcBorders>
                  <w:vAlign w:val="center"/>
                </w:tcPr>
                <w:p>
                  <w:pPr>
                    <w:jc w:val="center"/>
                  </w:pPr>
                  <w:r>
                    <w:t>1470kW</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8</w:t>
                  </w:r>
                </w:p>
              </w:tc>
              <w:tc>
                <w:tcPr>
                  <w:tcW w:w="1587" w:type="pct"/>
                  <w:tcBorders>
                    <w:tl2br w:val="nil"/>
                    <w:tr2bl w:val="nil"/>
                  </w:tcBorders>
                  <w:vAlign w:val="center"/>
                </w:tcPr>
                <w:p>
                  <w:pPr>
                    <w:jc w:val="center"/>
                  </w:pPr>
                  <w:r>
                    <w:rPr>
                      <w:rFonts w:hAnsi="宋体"/>
                    </w:rPr>
                    <w:t>顶驱</w:t>
                  </w:r>
                </w:p>
              </w:tc>
              <w:tc>
                <w:tcPr>
                  <w:tcW w:w="820" w:type="pct"/>
                  <w:tcBorders>
                    <w:tl2br w:val="nil"/>
                    <w:tr2bl w:val="nil"/>
                  </w:tcBorders>
                  <w:vAlign w:val="center"/>
                </w:tcPr>
                <w:p>
                  <w:pPr>
                    <w:jc w:val="center"/>
                  </w:pPr>
                  <w:r>
                    <w:t>4500 kN</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9</w:t>
                  </w:r>
                </w:p>
              </w:tc>
              <w:tc>
                <w:tcPr>
                  <w:tcW w:w="1587" w:type="pct"/>
                  <w:tcBorders>
                    <w:tl2br w:val="nil"/>
                    <w:tr2bl w:val="nil"/>
                  </w:tcBorders>
                  <w:vAlign w:val="center"/>
                </w:tcPr>
                <w:p>
                  <w:pPr>
                    <w:jc w:val="center"/>
                  </w:pPr>
                  <w:r>
                    <w:rPr>
                      <w:rFonts w:hAnsi="宋体"/>
                    </w:rPr>
                    <w:t>电磁刹车</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10</w:t>
                  </w:r>
                </w:p>
              </w:tc>
              <w:tc>
                <w:tcPr>
                  <w:tcW w:w="1587" w:type="pct"/>
                  <w:tcBorders>
                    <w:tl2br w:val="nil"/>
                    <w:tr2bl w:val="nil"/>
                  </w:tcBorders>
                  <w:vAlign w:val="center"/>
                </w:tcPr>
                <w:p>
                  <w:pPr>
                    <w:jc w:val="center"/>
                  </w:pPr>
                  <w:r>
                    <w:rPr>
                      <w:rFonts w:hAnsi="宋体"/>
                    </w:rPr>
                    <w:t>钻井泵</w:t>
                  </w:r>
                </w:p>
              </w:tc>
              <w:tc>
                <w:tcPr>
                  <w:tcW w:w="820" w:type="pct"/>
                  <w:tcBorders>
                    <w:tl2br w:val="nil"/>
                    <w:tr2bl w:val="nil"/>
                  </w:tcBorders>
                  <w:vAlign w:val="center"/>
                </w:tcPr>
                <w:p>
                  <w:pPr>
                    <w:jc w:val="center"/>
                  </w:pPr>
                  <w:r>
                    <w:t>1193 kW</w:t>
                  </w:r>
                </w:p>
              </w:tc>
              <w:tc>
                <w:tcPr>
                  <w:tcW w:w="804" w:type="pct"/>
                  <w:tcBorders>
                    <w:tl2br w:val="nil"/>
                    <w:tr2bl w:val="nil"/>
                  </w:tcBorders>
                  <w:vAlign w:val="center"/>
                </w:tcPr>
                <w:p>
                  <w:pPr>
                    <w:jc w:val="center"/>
                  </w:pPr>
                  <w:r>
                    <w:t>2</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11</w:t>
                  </w:r>
                </w:p>
              </w:tc>
              <w:tc>
                <w:tcPr>
                  <w:tcW w:w="1587" w:type="pct"/>
                  <w:tcBorders>
                    <w:tl2br w:val="nil"/>
                    <w:tr2bl w:val="nil"/>
                  </w:tcBorders>
                  <w:vAlign w:val="center"/>
                </w:tcPr>
                <w:p>
                  <w:pPr>
                    <w:jc w:val="center"/>
                  </w:pPr>
                  <w:r>
                    <w:rPr>
                      <w:rFonts w:hAnsi="宋体"/>
                    </w:rPr>
                    <w:t>柴油机</w:t>
                  </w:r>
                </w:p>
              </w:tc>
              <w:tc>
                <w:tcPr>
                  <w:tcW w:w="820" w:type="pct"/>
                  <w:tcBorders>
                    <w:tl2br w:val="nil"/>
                    <w:tr2bl w:val="nil"/>
                  </w:tcBorders>
                  <w:vAlign w:val="center"/>
                </w:tcPr>
                <w:p>
                  <w:pPr>
                    <w:jc w:val="center"/>
                  </w:pPr>
                  <w:r>
                    <w:t>810 kW</w:t>
                  </w:r>
                </w:p>
              </w:tc>
              <w:tc>
                <w:tcPr>
                  <w:tcW w:w="804" w:type="pct"/>
                  <w:tcBorders>
                    <w:tl2br w:val="nil"/>
                    <w:tr2bl w:val="nil"/>
                  </w:tcBorders>
                  <w:vAlign w:val="center"/>
                </w:tcPr>
                <w:p>
                  <w:pPr>
                    <w:jc w:val="center"/>
                  </w:pPr>
                  <w:r>
                    <w:t>3</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12</w:t>
                  </w:r>
                </w:p>
              </w:tc>
              <w:tc>
                <w:tcPr>
                  <w:tcW w:w="1587" w:type="pct"/>
                  <w:tcBorders>
                    <w:tl2br w:val="nil"/>
                    <w:tr2bl w:val="nil"/>
                  </w:tcBorders>
                  <w:vAlign w:val="center"/>
                </w:tcPr>
                <w:p>
                  <w:pPr>
                    <w:jc w:val="center"/>
                  </w:pPr>
                  <w:r>
                    <w:rPr>
                      <w:rFonts w:hAnsi="宋体"/>
                    </w:rPr>
                    <w:t>发电机</w:t>
                  </w:r>
                </w:p>
              </w:tc>
              <w:tc>
                <w:tcPr>
                  <w:tcW w:w="820" w:type="pct"/>
                  <w:tcBorders>
                    <w:tl2br w:val="nil"/>
                    <w:tr2bl w:val="nil"/>
                  </w:tcBorders>
                  <w:vAlign w:val="center"/>
                </w:tcPr>
                <w:p>
                  <w:pPr>
                    <w:jc w:val="center"/>
                  </w:pPr>
                  <w:r>
                    <w:t>300 kW</w:t>
                  </w:r>
                </w:p>
              </w:tc>
              <w:tc>
                <w:tcPr>
                  <w:tcW w:w="804" w:type="pct"/>
                  <w:tcBorders>
                    <w:tl2br w:val="nil"/>
                    <w:tr2bl w:val="nil"/>
                  </w:tcBorders>
                  <w:vAlign w:val="center"/>
                </w:tcPr>
                <w:p>
                  <w:pPr>
                    <w:jc w:val="center"/>
                  </w:pPr>
                  <w:r>
                    <w:t>2</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13</w:t>
                  </w:r>
                </w:p>
              </w:tc>
              <w:tc>
                <w:tcPr>
                  <w:tcW w:w="1587" w:type="pct"/>
                  <w:tcBorders>
                    <w:tl2br w:val="nil"/>
                    <w:tr2bl w:val="nil"/>
                  </w:tcBorders>
                  <w:vAlign w:val="center"/>
                </w:tcPr>
                <w:p>
                  <w:pPr>
                    <w:jc w:val="center"/>
                  </w:pPr>
                  <w:r>
                    <w:rPr>
                      <w:rFonts w:hAnsi="宋体"/>
                    </w:rPr>
                    <w:t>双闸板防喷器</w:t>
                  </w:r>
                </w:p>
              </w:tc>
              <w:tc>
                <w:tcPr>
                  <w:tcW w:w="820" w:type="pct"/>
                  <w:tcBorders>
                    <w:tl2br w:val="nil"/>
                    <w:tr2bl w:val="nil"/>
                  </w:tcBorders>
                  <w:vAlign w:val="center"/>
                </w:tcPr>
                <w:p>
                  <w:pPr>
                    <w:jc w:val="center"/>
                  </w:pPr>
                  <w:r>
                    <w:t>70MPa</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14</w:t>
                  </w:r>
                </w:p>
              </w:tc>
              <w:tc>
                <w:tcPr>
                  <w:tcW w:w="1587" w:type="pct"/>
                  <w:tcBorders>
                    <w:tl2br w:val="nil"/>
                    <w:tr2bl w:val="nil"/>
                  </w:tcBorders>
                  <w:vAlign w:val="center"/>
                </w:tcPr>
                <w:p>
                  <w:pPr>
                    <w:jc w:val="center"/>
                  </w:pPr>
                  <w:r>
                    <w:rPr>
                      <w:rFonts w:hAnsi="宋体"/>
                    </w:rPr>
                    <w:t>环型防喷器</w:t>
                  </w:r>
                </w:p>
              </w:tc>
              <w:tc>
                <w:tcPr>
                  <w:tcW w:w="820" w:type="pct"/>
                  <w:tcBorders>
                    <w:tl2br w:val="nil"/>
                    <w:tr2bl w:val="nil"/>
                  </w:tcBorders>
                  <w:vAlign w:val="center"/>
                </w:tcPr>
                <w:p>
                  <w:pPr>
                    <w:jc w:val="center"/>
                  </w:pPr>
                  <w:r>
                    <w:t>35MPa</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15</w:t>
                  </w:r>
                </w:p>
              </w:tc>
              <w:tc>
                <w:tcPr>
                  <w:tcW w:w="1587" w:type="pct"/>
                  <w:tcBorders>
                    <w:tl2br w:val="nil"/>
                    <w:tr2bl w:val="nil"/>
                  </w:tcBorders>
                  <w:vAlign w:val="center"/>
                </w:tcPr>
                <w:p>
                  <w:pPr>
                    <w:jc w:val="center"/>
                  </w:pPr>
                  <w:r>
                    <w:rPr>
                      <w:rFonts w:hAnsi="宋体"/>
                    </w:rPr>
                    <w:t>旋转防喷器</w:t>
                  </w:r>
                </w:p>
                <w:p>
                  <w:pPr>
                    <w:jc w:val="center"/>
                  </w:pPr>
                  <w:r>
                    <w:t>FX54-7.5/14</w:t>
                  </w:r>
                </w:p>
              </w:tc>
              <w:tc>
                <w:tcPr>
                  <w:tcW w:w="820" w:type="pct"/>
                  <w:tcBorders>
                    <w:tl2br w:val="nil"/>
                    <w:tr2bl w:val="nil"/>
                  </w:tcBorders>
                  <w:vAlign w:val="center"/>
                </w:tcPr>
                <w:p>
                  <w:pPr>
                    <w:jc w:val="center"/>
                  </w:pPr>
                  <w:r>
                    <w:t>7.5/14</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16</w:t>
                  </w:r>
                </w:p>
              </w:tc>
              <w:tc>
                <w:tcPr>
                  <w:tcW w:w="1587" w:type="pct"/>
                  <w:tcBorders>
                    <w:tl2br w:val="nil"/>
                    <w:tr2bl w:val="nil"/>
                  </w:tcBorders>
                  <w:vAlign w:val="center"/>
                </w:tcPr>
                <w:p>
                  <w:pPr>
                    <w:jc w:val="center"/>
                  </w:pPr>
                  <w:r>
                    <w:rPr>
                      <w:rFonts w:hAnsi="宋体"/>
                    </w:rPr>
                    <w:t>旋转防喷器</w:t>
                  </w:r>
                  <w:r>
                    <w:t>FX35-17.5/35</w:t>
                  </w:r>
                </w:p>
              </w:tc>
              <w:tc>
                <w:tcPr>
                  <w:tcW w:w="820" w:type="pct"/>
                  <w:tcBorders>
                    <w:tl2br w:val="nil"/>
                    <w:tr2bl w:val="nil"/>
                  </w:tcBorders>
                  <w:vAlign w:val="center"/>
                </w:tcPr>
                <w:p>
                  <w:pPr>
                    <w:jc w:val="center"/>
                  </w:pPr>
                  <w:r>
                    <w:t>17.5/35</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17</w:t>
                  </w:r>
                </w:p>
              </w:tc>
              <w:tc>
                <w:tcPr>
                  <w:tcW w:w="1587" w:type="pct"/>
                  <w:tcBorders>
                    <w:tl2br w:val="nil"/>
                    <w:tr2bl w:val="nil"/>
                  </w:tcBorders>
                  <w:vAlign w:val="center"/>
                </w:tcPr>
                <w:p>
                  <w:pPr>
                    <w:jc w:val="center"/>
                  </w:pPr>
                  <w:r>
                    <w:rPr>
                      <w:rFonts w:hAnsi="宋体"/>
                    </w:rPr>
                    <w:t>压井管汇</w:t>
                  </w:r>
                </w:p>
              </w:tc>
              <w:tc>
                <w:tcPr>
                  <w:tcW w:w="820" w:type="pct"/>
                  <w:tcBorders>
                    <w:tl2br w:val="nil"/>
                    <w:tr2bl w:val="nil"/>
                  </w:tcBorders>
                  <w:vAlign w:val="center"/>
                </w:tcPr>
                <w:p>
                  <w:pPr>
                    <w:jc w:val="center"/>
                  </w:pPr>
                  <w:r>
                    <w:t>70 MPa</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18</w:t>
                  </w:r>
                </w:p>
              </w:tc>
              <w:tc>
                <w:tcPr>
                  <w:tcW w:w="1587" w:type="pct"/>
                  <w:tcBorders>
                    <w:tl2br w:val="nil"/>
                    <w:tr2bl w:val="nil"/>
                  </w:tcBorders>
                  <w:vAlign w:val="center"/>
                </w:tcPr>
                <w:p>
                  <w:pPr>
                    <w:jc w:val="center"/>
                  </w:pPr>
                  <w:r>
                    <w:rPr>
                      <w:rFonts w:hAnsi="宋体"/>
                    </w:rPr>
                    <w:t>节流管汇</w:t>
                  </w:r>
                </w:p>
              </w:tc>
              <w:tc>
                <w:tcPr>
                  <w:tcW w:w="820" w:type="pct"/>
                  <w:tcBorders>
                    <w:tl2br w:val="nil"/>
                    <w:tr2bl w:val="nil"/>
                  </w:tcBorders>
                  <w:vAlign w:val="center"/>
                </w:tcPr>
                <w:p>
                  <w:pPr>
                    <w:jc w:val="center"/>
                  </w:pPr>
                  <w:r>
                    <w:t>70 MPa</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19</w:t>
                  </w:r>
                </w:p>
              </w:tc>
              <w:tc>
                <w:tcPr>
                  <w:tcW w:w="1587" w:type="pct"/>
                  <w:tcBorders>
                    <w:tl2br w:val="nil"/>
                    <w:tr2bl w:val="nil"/>
                  </w:tcBorders>
                  <w:vAlign w:val="center"/>
                </w:tcPr>
                <w:p>
                  <w:pPr>
                    <w:jc w:val="center"/>
                  </w:pPr>
                  <w:r>
                    <w:rPr>
                      <w:rFonts w:hAnsi="宋体"/>
                    </w:rPr>
                    <w:t>液气分离器</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20</w:t>
                  </w:r>
                </w:p>
              </w:tc>
              <w:tc>
                <w:tcPr>
                  <w:tcW w:w="1587" w:type="pct"/>
                  <w:tcBorders>
                    <w:tl2br w:val="nil"/>
                    <w:tr2bl w:val="nil"/>
                  </w:tcBorders>
                  <w:vAlign w:val="center"/>
                </w:tcPr>
                <w:p>
                  <w:pPr>
                    <w:jc w:val="center"/>
                  </w:pPr>
                  <w:r>
                    <w:rPr>
                      <w:rFonts w:hAnsi="宋体"/>
                    </w:rPr>
                    <w:t>自动点火装置</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21</w:t>
                  </w:r>
                </w:p>
              </w:tc>
              <w:tc>
                <w:tcPr>
                  <w:tcW w:w="1587" w:type="pct"/>
                  <w:tcBorders>
                    <w:tl2br w:val="nil"/>
                    <w:tr2bl w:val="nil"/>
                  </w:tcBorders>
                  <w:vAlign w:val="center"/>
                </w:tcPr>
                <w:p>
                  <w:pPr>
                    <w:jc w:val="center"/>
                  </w:pPr>
                  <w:r>
                    <w:rPr>
                      <w:rFonts w:hAnsi="宋体"/>
                    </w:rPr>
                    <w:t>手动点火装置</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22</w:t>
                  </w:r>
                </w:p>
              </w:tc>
              <w:tc>
                <w:tcPr>
                  <w:tcW w:w="1587" w:type="pct"/>
                  <w:tcBorders>
                    <w:tl2br w:val="nil"/>
                    <w:tr2bl w:val="nil"/>
                  </w:tcBorders>
                  <w:vAlign w:val="center"/>
                </w:tcPr>
                <w:p>
                  <w:pPr>
                    <w:jc w:val="center"/>
                  </w:pPr>
                  <w:r>
                    <w:rPr>
                      <w:rFonts w:hAnsi="宋体"/>
                    </w:rPr>
                    <w:t>司钻控制台</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23</w:t>
                  </w:r>
                </w:p>
              </w:tc>
              <w:tc>
                <w:tcPr>
                  <w:tcW w:w="1587" w:type="pct"/>
                  <w:tcBorders>
                    <w:tl2br w:val="nil"/>
                    <w:tr2bl w:val="nil"/>
                  </w:tcBorders>
                  <w:vAlign w:val="center"/>
                </w:tcPr>
                <w:p>
                  <w:pPr>
                    <w:jc w:val="center"/>
                  </w:pPr>
                  <w:r>
                    <w:rPr>
                      <w:rFonts w:hAnsi="宋体"/>
                    </w:rPr>
                    <w:t>节流控制箱</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24</w:t>
                  </w:r>
                </w:p>
              </w:tc>
              <w:tc>
                <w:tcPr>
                  <w:tcW w:w="1587" w:type="pct"/>
                  <w:tcBorders>
                    <w:tl2br w:val="nil"/>
                    <w:tr2bl w:val="nil"/>
                  </w:tcBorders>
                  <w:vAlign w:val="center"/>
                </w:tcPr>
                <w:p>
                  <w:pPr>
                    <w:jc w:val="center"/>
                  </w:pPr>
                  <w:r>
                    <w:rPr>
                      <w:rFonts w:hAnsi="宋体"/>
                    </w:rPr>
                    <w:t>远程控制台</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25</w:t>
                  </w:r>
                </w:p>
              </w:tc>
              <w:tc>
                <w:tcPr>
                  <w:tcW w:w="1587" w:type="pct"/>
                  <w:tcBorders>
                    <w:tl2br w:val="nil"/>
                    <w:tr2bl w:val="nil"/>
                  </w:tcBorders>
                  <w:vAlign w:val="center"/>
                </w:tcPr>
                <w:p>
                  <w:pPr>
                    <w:jc w:val="center"/>
                  </w:pPr>
                  <w:r>
                    <w:rPr>
                      <w:rFonts w:hAnsi="宋体"/>
                    </w:rPr>
                    <w:t>除砂器</w:t>
                  </w:r>
                </w:p>
              </w:tc>
              <w:tc>
                <w:tcPr>
                  <w:tcW w:w="820" w:type="pct"/>
                  <w:tcBorders>
                    <w:tl2br w:val="nil"/>
                    <w:tr2bl w:val="nil"/>
                  </w:tcBorders>
                  <w:vAlign w:val="center"/>
                </w:tcPr>
                <w:p>
                  <w:pPr>
                    <w:jc w:val="center"/>
                  </w:pPr>
                  <w:r>
                    <w:t>55 kW</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26</w:t>
                  </w:r>
                </w:p>
              </w:tc>
              <w:tc>
                <w:tcPr>
                  <w:tcW w:w="1587" w:type="pct"/>
                  <w:tcBorders>
                    <w:tl2br w:val="nil"/>
                    <w:tr2bl w:val="nil"/>
                  </w:tcBorders>
                  <w:vAlign w:val="center"/>
                </w:tcPr>
                <w:p>
                  <w:pPr>
                    <w:jc w:val="center"/>
                  </w:pPr>
                  <w:r>
                    <w:rPr>
                      <w:rFonts w:hAnsi="宋体"/>
                    </w:rPr>
                    <w:t>除泥器</w:t>
                  </w:r>
                </w:p>
              </w:tc>
              <w:tc>
                <w:tcPr>
                  <w:tcW w:w="820" w:type="pct"/>
                  <w:tcBorders>
                    <w:tl2br w:val="nil"/>
                    <w:tr2bl w:val="nil"/>
                  </w:tcBorders>
                  <w:vAlign w:val="center"/>
                </w:tcPr>
                <w:p>
                  <w:pPr>
                    <w:jc w:val="center"/>
                  </w:pPr>
                  <w:r>
                    <w:t>45 kW</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28</w:t>
                  </w:r>
                </w:p>
              </w:tc>
              <w:tc>
                <w:tcPr>
                  <w:tcW w:w="1587" w:type="pct"/>
                  <w:tcBorders>
                    <w:tl2br w:val="nil"/>
                    <w:tr2bl w:val="nil"/>
                  </w:tcBorders>
                  <w:vAlign w:val="center"/>
                </w:tcPr>
                <w:p>
                  <w:pPr>
                    <w:jc w:val="center"/>
                  </w:pPr>
                  <w:r>
                    <w:rPr>
                      <w:rFonts w:hAnsi="宋体"/>
                    </w:rPr>
                    <w:t>振动筛</w:t>
                  </w:r>
                </w:p>
              </w:tc>
              <w:tc>
                <w:tcPr>
                  <w:tcW w:w="820" w:type="pct"/>
                  <w:tcBorders>
                    <w:tl2br w:val="nil"/>
                    <w:tr2bl w:val="nil"/>
                  </w:tcBorders>
                  <w:vAlign w:val="center"/>
                </w:tcPr>
                <w:p>
                  <w:pPr>
                    <w:jc w:val="center"/>
                  </w:pPr>
                  <w:r>
                    <w:t>5.5 kW</w:t>
                  </w:r>
                </w:p>
              </w:tc>
              <w:tc>
                <w:tcPr>
                  <w:tcW w:w="804" w:type="pct"/>
                  <w:tcBorders>
                    <w:tl2br w:val="nil"/>
                    <w:tr2bl w:val="nil"/>
                  </w:tcBorders>
                  <w:vAlign w:val="center"/>
                </w:tcPr>
                <w:p>
                  <w:pPr>
                    <w:jc w:val="center"/>
                  </w:pPr>
                  <w:r>
                    <w:t>3</w:t>
                  </w:r>
                </w:p>
              </w:tc>
              <w:tc>
                <w:tcPr>
                  <w:tcW w:w="1399" w:type="pct"/>
                  <w:tcBorders>
                    <w:tl2br w:val="nil"/>
                    <w:tr2bl w:val="nil"/>
                  </w:tcBorders>
                  <w:vAlign w:val="center"/>
                </w:tcPr>
                <w:p>
                  <w:pPr>
                    <w:jc w:val="center"/>
                  </w:pPr>
                  <w:r>
                    <w:rPr>
                      <w:rFonts w:hAnsi="宋体"/>
                    </w:rPr>
                    <w:t>处理量</w:t>
                  </w:r>
                  <w:r>
                    <w:t>≥55L/s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29</w:t>
                  </w:r>
                </w:p>
              </w:tc>
              <w:tc>
                <w:tcPr>
                  <w:tcW w:w="1587" w:type="pct"/>
                  <w:tcBorders>
                    <w:tl2br w:val="nil"/>
                    <w:tr2bl w:val="nil"/>
                  </w:tcBorders>
                  <w:vAlign w:val="center"/>
                </w:tcPr>
                <w:p>
                  <w:pPr>
                    <w:jc w:val="center"/>
                  </w:pPr>
                  <w:r>
                    <w:rPr>
                      <w:rFonts w:hAnsi="宋体"/>
                    </w:rPr>
                    <w:t>除气器</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r>
                    <w:rPr>
                      <w:rFonts w:hAnsi="宋体"/>
                    </w:rPr>
                    <w:t>排气管线接出井场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30</w:t>
                  </w:r>
                </w:p>
              </w:tc>
              <w:tc>
                <w:tcPr>
                  <w:tcW w:w="1587" w:type="pct"/>
                  <w:tcBorders>
                    <w:tl2br w:val="nil"/>
                    <w:tr2bl w:val="nil"/>
                  </w:tcBorders>
                  <w:vAlign w:val="center"/>
                </w:tcPr>
                <w:p>
                  <w:pPr>
                    <w:jc w:val="center"/>
                  </w:pPr>
                  <w:r>
                    <w:rPr>
                      <w:rFonts w:hAnsi="宋体"/>
                    </w:rPr>
                    <w:t>离心机</w:t>
                  </w:r>
                </w:p>
              </w:tc>
              <w:tc>
                <w:tcPr>
                  <w:tcW w:w="820" w:type="pct"/>
                  <w:tcBorders>
                    <w:tl2br w:val="nil"/>
                    <w:tr2bl w:val="nil"/>
                  </w:tcBorders>
                  <w:vAlign w:val="center"/>
                </w:tcPr>
                <w:p>
                  <w:pPr>
                    <w:jc w:val="center"/>
                  </w:pPr>
                  <w:r>
                    <w:t>69 kW</w:t>
                  </w: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31</w:t>
                  </w:r>
                </w:p>
              </w:tc>
              <w:tc>
                <w:tcPr>
                  <w:tcW w:w="1587" w:type="pct"/>
                  <w:tcBorders>
                    <w:tl2br w:val="nil"/>
                    <w:tr2bl w:val="nil"/>
                  </w:tcBorders>
                  <w:vAlign w:val="center"/>
                </w:tcPr>
                <w:p>
                  <w:pPr>
                    <w:jc w:val="center"/>
                  </w:pPr>
                  <w:r>
                    <w:rPr>
                      <w:rFonts w:hAnsi="宋体"/>
                    </w:rPr>
                    <w:t>液压大钳</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32</w:t>
                  </w:r>
                </w:p>
              </w:tc>
              <w:tc>
                <w:tcPr>
                  <w:tcW w:w="1587" w:type="pct"/>
                  <w:tcBorders>
                    <w:tl2br w:val="nil"/>
                    <w:tr2bl w:val="nil"/>
                  </w:tcBorders>
                  <w:vAlign w:val="center"/>
                </w:tcPr>
                <w:p>
                  <w:pPr>
                    <w:jc w:val="center"/>
                  </w:pPr>
                  <w:r>
                    <w:rPr>
                      <w:rFonts w:hAnsi="宋体"/>
                    </w:rPr>
                    <w:t>搅拌机</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49</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33</w:t>
                  </w:r>
                </w:p>
              </w:tc>
              <w:tc>
                <w:tcPr>
                  <w:tcW w:w="1587" w:type="pct"/>
                  <w:tcBorders>
                    <w:tl2br w:val="nil"/>
                    <w:tr2bl w:val="nil"/>
                  </w:tcBorders>
                  <w:vAlign w:val="center"/>
                </w:tcPr>
                <w:p>
                  <w:pPr>
                    <w:jc w:val="center"/>
                  </w:pPr>
                  <w:r>
                    <w:rPr>
                      <w:rFonts w:hAnsi="宋体"/>
                    </w:rPr>
                    <w:t>灌浆装置</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r>
                    <w:rPr>
                      <w:rFonts w:hAnsi="宋体"/>
                    </w:rPr>
                    <w:t>小罐计量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34</w:t>
                  </w:r>
                </w:p>
              </w:tc>
              <w:tc>
                <w:tcPr>
                  <w:tcW w:w="1587" w:type="pct"/>
                  <w:tcBorders>
                    <w:tl2br w:val="nil"/>
                    <w:tr2bl w:val="nil"/>
                  </w:tcBorders>
                  <w:vAlign w:val="center"/>
                </w:tcPr>
                <w:p>
                  <w:pPr>
                    <w:jc w:val="center"/>
                  </w:pPr>
                  <w:r>
                    <w:rPr>
                      <w:rFonts w:hAnsi="宋体"/>
                    </w:rPr>
                    <w:t>循环罐</w:t>
                  </w:r>
                </w:p>
              </w:tc>
              <w:tc>
                <w:tcPr>
                  <w:tcW w:w="820" w:type="pct"/>
                  <w:tcBorders>
                    <w:tl2br w:val="nil"/>
                    <w:tr2bl w:val="nil"/>
                  </w:tcBorders>
                  <w:vAlign w:val="center"/>
                </w:tcPr>
                <w:p>
                  <w:pPr>
                    <w:jc w:val="center"/>
                  </w:pPr>
                  <w:r>
                    <w:t>80 m</w:t>
                  </w:r>
                  <w:r>
                    <w:rPr>
                      <w:vertAlign w:val="superscript"/>
                    </w:rPr>
                    <w:t>3</w:t>
                  </w:r>
                </w:p>
              </w:tc>
              <w:tc>
                <w:tcPr>
                  <w:tcW w:w="804" w:type="pct"/>
                  <w:tcBorders>
                    <w:tl2br w:val="nil"/>
                    <w:tr2bl w:val="nil"/>
                  </w:tcBorders>
                  <w:vAlign w:val="center"/>
                </w:tcPr>
                <w:p>
                  <w:pPr>
                    <w:jc w:val="center"/>
                  </w:pPr>
                  <w:r>
                    <w:t>5</w:t>
                  </w:r>
                </w:p>
              </w:tc>
              <w:tc>
                <w:tcPr>
                  <w:tcW w:w="1399" w:type="pct"/>
                  <w:tcBorders>
                    <w:tl2br w:val="nil"/>
                    <w:tr2bl w:val="nil"/>
                  </w:tcBorders>
                  <w:vAlign w:val="center"/>
                </w:tcPr>
                <w:p>
                  <w:pPr>
                    <w:jc w:val="center"/>
                  </w:pPr>
                  <w:r>
                    <w:rPr>
                      <w:rFonts w:hAnsi="宋体"/>
                    </w:rPr>
                    <w:t>锥形罐除外、带搅拌机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35</w:t>
                  </w:r>
                </w:p>
              </w:tc>
              <w:tc>
                <w:tcPr>
                  <w:tcW w:w="1587" w:type="pct"/>
                  <w:tcBorders>
                    <w:tl2br w:val="nil"/>
                    <w:tr2bl w:val="nil"/>
                  </w:tcBorders>
                  <w:vAlign w:val="center"/>
                </w:tcPr>
                <w:p>
                  <w:pPr>
                    <w:jc w:val="center"/>
                  </w:pPr>
                  <w:r>
                    <w:rPr>
                      <w:rFonts w:hAnsi="宋体"/>
                    </w:rPr>
                    <w:t>储备罐</w:t>
                  </w:r>
                </w:p>
              </w:tc>
              <w:tc>
                <w:tcPr>
                  <w:tcW w:w="820" w:type="pct"/>
                  <w:tcBorders>
                    <w:tl2br w:val="nil"/>
                    <w:tr2bl w:val="nil"/>
                  </w:tcBorders>
                  <w:vAlign w:val="center"/>
                </w:tcPr>
                <w:p>
                  <w:pPr>
                    <w:jc w:val="center"/>
                  </w:pPr>
                  <w:r>
                    <w:t>60 m</w:t>
                  </w:r>
                  <w:r>
                    <w:rPr>
                      <w:vertAlign w:val="superscript"/>
                    </w:rPr>
                    <w:t>3</w:t>
                  </w:r>
                </w:p>
              </w:tc>
              <w:tc>
                <w:tcPr>
                  <w:tcW w:w="804" w:type="pct"/>
                  <w:tcBorders>
                    <w:tl2br w:val="nil"/>
                    <w:tr2bl w:val="nil"/>
                  </w:tcBorders>
                  <w:vAlign w:val="center"/>
                </w:tcPr>
                <w:p>
                  <w:pPr>
                    <w:jc w:val="center"/>
                  </w:pPr>
                  <w:r>
                    <w:t>13</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36</w:t>
                  </w:r>
                </w:p>
              </w:tc>
              <w:tc>
                <w:tcPr>
                  <w:tcW w:w="1587" w:type="pct"/>
                  <w:tcBorders>
                    <w:tl2br w:val="nil"/>
                    <w:tr2bl w:val="nil"/>
                  </w:tcBorders>
                  <w:vAlign w:val="center"/>
                </w:tcPr>
                <w:p>
                  <w:pPr>
                    <w:jc w:val="center"/>
                  </w:pPr>
                  <w:r>
                    <w:rPr>
                      <w:rFonts w:hAnsi="宋体"/>
                    </w:rPr>
                    <w:t>加重装置</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2</w:t>
                  </w:r>
                  <w:r>
                    <w:rPr>
                      <w:rFonts w:hAnsi="宋体"/>
                    </w:rPr>
                    <w:t>套</w:t>
                  </w:r>
                </w:p>
              </w:tc>
              <w:tc>
                <w:tcPr>
                  <w:tcW w:w="1399" w:type="pct"/>
                  <w:tcBorders>
                    <w:tl2br w:val="nil"/>
                    <w:tr2bl w:val="nil"/>
                  </w:tcBorders>
                  <w:vAlign w:val="center"/>
                </w:tcPr>
                <w:p>
                  <w:pPr>
                    <w:jc w:val="center"/>
                  </w:pPr>
                  <w:r>
                    <w:rPr>
                      <w:rFonts w:hAnsi="宋体"/>
                    </w:rPr>
                    <w:t>气动下料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37</w:t>
                  </w:r>
                </w:p>
              </w:tc>
              <w:tc>
                <w:tcPr>
                  <w:tcW w:w="1587" w:type="pct"/>
                  <w:tcBorders>
                    <w:tl2br w:val="nil"/>
                    <w:tr2bl w:val="nil"/>
                  </w:tcBorders>
                  <w:vAlign w:val="center"/>
                </w:tcPr>
                <w:p>
                  <w:pPr>
                    <w:jc w:val="center"/>
                  </w:pPr>
                  <w:r>
                    <w:rPr>
                      <w:rFonts w:hAnsi="宋体"/>
                    </w:rPr>
                    <w:t>钻井参数仪</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38</w:t>
                  </w:r>
                </w:p>
              </w:tc>
              <w:tc>
                <w:tcPr>
                  <w:tcW w:w="1587" w:type="pct"/>
                  <w:tcBorders>
                    <w:tl2br w:val="nil"/>
                    <w:tr2bl w:val="nil"/>
                  </w:tcBorders>
                  <w:vAlign w:val="center"/>
                </w:tcPr>
                <w:p>
                  <w:pPr>
                    <w:jc w:val="center"/>
                  </w:pPr>
                  <w:r>
                    <w:rPr>
                      <w:rFonts w:hAnsi="宋体"/>
                    </w:rPr>
                    <w:t>二层台逃生装置</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pct"/>
                  <w:tcBorders>
                    <w:tl2br w:val="nil"/>
                    <w:tr2bl w:val="nil"/>
                  </w:tcBorders>
                  <w:vAlign w:val="center"/>
                </w:tcPr>
                <w:p>
                  <w:pPr>
                    <w:jc w:val="center"/>
                  </w:pPr>
                  <w:r>
                    <w:t>39</w:t>
                  </w:r>
                </w:p>
              </w:tc>
              <w:tc>
                <w:tcPr>
                  <w:tcW w:w="1587" w:type="pct"/>
                  <w:tcBorders>
                    <w:tl2br w:val="nil"/>
                    <w:tr2bl w:val="nil"/>
                  </w:tcBorders>
                  <w:vAlign w:val="center"/>
                </w:tcPr>
                <w:p>
                  <w:pPr>
                    <w:jc w:val="center"/>
                  </w:pPr>
                  <w:r>
                    <w:rPr>
                      <w:rFonts w:hAnsi="宋体"/>
                    </w:rPr>
                    <w:t>测斜绞车</w:t>
                  </w:r>
                  <w:r>
                    <w:t>/</w:t>
                  </w:r>
                  <w:r>
                    <w:rPr>
                      <w:rFonts w:hAnsi="宋体"/>
                    </w:rPr>
                    <w:t>测斜仪</w:t>
                  </w:r>
                </w:p>
              </w:tc>
              <w:tc>
                <w:tcPr>
                  <w:tcW w:w="820" w:type="pct"/>
                  <w:tcBorders>
                    <w:tl2br w:val="nil"/>
                    <w:tr2bl w:val="nil"/>
                  </w:tcBorders>
                  <w:vAlign w:val="center"/>
                </w:tcPr>
                <w:p>
                  <w:pPr>
                    <w:jc w:val="center"/>
                  </w:pPr>
                </w:p>
              </w:tc>
              <w:tc>
                <w:tcPr>
                  <w:tcW w:w="804" w:type="pct"/>
                  <w:tcBorders>
                    <w:tl2br w:val="nil"/>
                    <w:tr2bl w:val="nil"/>
                  </w:tcBorders>
                  <w:vAlign w:val="center"/>
                </w:tcPr>
                <w:p>
                  <w:pPr>
                    <w:jc w:val="center"/>
                  </w:pPr>
                  <w:r>
                    <w:t>1</w:t>
                  </w:r>
                </w:p>
              </w:tc>
              <w:tc>
                <w:tcPr>
                  <w:tcW w:w="1399" w:type="pct"/>
                  <w:tcBorders>
                    <w:tl2br w:val="nil"/>
                    <w:tr2bl w:val="nil"/>
                  </w:tcBorders>
                  <w:vAlign w:val="center"/>
                </w:tcPr>
                <w:p>
                  <w:pPr>
                    <w:jc w:val="center"/>
                  </w:pPr>
                </w:p>
              </w:tc>
            </w:tr>
          </w:tbl>
          <w:p>
            <w:pPr>
              <w:widowControl/>
              <w:spacing w:line="360" w:lineRule="auto"/>
              <w:ind w:firstLine="480" w:firstLineChars="200"/>
              <w:rPr>
                <w:kern w:val="0"/>
                <w:sz w:val="24"/>
                <w:lang w:bidi="ar"/>
              </w:rPr>
            </w:pPr>
            <w:r>
              <w:rPr>
                <w:rFonts w:hint="eastAsia"/>
                <w:kern w:val="0"/>
                <w:sz w:val="24"/>
                <w:lang w:bidi="ar"/>
              </w:rPr>
              <w:t>（2）储层改造设备</w:t>
            </w:r>
          </w:p>
          <w:p>
            <w:pPr>
              <w:widowControl/>
              <w:spacing w:line="360" w:lineRule="auto"/>
              <w:ind w:firstLine="480" w:firstLineChars="200"/>
              <w:rPr>
                <w:kern w:val="0"/>
                <w:sz w:val="24"/>
                <w:lang w:bidi="ar"/>
              </w:rPr>
            </w:pPr>
            <w:r>
              <w:rPr>
                <w:kern w:val="0"/>
                <w:sz w:val="24"/>
                <w:lang w:bidi="ar"/>
              </w:rPr>
              <w:t>本项目采用压裂酸化改造，压裂液使用酸液，采用清洁酸，主要成分为水、盐酸，设计用酸总量600m</w:t>
            </w:r>
            <w:r>
              <w:rPr>
                <w:kern w:val="0"/>
                <w:sz w:val="24"/>
                <w:vertAlign w:val="superscript"/>
                <w:lang w:bidi="ar"/>
              </w:rPr>
              <w:t>3</w:t>
            </w:r>
            <w:r>
              <w:rPr>
                <w:kern w:val="0"/>
                <w:sz w:val="24"/>
                <w:lang w:bidi="ar"/>
              </w:rPr>
              <w:t>。压裂酸化设备见表2-</w:t>
            </w:r>
            <w:r>
              <w:rPr>
                <w:rFonts w:hint="eastAsia"/>
                <w:kern w:val="0"/>
                <w:sz w:val="24"/>
                <w:lang w:bidi="ar"/>
              </w:rPr>
              <w:t>4</w:t>
            </w:r>
            <w:r>
              <w:rPr>
                <w:kern w:val="0"/>
                <w:sz w:val="24"/>
                <w:lang w:bidi="ar"/>
              </w:rPr>
              <w:t>。</w:t>
            </w:r>
          </w:p>
          <w:p>
            <w:pPr>
              <w:pStyle w:val="20"/>
              <w:numPr>
                <w:ilvl w:val="0"/>
                <w:numId w:val="5"/>
              </w:numPr>
              <w:tabs>
                <w:tab w:val="left" w:pos="0"/>
                <w:tab w:val="left" w:pos="833"/>
              </w:tabs>
              <w:spacing w:before="0" w:after="0" w:line="360" w:lineRule="auto"/>
              <w:ind w:left="0" w:right="0" w:firstLine="0"/>
              <w:jc w:val="center"/>
              <w:rPr>
                <w:b/>
                <w:bCs/>
                <w:sz w:val="24"/>
                <w:szCs w:val="24"/>
              </w:rPr>
            </w:pPr>
            <w:r>
              <w:rPr>
                <w:b/>
                <w:bCs/>
                <w:sz w:val="24"/>
                <w:szCs w:val="24"/>
              </w:rPr>
              <w:t xml:space="preserve"> 压裂酸化设备一览表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628"/>
              <w:gridCol w:w="1585"/>
              <w:gridCol w:w="628"/>
              <w:gridCol w:w="628"/>
              <w:gridCol w:w="5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rPr>
                      <w:lang w:val="zh-CN"/>
                    </w:rPr>
                    <w:t>序号</w:t>
                  </w:r>
                </w:p>
              </w:tc>
              <w:tc>
                <w:tcPr>
                  <w:tcW w:w="926" w:type="pct"/>
                  <w:tcBorders>
                    <w:tl2br w:val="nil"/>
                    <w:tr2bl w:val="nil"/>
                  </w:tcBorders>
                  <w:vAlign w:val="center"/>
                </w:tcPr>
                <w:p>
                  <w:pPr>
                    <w:jc w:val="center"/>
                  </w:pPr>
                  <w:r>
                    <w:rPr>
                      <w:lang w:val="zh-CN"/>
                    </w:rPr>
                    <w:t>设备名称</w:t>
                  </w:r>
                </w:p>
              </w:tc>
              <w:tc>
                <w:tcPr>
                  <w:tcW w:w="367" w:type="pct"/>
                  <w:tcBorders>
                    <w:tl2br w:val="nil"/>
                    <w:tr2bl w:val="nil"/>
                  </w:tcBorders>
                  <w:vAlign w:val="center"/>
                </w:tcPr>
                <w:p>
                  <w:pPr>
                    <w:jc w:val="center"/>
                  </w:pPr>
                  <w:r>
                    <w:rPr>
                      <w:lang w:val="zh-CN"/>
                    </w:rPr>
                    <w:t>单位</w:t>
                  </w:r>
                </w:p>
              </w:tc>
              <w:tc>
                <w:tcPr>
                  <w:tcW w:w="367" w:type="pct"/>
                  <w:tcBorders>
                    <w:tl2br w:val="nil"/>
                    <w:tr2bl w:val="nil"/>
                  </w:tcBorders>
                  <w:vAlign w:val="center"/>
                </w:tcPr>
                <w:p>
                  <w:pPr>
                    <w:jc w:val="center"/>
                  </w:pPr>
                  <w:r>
                    <w:rPr>
                      <w:lang w:val="zh-CN"/>
                    </w:rPr>
                    <w:t>数量</w:t>
                  </w:r>
                </w:p>
              </w:tc>
              <w:tc>
                <w:tcPr>
                  <w:tcW w:w="2973" w:type="pct"/>
                  <w:tcBorders>
                    <w:tl2br w:val="nil"/>
                    <w:tr2bl w:val="nil"/>
                  </w:tcBorders>
                  <w:vAlign w:val="center"/>
                </w:tcPr>
                <w:p>
                  <w:pPr>
                    <w:jc w:val="center"/>
                  </w:pPr>
                  <w:r>
                    <w:rPr>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1</w:t>
                  </w:r>
                </w:p>
              </w:tc>
              <w:tc>
                <w:tcPr>
                  <w:tcW w:w="926" w:type="pct"/>
                  <w:tcBorders>
                    <w:tl2br w:val="nil"/>
                    <w:tr2bl w:val="nil"/>
                  </w:tcBorders>
                  <w:vAlign w:val="center"/>
                </w:tcPr>
                <w:p>
                  <w:pPr>
                    <w:jc w:val="center"/>
                  </w:pPr>
                  <w:r>
                    <w:rPr>
                      <w:lang w:val="zh-CN"/>
                    </w:rPr>
                    <w:t>压裂泵车</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rPr>
                      <w:rFonts w:hint="eastAsia"/>
                    </w:rPr>
                    <w:t>12</w:t>
                  </w:r>
                </w:p>
              </w:tc>
              <w:tc>
                <w:tcPr>
                  <w:tcW w:w="2973" w:type="pct"/>
                  <w:tcBorders>
                    <w:tl2br w:val="nil"/>
                    <w:tr2bl w:val="nil"/>
                  </w:tcBorders>
                  <w:vAlign w:val="center"/>
                </w:tcPr>
                <w:p>
                  <w:pPr>
                    <w:jc w:val="center"/>
                  </w:pPr>
                  <w:r>
                    <w:rPr>
                      <w:lang w:val="zh-CN"/>
                    </w:rPr>
                    <w:t>满足改造需要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2</w:t>
                  </w:r>
                </w:p>
              </w:tc>
              <w:tc>
                <w:tcPr>
                  <w:tcW w:w="926" w:type="pct"/>
                  <w:tcBorders>
                    <w:tl2br w:val="nil"/>
                    <w:tr2bl w:val="nil"/>
                  </w:tcBorders>
                  <w:vAlign w:val="center"/>
                </w:tcPr>
                <w:p>
                  <w:pPr>
                    <w:jc w:val="center"/>
                  </w:pPr>
                  <w:r>
                    <w:rPr>
                      <w:lang w:val="zh-CN"/>
                    </w:rPr>
                    <w:t>仪表车</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3</w:t>
                  </w:r>
                </w:p>
              </w:tc>
              <w:tc>
                <w:tcPr>
                  <w:tcW w:w="926" w:type="pct"/>
                  <w:tcBorders>
                    <w:tl2br w:val="nil"/>
                    <w:tr2bl w:val="nil"/>
                  </w:tcBorders>
                  <w:vAlign w:val="center"/>
                </w:tcPr>
                <w:p>
                  <w:pPr>
                    <w:jc w:val="center"/>
                  </w:pPr>
                  <w:r>
                    <w:rPr>
                      <w:lang w:val="zh-CN"/>
                    </w:rPr>
                    <w:t>管汇车</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4</w:t>
                  </w:r>
                </w:p>
              </w:tc>
              <w:tc>
                <w:tcPr>
                  <w:tcW w:w="926" w:type="pct"/>
                  <w:tcBorders>
                    <w:tl2br w:val="nil"/>
                    <w:tr2bl w:val="nil"/>
                  </w:tcBorders>
                  <w:vAlign w:val="center"/>
                </w:tcPr>
                <w:p>
                  <w:pPr>
                    <w:jc w:val="center"/>
                  </w:pPr>
                  <w:r>
                    <w:rPr>
                      <w:lang w:val="zh-CN"/>
                    </w:rPr>
                    <w:t>撬装酸泵</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2</w:t>
                  </w:r>
                </w:p>
              </w:tc>
              <w:tc>
                <w:tcPr>
                  <w:tcW w:w="2973" w:type="pct"/>
                  <w:tcBorders>
                    <w:tl2br w:val="nil"/>
                    <w:tr2bl w:val="nil"/>
                  </w:tcBorders>
                  <w:vAlign w:val="center"/>
                </w:tcPr>
                <w:p>
                  <w:pPr>
                    <w:jc w:val="center"/>
                  </w:pPr>
                  <w:r>
                    <w:rPr>
                      <w:lang w:val="zh-CN"/>
                    </w:rPr>
                    <w:t>满足酸液配制及大排量循环需要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5</w:t>
                  </w:r>
                </w:p>
              </w:tc>
              <w:tc>
                <w:tcPr>
                  <w:tcW w:w="926" w:type="pct"/>
                  <w:tcBorders>
                    <w:tl2br w:val="nil"/>
                    <w:tr2bl w:val="nil"/>
                  </w:tcBorders>
                  <w:vAlign w:val="center"/>
                </w:tcPr>
                <w:p>
                  <w:pPr>
                    <w:jc w:val="center"/>
                  </w:pPr>
                  <w:r>
                    <w:rPr>
                      <w:lang w:val="zh-CN"/>
                    </w:rPr>
                    <w:t>灌注泵</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6</w:t>
                  </w:r>
                </w:p>
              </w:tc>
              <w:tc>
                <w:tcPr>
                  <w:tcW w:w="926" w:type="pct"/>
                  <w:tcBorders>
                    <w:tl2br w:val="nil"/>
                    <w:tr2bl w:val="nil"/>
                  </w:tcBorders>
                  <w:vAlign w:val="center"/>
                </w:tcPr>
                <w:p>
                  <w:pPr>
                    <w:jc w:val="center"/>
                  </w:pPr>
                  <w:r>
                    <w:t>700</w:t>
                  </w:r>
                  <w:r>
                    <w:rPr>
                      <w:lang w:val="zh-CN"/>
                    </w:rPr>
                    <w:t>型平衡泵车</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r>
                    <w:rPr>
                      <w:lang w:val="zh-CN"/>
                    </w:rPr>
                    <w:t>打平衡用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7</w:t>
                  </w:r>
                </w:p>
              </w:tc>
              <w:tc>
                <w:tcPr>
                  <w:tcW w:w="926" w:type="pct"/>
                  <w:tcBorders>
                    <w:tl2br w:val="nil"/>
                    <w:tr2bl w:val="nil"/>
                  </w:tcBorders>
                  <w:vAlign w:val="center"/>
                </w:tcPr>
                <w:p>
                  <w:pPr>
                    <w:jc w:val="center"/>
                  </w:pPr>
                  <w:r>
                    <w:t>酸罐</w:t>
                  </w:r>
                </w:p>
              </w:tc>
              <w:tc>
                <w:tcPr>
                  <w:tcW w:w="367" w:type="pct"/>
                  <w:tcBorders>
                    <w:tl2br w:val="nil"/>
                    <w:tr2bl w:val="nil"/>
                  </w:tcBorders>
                  <w:vAlign w:val="center"/>
                </w:tcPr>
                <w:p>
                  <w:pPr>
                    <w:jc w:val="center"/>
                  </w:pPr>
                  <w:r>
                    <w:rPr>
                      <w:lang w:val="zh-CN"/>
                    </w:rPr>
                    <w:t>具</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r>
                    <w:rPr>
                      <w:lang w:val="zh-CN"/>
                    </w:rPr>
                    <w:t>满足施工要求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8</w:t>
                  </w:r>
                </w:p>
              </w:tc>
              <w:tc>
                <w:tcPr>
                  <w:tcW w:w="926" w:type="pct"/>
                  <w:tcBorders>
                    <w:tl2br w:val="nil"/>
                    <w:tr2bl w:val="nil"/>
                  </w:tcBorders>
                  <w:vAlign w:val="center"/>
                </w:tcPr>
                <w:p>
                  <w:pPr>
                    <w:jc w:val="center"/>
                  </w:pPr>
                  <w:r>
                    <w:rPr>
                      <w:lang w:val="zh-CN"/>
                    </w:rPr>
                    <w:t>液罐</w:t>
                  </w:r>
                </w:p>
              </w:tc>
              <w:tc>
                <w:tcPr>
                  <w:tcW w:w="367" w:type="pct"/>
                  <w:tcBorders>
                    <w:tl2br w:val="nil"/>
                    <w:tr2bl w:val="nil"/>
                  </w:tcBorders>
                  <w:vAlign w:val="center"/>
                </w:tcPr>
                <w:p>
                  <w:pPr>
                    <w:jc w:val="center"/>
                  </w:pPr>
                  <w:r>
                    <w:rPr>
                      <w:lang w:val="zh-CN"/>
                    </w:rPr>
                    <w:t>具</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r>
                    <w:rPr>
                      <w:lang w:val="zh-CN"/>
                    </w:rPr>
                    <w:t>满足施工要求，</w:t>
                  </w:r>
                  <w:r>
                    <w:t>活性水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9</w:t>
                  </w:r>
                </w:p>
              </w:tc>
              <w:tc>
                <w:tcPr>
                  <w:tcW w:w="926" w:type="pct"/>
                  <w:tcBorders>
                    <w:tl2br w:val="nil"/>
                    <w:tr2bl w:val="nil"/>
                  </w:tcBorders>
                  <w:vAlign w:val="center"/>
                </w:tcPr>
                <w:p>
                  <w:pPr>
                    <w:jc w:val="center"/>
                  </w:pPr>
                  <w:r>
                    <w:rPr>
                      <w:lang w:val="zh-CN"/>
                    </w:rPr>
                    <w:t>随车吊</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10</w:t>
                  </w:r>
                </w:p>
              </w:tc>
              <w:tc>
                <w:tcPr>
                  <w:tcW w:w="926" w:type="pct"/>
                  <w:tcBorders>
                    <w:tl2br w:val="nil"/>
                    <w:tr2bl w:val="nil"/>
                  </w:tcBorders>
                  <w:vAlign w:val="center"/>
                </w:tcPr>
                <w:p>
                  <w:pPr>
                    <w:jc w:val="center"/>
                  </w:pPr>
                  <w:r>
                    <w:t>30t</w:t>
                  </w:r>
                  <w:r>
                    <w:rPr>
                      <w:lang w:val="zh-CN"/>
                    </w:rPr>
                    <w:t>吊车</w:t>
                  </w:r>
                </w:p>
              </w:tc>
              <w:tc>
                <w:tcPr>
                  <w:tcW w:w="367" w:type="pct"/>
                  <w:tcBorders>
                    <w:tl2br w:val="nil"/>
                    <w:tr2bl w:val="nil"/>
                  </w:tcBorders>
                  <w:vAlign w:val="center"/>
                </w:tcPr>
                <w:p>
                  <w:pPr>
                    <w:jc w:val="cente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jc w:val="center"/>
                  </w:pPr>
                  <w:r>
                    <w:t>11</w:t>
                  </w:r>
                </w:p>
              </w:tc>
              <w:tc>
                <w:tcPr>
                  <w:tcW w:w="926" w:type="pct"/>
                  <w:tcBorders>
                    <w:tl2br w:val="nil"/>
                    <w:tr2bl w:val="nil"/>
                  </w:tcBorders>
                  <w:vAlign w:val="center"/>
                </w:tcPr>
                <w:p>
                  <w:pPr>
                    <w:jc w:val="center"/>
                  </w:pPr>
                  <w:r>
                    <w:t>液氮泵车</w:t>
                  </w:r>
                </w:p>
              </w:tc>
              <w:tc>
                <w:tcPr>
                  <w:tcW w:w="367" w:type="pct"/>
                  <w:tcBorders>
                    <w:tl2br w:val="nil"/>
                    <w:tr2bl w:val="nil"/>
                  </w:tcBorders>
                  <w:vAlign w:val="center"/>
                </w:tcPr>
                <w:p>
                  <w:pPr>
                    <w:jc w:val="center"/>
                    <w:rPr>
                      <w:lang w:val="zh-CN"/>
                    </w:rPr>
                  </w:pPr>
                  <w:r>
                    <w:rPr>
                      <w:lang w:val="zh-CN"/>
                    </w:rPr>
                    <w:t>台</w:t>
                  </w:r>
                </w:p>
              </w:tc>
              <w:tc>
                <w:tcPr>
                  <w:tcW w:w="367" w:type="pct"/>
                  <w:tcBorders>
                    <w:tl2br w:val="nil"/>
                    <w:tr2bl w:val="nil"/>
                  </w:tcBorders>
                  <w:vAlign w:val="center"/>
                </w:tcPr>
                <w:p>
                  <w:pPr>
                    <w:jc w:val="center"/>
                  </w:pPr>
                  <w:r>
                    <w:t>1</w:t>
                  </w:r>
                </w:p>
              </w:tc>
              <w:tc>
                <w:tcPr>
                  <w:tcW w:w="2973" w:type="pct"/>
                  <w:tcBorders>
                    <w:tl2br w:val="nil"/>
                    <w:tr2bl w:val="nil"/>
                  </w:tcBorders>
                  <w:vAlign w:val="center"/>
                </w:tcPr>
                <w:p>
                  <w:pPr>
                    <w:jc w:val="center"/>
                  </w:pPr>
                  <w:r>
                    <w:rPr>
                      <w:lang w:val="zh-CN"/>
                    </w:rPr>
                    <w:t>满足施工要求</w:t>
                  </w:r>
                </w:p>
              </w:tc>
            </w:tr>
          </w:tbl>
          <w:p>
            <w:pPr>
              <w:spacing w:line="360" w:lineRule="auto"/>
              <w:rPr>
                <w:b/>
                <w:sz w:val="24"/>
              </w:rPr>
            </w:pPr>
            <w:r>
              <w:rPr>
                <w:b/>
                <w:sz w:val="24"/>
              </w:rPr>
              <w:t>2.6主要原辅材料及能源消耗情况</w:t>
            </w:r>
          </w:p>
          <w:p>
            <w:pPr>
              <w:widowControl/>
              <w:spacing w:line="360" w:lineRule="auto"/>
              <w:ind w:firstLine="482" w:firstLineChars="200"/>
              <w:rPr>
                <w:b/>
                <w:bCs/>
                <w:kern w:val="0"/>
                <w:sz w:val="24"/>
                <w:lang w:bidi="ar"/>
              </w:rPr>
            </w:pPr>
            <w:r>
              <w:rPr>
                <w:b/>
                <w:bCs/>
                <w:kern w:val="0"/>
                <w:sz w:val="24"/>
                <w:lang w:bidi="ar"/>
              </w:rPr>
              <w:t>（1）主要原辅材料、能源消耗及来源统计</w:t>
            </w:r>
          </w:p>
          <w:p>
            <w:pPr>
              <w:widowControl/>
              <w:spacing w:line="360" w:lineRule="auto"/>
              <w:ind w:firstLine="480" w:firstLineChars="200"/>
              <w:rPr>
                <w:kern w:val="0"/>
                <w:sz w:val="24"/>
                <w:lang w:bidi="ar"/>
              </w:rPr>
            </w:pPr>
            <w:r>
              <w:rPr>
                <w:rFonts w:hint="eastAsia"/>
                <w:kern w:val="0"/>
                <w:sz w:val="24"/>
                <w:lang w:bidi="ar"/>
              </w:rPr>
              <w:t>铁北1侧HF井</w:t>
            </w:r>
            <w:r>
              <w:rPr>
                <w:kern w:val="0"/>
                <w:sz w:val="24"/>
                <w:lang w:bidi="ar"/>
              </w:rPr>
              <w:t>钻井工程钻井液材料用量设计见表2-</w:t>
            </w:r>
            <w:r>
              <w:rPr>
                <w:rFonts w:hint="eastAsia"/>
                <w:kern w:val="0"/>
                <w:sz w:val="24"/>
                <w:lang w:bidi="ar"/>
              </w:rPr>
              <w:t>5</w:t>
            </w:r>
            <w:r>
              <w:rPr>
                <w:kern w:val="0"/>
                <w:sz w:val="24"/>
                <w:lang w:bidi="ar"/>
              </w:rPr>
              <w:t>，</w:t>
            </w:r>
            <w:r>
              <w:rPr>
                <w:rFonts w:hint="eastAsia"/>
                <w:kern w:val="0"/>
                <w:sz w:val="24"/>
                <w:lang w:bidi="ar"/>
              </w:rPr>
              <w:t>导眼段</w:t>
            </w:r>
            <w:r>
              <w:rPr>
                <w:kern w:val="0"/>
                <w:sz w:val="24"/>
                <w:lang w:bidi="ar"/>
              </w:rPr>
              <w:t>采用水基钻井液钻井（不使用</w:t>
            </w:r>
            <w:r>
              <w:rPr>
                <w:rFonts w:hint="eastAsia"/>
                <w:kern w:val="0"/>
                <w:sz w:val="24"/>
                <w:lang w:bidi="ar"/>
              </w:rPr>
              <w:t>聚磺体系</w:t>
            </w:r>
            <w:r>
              <w:rPr>
                <w:kern w:val="0"/>
                <w:sz w:val="24"/>
                <w:lang w:bidi="ar"/>
              </w:rPr>
              <w:t>钻井液），</w:t>
            </w:r>
            <w:r>
              <w:rPr>
                <w:rFonts w:hint="eastAsia"/>
                <w:kern w:val="0"/>
                <w:sz w:val="24"/>
                <w:lang w:bidi="ar"/>
              </w:rPr>
              <w:t>水平段</w:t>
            </w:r>
            <w:r>
              <w:rPr>
                <w:kern w:val="0"/>
                <w:sz w:val="24"/>
                <w:lang w:bidi="ar"/>
              </w:rPr>
              <w:t>采用油基钻井液进行钻井。钻井过程消耗的原辅料及能源主要有水、水泥、防塌润滑剂、降失水剂，以及污水处理用的净水剂等。</w:t>
            </w:r>
          </w:p>
          <w:p>
            <w:pPr>
              <w:widowControl/>
              <w:spacing w:line="360" w:lineRule="auto"/>
              <w:ind w:firstLine="480" w:firstLineChars="200"/>
              <w:rPr>
                <w:kern w:val="0"/>
                <w:sz w:val="24"/>
                <w:lang w:bidi="ar"/>
              </w:rPr>
            </w:pPr>
            <w:r>
              <w:rPr>
                <w:kern w:val="0"/>
                <w:sz w:val="24"/>
                <w:lang w:bidi="ar"/>
              </w:rPr>
              <w:t>本工程采用材料用量见下表。</w:t>
            </w:r>
          </w:p>
          <w:p>
            <w:pPr>
              <w:pStyle w:val="20"/>
              <w:numPr>
                <w:ilvl w:val="0"/>
                <w:numId w:val="5"/>
              </w:numPr>
              <w:tabs>
                <w:tab w:val="left" w:pos="0"/>
                <w:tab w:val="left" w:pos="833"/>
              </w:tabs>
              <w:spacing w:before="0" w:after="0" w:line="360" w:lineRule="auto"/>
              <w:ind w:left="0" w:right="0" w:firstLine="0"/>
              <w:jc w:val="center"/>
              <w:rPr>
                <w:b/>
                <w:bCs/>
                <w:sz w:val="24"/>
                <w:szCs w:val="24"/>
              </w:rPr>
            </w:pPr>
            <w:r>
              <w:rPr>
                <w:rFonts w:hint="eastAsia"/>
                <w:b/>
                <w:bCs/>
                <w:sz w:val="24"/>
                <w:szCs w:val="24"/>
              </w:rPr>
              <w:t>铁北1侧HF井</w:t>
            </w:r>
            <w:r>
              <w:rPr>
                <w:b/>
                <w:bCs/>
                <w:sz w:val="24"/>
                <w:szCs w:val="24"/>
              </w:rPr>
              <w:t>钻井工程钻井液材料用量设计</w:t>
            </w:r>
          </w:p>
          <w:tbl>
            <w:tblPr>
              <w:tblStyle w:val="45"/>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914"/>
              <w:gridCol w:w="2039"/>
              <w:gridCol w:w="1185"/>
              <w:gridCol w:w="1186"/>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tcBorders>
                    <w:tl2br w:val="nil"/>
                    <w:tr2bl w:val="nil"/>
                  </w:tcBorders>
                  <w:vAlign w:val="center"/>
                </w:tcPr>
                <w:p>
                  <w:pPr>
                    <w:jc w:val="center"/>
                    <w:rPr>
                      <w:b/>
                      <w:szCs w:val="21"/>
                    </w:rPr>
                  </w:pPr>
                  <w:r>
                    <w:rPr>
                      <w:rFonts w:hint="eastAsia"/>
                      <w:b/>
                      <w:szCs w:val="21"/>
                    </w:rPr>
                    <w:t>类型</w:t>
                  </w:r>
                </w:p>
              </w:tc>
              <w:tc>
                <w:tcPr>
                  <w:tcW w:w="1914" w:type="dxa"/>
                  <w:tcBorders>
                    <w:tl2br w:val="nil"/>
                    <w:tr2bl w:val="nil"/>
                  </w:tcBorders>
                  <w:vAlign w:val="center"/>
                </w:tcPr>
                <w:p>
                  <w:pPr>
                    <w:jc w:val="center"/>
                    <w:rPr>
                      <w:b/>
                      <w:szCs w:val="21"/>
                    </w:rPr>
                  </w:pPr>
                  <w:r>
                    <w:rPr>
                      <w:rFonts w:hint="eastAsia"/>
                      <w:b/>
                      <w:szCs w:val="21"/>
                    </w:rPr>
                    <w:t>材料名称</w:t>
                  </w:r>
                </w:p>
              </w:tc>
              <w:tc>
                <w:tcPr>
                  <w:tcW w:w="2039" w:type="dxa"/>
                  <w:tcBorders>
                    <w:tl2br w:val="nil"/>
                    <w:tr2bl w:val="nil"/>
                  </w:tcBorders>
                  <w:vAlign w:val="center"/>
                </w:tcPr>
                <w:p>
                  <w:pPr>
                    <w:jc w:val="center"/>
                    <w:rPr>
                      <w:b/>
                      <w:szCs w:val="21"/>
                    </w:rPr>
                  </w:pPr>
                  <w:r>
                    <w:rPr>
                      <w:rFonts w:hint="eastAsia"/>
                      <w:b/>
                      <w:szCs w:val="21"/>
                    </w:rPr>
                    <w:t>钻井总用量t</w:t>
                  </w:r>
                </w:p>
              </w:tc>
              <w:tc>
                <w:tcPr>
                  <w:tcW w:w="1185" w:type="dxa"/>
                  <w:tcBorders>
                    <w:tl2br w:val="nil"/>
                    <w:tr2bl w:val="nil"/>
                  </w:tcBorders>
                  <w:vAlign w:val="center"/>
                </w:tcPr>
                <w:p>
                  <w:pPr>
                    <w:jc w:val="center"/>
                    <w:rPr>
                      <w:b/>
                      <w:szCs w:val="21"/>
                    </w:rPr>
                  </w:pPr>
                  <w:r>
                    <w:rPr>
                      <w:rFonts w:hint="eastAsia"/>
                      <w:b/>
                      <w:szCs w:val="21"/>
                    </w:rPr>
                    <w:t>暂存量t</w:t>
                  </w:r>
                </w:p>
              </w:tc>
              <w:tc>
                <w:tcPr>
                  <w:tcW w:w="1186" w:type="dxa"/>
                  <w:tcBorders>
                    <w:tl2br w:val="nil"/>
                    <w:tr2bl w:val="nil"/>
                  </w:tcBorders>
                  <w:vAlign w:val="center"/>
                </w:tcPr>
                <w:p>
                  <w:pPr>
                    <w:jc w:val="center"/>
                    <w:rPr>
                      <w:b/>
                      <w:szCs w:val="21"/>
                    </w:rPr>
                  </w:pPr>
                  <w:r>
                    <w:rPr>
                      <w:rFonts w:hint="eastAsia"/>
                      <w:b/>
                      <w:szCs w:val="21"/>
                    </w:rPr>
                    <w:t>储存方式</w:t>
                  </w:r>
                </w:p>
              </w:tc>
              <w:tc>
                <w:tcPr>
                  <w:tcW w:w="1423" w:type="dxa"/>
                  <w:tcBorders>
                    <w:tl2br w:val="nil"/>
                    <w:tr2bl w:val="nil"/>
                  </w:tcBorders>
                  <w:vAlign w:val="center"/>
                </w:tcPr>
                <w:p>
                  <w:pPr>
                    <w:jc w:val="center"/>
                    <w:rPr>
                      <w:b/>
                      <w:szCs w:val="21"/>
                    </w:rPr>
                  </w:pPr>
                  <w:r>
                    <w:rPr>
                      <w:rFonts w:hint="eastAsia"/>
                      <w:b/>
                      <w:szCs w:val="21"/>
                    </w:rPr>
                    <w:t>暂存位置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tcBorders>
                    <w:tl2br w:val="nil"/>
                    <w:tr2bl w:val="nil"/>
                  </w:tcBorders>
                  <w:vAlign w:val="center"/>
                </w:tcPr>
                <w:p>
                  <w:pPr>
                    <w:jc w:val="center"/>
                    <w:rPr>
                      <w:bCs/>
                      <w:szCs w:val="21"/>
                    </w:rPr>
                  </w:pPr>
                  <w:r>
                    <w:rPr>
                      <w:rFonts w:hint="eastAsia"/>
                      <w:bCs/>
                      <w:szCs w:val="21"/>
                    </w:rPr>
                    <w:t>能源</w:t>
                  </w:r>
                </w:p>
              </w:tc>
              <w:tc>
                <w:tcPr>
                  <w:tcW w:w="1914" w:type="dxa"/>
                  <w:tcBorders>
                    <w:tl2br w:val="nil"/>
                    <w:tr2bl w:val="nil"/>
                  </w:tcBorders>
                  <w:vAlign w:val="center"/>
                </w:tcPr>
                <w:p>
                  <w:pPr>
                    <w:jc w:val="center"/>
                    <w:rPr>
                      <w:bCs/>
                      <w:szCs w:val="21"/>
                    </w:rPr>
                  </w:pPr>
                  <w:r>
                    <w:rPr>
                      <w:rFonts w:hint="eastAsia"/>
                      <w:bCs/>
                      <w:szCs w:val="21"/>
                    </w:rPr>
                    <w:t>柴油</w:t>
                  </w:r>
                </w:p>
              </w:tc>
              <w:tc>
                <w:tcPr>
                  <w:tcW w:w="2039" w:type="dxa"/>
                  <w:tcBorders>
                    <w:tl2br w:val="nil"/>
                    <w:tr2bl w:val="nil"/>
                  </w:tcBorders>
                  <w:vAlign w:val="center"/>
                </w:tcPr>
                <w:p>
                  <w:pPr>
                    <w:jc w:val="center"/>
                    <w:rPr>
                      <w:rFonts w:hint="default" w:eastAsia="宋体"/>
                      <w:bCs/>
                      <w:szCs w:val="21"/>
                      <w:lang w:val="en-US" w:eastAsia="zh-CN"/>
                    </w:rPr>
                  </w:pPr>
                  <w:r>
                    <w:rPr>
                      <w:rFonts w:hint="eastAsia"/>
                      <w:bCs/>
                      <w:szCs w:val="21"/>
                      <w:lang w:val="en-US" w:eastAsia="zh-CN"/>
                    </w:rPr>
                    <w:t>16</w:t>
                  </w:r>
                </w:p>
              </w:tc>
              <w:tc>
                <w:tcPr>
                  <w:tcW w:w="1185" w:type="dxa"/>
                  <w:tcBorders>
                    <w:tl2br w:val="nil"/>
                    <w:tr2bl w:val="nil"/>
                  </w:tcBorders>
                  <w:vAlign w:val="center"/>
                </w:tcPr>
                <w:p>
                  <w:pPr>
                    <w:jc w:val="center"/>
                    <w:rPr>
                      <w:rFonts w:hint="default" w:eastAsia="宋体"/>
                      <w:bCs/>
                      <w:szCs w:val="21"/>
                      <w:lang w:val="en-US" w:eastAsia="zh-CN"/>
                    </w:rPr>
                  </w:pPr>
                  <w:r>
                    <w:rPr>
                      <w:rFonts w:hint="eastAsia"/>
                      <w:bCs/>
                      <w:szCs w:val="21"/>
                      <w:lang w:val="en-US" w:eastAsia="zh-CN"/>
                    </w:rPr>
                    <w:t>10</w:t>
                  </w:r>
                </w:p>
              </w:tc>
              <w:tc>
                <w:tcPr>
                  <w:tcW w:w="1186" w:type="dxa"/>
                  <w:tcBorders>
                    <w:tl2br w:val="nil"/>
                    <w:tr2bl w:val="nil"/>
                  </w:tcBorders>
                  <w:vAlign w:val="center"/>
                </w:tcPr>
                <w:p>
                  <w:pPr>
                    <w:jc w:val="center"/>
                    <w:rPr>
                      <w:bCs/>
                      <w:szCs w:val="21"/>
                    </w:rPr>
                  </w:pPr>
                  <w:r>
                    <w:rPr>
                      <w:rFonts w:hint="eastAsia"/>
                      <w:bCs/>
                      <w:szCs w:val="21"/>
                    </w:rPr>
                    <w:t>罐装20m</w:t>
                  </w:r>
                  <w:r>
                    <w:rPr>
                      <w:rFonts w:hint="eastAsia"/>
                      <w:bCs/>
                      <w:szCs w:val="21"/>
                      <w:vertAlign w:val="superscript"/>
                    </w:rPr>
                    <w:t>3</w:t>
                  </w:r>
                  <w:r>
                    <w:rPr>
                      <w:rFonts w:hint="eastAsia"/>
                      <w:bCs/>
                      <w:szCs w:val="21"/>
                    </w:rPr>
                    <w:t>/个</w:t>
                  </w:r>
                </w:p>
              </w:tc>
              <w:tc>
                <w:tcPr>
                  <w:tcW w:w="1423" w:type="dxa"/>
                  <w:tcBorders>
                    <w:tl2br w:val="nil"/>
                    <w:tr2bl w:val="nil"/>
                  </w:tcBorders>
                  <w:vAlign w:val="center"/>
                </w:tcPr>
                <w:p>
                  <w:pPr>
                    <w:jc w:val="center"/>
                    <w:rPr>
                      <w:bCs/>
                      <w:szCs w:val="21"/>
                    </w:rPr>
                  </w:pPr>
                  <w:r>
                    <w:rPr>
                      <w:rFonts w:hint="eastAsia"/>
                      <w:bCs/>
                      <w:szCs w:val="21"/>
                    </w:rPr>
                    <w:t>油罐区，设置围堰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szCs w:val="21"/>
                    </w:rPr>
                  </w:pPr>
                  <w:r>
                    <w:rPr>
                      <w:rFonts w:hint="eastAsia"/>
                      <w:bCs/>
                      <w:szCs w:val="21"/>
                    </w:rPr>
                    <w:t>水基泥浆</w:t>
                  </w:r>
                </w:p>
              </w:tc>
              <w:tc>
                <w:tcPr>
                  <w:tcW w:w="1914" w:type="dxa"/>
                  <w:tcBorders>
                    <w:tl2br w:val="nil"/>
                    <w:tr2bl w:val="nil"/>
                  </w:tcBorders>
                  <w:vAlign w:val="center"/>
                </w:tcPr>
                <w:p>
                  <w:pPr>
                    <w:jc w:val="center"/>
                    <w:rPr>
                      <w:bCs/>
                      <w:szCs w:val="21"/>
                    </w:rPr>
                  </w:pPr>
                  <w:r>
                    <w:rPr>
                      <w:rFonts w:hint="eastAsia"/>
                      <w:bCs/>
                      <w:szCs w:val="21"/>
                    </w:rPr>
                    <w:t>膨润土</w:t>
                  </w:r>
                </w:p>
              </w:tc>
              <w:tc>
                <w:tcPr>
                  <w:tcW w:w="2039" w:type="dxa"/>
                  <w:tcBorders>
                    <w:tl2br w:val="nil"/>
                    <w:tr2bl w:val="nil"/>
                  </w:tcBorders>
                  <w:vAlign w:val="center"/>
                </w:tcPr>
                <w:p>
                  <w:pPr>
                    <w:jc w:val="center"/>
                    <w:rPr>
                      <w:bCs/>
                      <w:szCs w:val="21"/>
                    </w:rPr>
                  </w:pPr>
                  <w:r>
                    <w:rPr>
                      <w:szCs w:val="21"/>
                    </w:rPr>
                    <w:t>16.2</w:t>
                  </w:r>
                </w:p>
              </w:tc>
              <w:tc>
                <w:tcPr>
                  <w:tcW w:w="1185" w:type="dxa"/>
                  <w:tcBorders>
                    <w:tl2br w:val="nil"/>
                    <w:tr2bl w:val="nil"/>
                  </w:tcBorders>
                  <w:vAlign w:val="center"/>
                </w:tcPr>
                <w:p>
                  <w:pPr>
                    <w:jc w:val="center"/>
                    <w:rPr>
                      <w:bCs/>
                      <w:szCs w:val="21"/>
                    </w:rPr>
                  </w:pPr>
                  <w:r>
                    <w:rPr>
                      <w:rFonts w:hint="eastAsia"/>
                      <w:bCs/>
                      <w:szCs w:val="21"/>
                    </w:rPr>
                    <w:t>15</w:t>
                  </w:r>
                </w:p>
              </w:tc>
              <w:tc>
                <w:tcPr>
                  <w:tcW w:w="1186" w:type="dxa"/>
                  <w:vMerge w:val="restart"/>
                  <w:tcBorders>
                    <w:tl2br w:val="nil"/>
                    <w:tr2bl w:val="nil"/>
                  </w:tcBorders>
                  <w:vAlign w:val="center"/>
                </w:tcPr>
                <w:p>
                  <w:pPr>
                    <w:jc w:val="center"/>
                    <w:rPr>
                      <w:bCs/>
                      <w:szCs w:val="21"/>
                    </w:rPr>
                  </w:pPr>
                  <w:r>
                    <w:rPr>
                      <w:rFonts w:hint="eastAsia"/>
                      <w:bCs/>
                      <w:szCs w:val="21"/>
                    </w:rPr>
                    <w:t>袋装，</w:t>
                  </w:r>
                  <w:r>
                    <w:rPr>
                      <w:bCs/>
                      <w:szCs w:val="21"/>
                    </w:rPr>
                    <w:t>25kg/</w:t>
                  </w:r>
                  <w:r>
                    <w:rPr>
                      <w:rFonts w:hint="eastAsia"/>
                      <w:bCs/>
                      <w:szCs w:val="21"/>
                    </w:rPr>
                    <w:t>袋</w:t>
                  </w:r>
                </w:p>
              </w:tc>
              <w:tc>
                <w:tcPr>
                  <w:tcW w:w="1423" w:type="dxa"/>
                  <w:vMerge w:val="restart"/>
                  <w:tcBorders>
                    <w:tl2br w:val="nil"/>
                    <w:tr2bl w:val="nil"/>
                  </w:tcBorders>
                  <w:vAlign w:val="center"/>
                </w:tcPr>
                <w:p>
                  <w:pPr>
                    <w:jc w:val="center"/>
                    <w:rPr>
                      <w:bCs/>
                      <w:szCs w:val="21"/>
                    </w:rPr>
                  </w:pPr>
                  <w:r>
                    <w:rPr>
                      <w:rFonts w:hint="eastAsia"/>
                      <w:bCs/>
                      <w:szCs w:val="21"/>
                    </w:rPr>
                    <w:t>堆存区设置高度</w:t>
                  </w:r>
                  <w:r>
                    <w:rPr>
                      <w:bCs/>
                      <w:szCs w:val="21"/>
                    </w:rPr>
                    <w:t>10cm</w:t>
                  </w:r>
                  <w:r>
                    <w:rPr>
                      <w:rFonts w:hint="eastAsia"/>
                      <w:bCs/>
                      <w:szCs w:val="21"/>
                    </w:rPr>
                    <w:t>围堰，并进行防渗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高粘</w:t>
                  </w:r>
                  <w:r>
                    <w:rPr>
                      <w:bCs/>
                      <w:szCs w:val="21"/>
                    </w:rPr>
                    <w:t>CMC</w:t>
                  </w:r>
                  <w:r>
                    <w:rPr>
                      <w:rFonts w:hint="eastAsia"/>
                      <w:bCs/>
                      <w:szCs w:val="21"/>
                    </w:rPr>
                    <w:t>-</w:t>
                  </w:r>
                  <w:r>
                    <w:rPr>
                      <w:bCs/>
                      <w:szCs w:val="21"/>
                    </w:rPr>
                    <w:t>LV</w:t>
                  </w:r>
                </w:p>
              </w:tc>
              <w:tc>
                <w:tcPr>
                  <w:tcW w:w="2039" w:type="dxa"/>
                  <w:tcBorders>
                    <w:tl2br w:val="nil"/>
                    <w:tr2bl w:val="nil"/>
                  </w:tcBorders>
                  <w:vAlign w:val="center"/>
                </w:tcPr>
                <w:p>
                  <w:pPr>
                    <w:jc w:val="center"/>
                    <w:rPr>
                      <w:bCs/>
                      <w:szCs w:val="21"/>
                    </w:rPr>
                  </w:pPr>
                  <w:r>
                    <w:rPr>
                      <w:szCs w:val="21"/>
                    </w:rPr>
                    <w:t>3</w:t>
                  </w:r>
                </w:p>
              </w:tc>
              <w:tc>
                <w:tcPr>
                  <w:tcW w:w="1185" w:type="dxa"/>
                  <w:tcBorders>
                    <w:tl2br w:val="nil"/>
                    <w:tr2bl w:val="nil"/>
                  </w:tcBorders>
                  <w:vAlign w:val="center"/>
                </w:tcPr>
                <w:p>
                  <w:pPr>
                    <w:jc w:val="center"/>
                    <w:rPr>
                      <w:bCs/>
                      <w:szCs w:val="21"/>
                    </w:rPr>
                  </w:pPr>
                  <w:r>
                    <w:rPr>
                      <w:rFonts w:hint="eastAsia"/>
                      <w:bCs/>
                      <w:szCs w:val="21"/>
                    </w:rPr>
                    <w:t>2</w:t>
                  </w:r>
                </w:p>
              </w:tc>
              <w:tc>
                <w:tcPr>
                  <w:tcW w:w="1186" w:type="dxa"/>
                  <w:vMerge w:val="continue"/>
                  <w:tcBorders>
                    <w:tl2br w:val="nil"/>
                    <w:tr2bl w:val="nil"/>
                  </w:tcBorders>
                  <w:vAlign w:val="center"/>
                </w:tcPr>
                <w:p>
                  <w:pPr>
                    <w:jc w:val="center"/>
                    <w:rPr>
                      <w:bCs/>
                      <w:szCs w:val="21"/>
                    </w:rPr>
                  </w:pPr>
                </w:p>
              </w:tc>
              <w:tc>
                <w:tcPr>
                  <w:tcW w:w="1423"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聚丙烯酰胺钾盐</w:t>
                  </w:r>
                  <w:r>
                    <w:rPr>
                      <w:bCs/>
                      <w:szCs w:val="21"/>
                    </w:rPr>
                    <w:t>KPAM</w:t>
                  </w:r>
                </w:p>
              </w:tc>
              <w:tc>
                <w:tcPr>
                  <w:tcW w:w="2039" w:type="dxa"/>
                  <w:tcBorders>
                    <w:tl2br w:val="nil"/>
                    <w:tr2bl w:val="nil"/>
                  </w:tcBorders>
                  <w:vAlign w:val="center"/>
                </w:tcPr>
                <w:p>
                  <w:pPr>
                    <w:jc w:val="center"/>
                    <w:rPr>
                      <w:bCs/>
                      <w:szCs w:val="21"/>
                    </w:rPr>
                  </w:pPr>
                  <w:r>
                    <w:rPr>
                      <w:szCs w:val="21"/>
                    </w:rPr>
                    <w:t>0.6</w:t>
                  </w:r>
                </w:p>
              </w:tc>
              <w:tc>
                <w:tcPr>
                  <w:tcW w:w="1185" w:type="dxa"/>
                  <w:tcBorders>
                    <w:tl2br w:val="nil"/>
                    <w:tr2bl w:val="nil"/>
                  </w:tcBorders>
                  <w:vAlign w:val="center"/>
                </w:tcPr>
                <w:p>
                  <w:pPr>
                    <w:jc w:val="center"/>
                    <w:rPr>
                      <w:bCs/>
                      <w:szCs w:val="21"/>
                    </w:rPr>
                  </w:pPr>
                  <w:r>
                    <w:rPr>
                      <w:rFonts w:hint="eastAsia"/>
                      <w:bCs/>
                      <w:szCs w:val="21"/>
                    </w:rPr>
                    <w:t>1</w:t>
                  </w:r>
                </w:p>
              </w:tc>
              <w:tc>
                <w:tcPr>
                  <w:tcW w:w="1186" w:type="dxa"/>
                  <w:vMerge w:val="continue"/>
                  <w:tcBorders>
                    <w:tl2br w:val="nil"/>
                    <w:tr2bl w:val="nil"/>
                  </w:tcBorders>
                  <w:vAlign w:val="center"/>
                </w:tcPr>
                <w:p>
                  <w:pPr>
                    <w:jc w:val="center"/>
                    <w:rPr>
                      <w:bCs/>
                      <w:szCs w:val="21"/>
                    </w:rPr>
                  </w:pPr>
                </w:p>
              </w:tc>
              <w:tc>
                <w:tcPr>
                  <w:tcW w:w="1423"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 xml:space="preserve">两性离子包被剂 </w:t>
                  </w:r>
                  <w:r>
                    <w:rPr>
                      <w:bCs/>
                      <w:szCs w:val="21"/>
                    </w:rPr>
                    <w:t>FA367</w:t>
                  </w:r>
                </w:p>
              </w:tc>
              <w:tc>
                <w:tcPr>
                  <w:tcW w:w="2039" w:type="dxa"/>
                  <w:tcBorders>
                    <w:tl2br w:val="nil"/>
                    <w:tr2bl w:val="nil"/>
                  </w:tcBorders>
                  <w:vAlign w:val="center"/>
                </w:tcPr>
                <w:p>
                  <w:pPr>
                    <w:jc w:val="center"/>
                    <w:rPr>
                      <w:bCs/>
                      <w:szCs w:val="21"/>
                    </w:rPr>
                  </w:pPr>
                  <w:r>
                    <w:rPr>
                      <w:szCs w:val="21"/>
                    </w:rPr>
                    <w:t>0.6</w:t>
                  </w:r>
                </w:p>
              </w:tc>
              <w:tc>
                <w:tcPr>
                  <w:tcW w:w="1185" w:type="dxa"/>
                  <w:tcBorders>
                    <w:tl2br w:val="nil"/>
                    <w:tr2bl w:val="nil"/>
                  </w:tcBorders>
                  <w:vAlign w:val="center"/>
                </w:tcPr>
                <w:p>
                  <w:pPr>
                    <w:jc w:val="center"/>
                    <w:rPr>
                      <w:bCs/>
                      <w:szCs w:val="21"/>
                    </w:rPr>
                  </w:pPr>
                  <w:r>
                    <w:rPr>
                      <w:rFonts w:hint="eastAsia"/>
                      <w:bCs/>
                      <w:szCs w:val="21"/>
                    </w:rPr>
                    <w:t>1</w:t>
                  </w:r>
                </w:p>
              </w:tc>
              <w:tc>
                <w:tcPr>
                  <w:tcW w:w="1186" w:type="dxa"/>
                  <w:vMerge w:val="continue"/>
                  <w:tcBorders>
                    <w:tl2br w:val="nil"/>
                    <w:tr2bl w:val="nil"/>
                  </w:tcBorders>
                  <w:vAlign w:val="center"/>
                </w:tcPr>
                <w:p>
                  <w:pPr>
                    <w:jc w:val="center"/>
                    <w:rPr>
                      <w:bCs/>
                      <w:szCs w:val="21"/>
                    </w:rPr>
                  </w:pPr>
                </w:p>
              </w:tc>
              <w:tc>
                <w:tcPr>
                  <w:tcW w:w="1423"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氢氧化钠NaOH</w:t>
                  </w:r>
                </w:p>
              </w:tc>
              <w:tc>
                <w:tcPr>
                  <w:tcW w:w="2039" w:type="dxa"/>
                  <w:tcBorders>
                    <w:tl2br w:val="nil"/>
                    <w:tr2bl w:val="nil"/>
                  </w:tcBorders>
                  <w:vAlign w:val="center"/>
                </w:tcPr>
                <w:p>
                  <w:pPr>
                    <w:jc w:val="center"/>
                    <w:rPr>
                      <w:bCs/>
                      <w:szCs w:val="21"/>
                    </w:rPr>
                  </w:pPr>
                  <w:r>
                    <w:rPr>
                      <w:szCs w:val="21"/>
                    </w:rPr>
                    <w:t>0.6</w:t>
                  </w:r>
                </w:p>
              </w:tc>
              <w:tc>
                <w:tcPr>
                  <w:tcW w:w="1185" w:type="dxa"/>
                  <w:tcBorders>
                    <w:tl2br w:val="nil"/>
                    <w:tr2bl w:val="nil"/>
                  </w:tcBorders>
                  <w:vAlign w:val="center"/>
                </w:tcPr>
                <w:p>
                  <w:pPr>
                    <w:jc w:val="center"/>
                    <w:rPr>
                      <w:bCs/>
                      <w:szCs w:val="21"/>
                    </w:rPr>
                  </w:pPr>
                  <w:r>
                    <w:rPr>
                      <w:rFonts w:hint="eastAsia"/>
                      <w:bCs/>
                      <w:szCs w:val="21"/>
                    </w:rPr>
                    <w:t>1</w:t>
                  </w:r>
                </w:p>
              </w:tc>
              <w:tc>
                <w:tcPr>
                  <w:tcW w:w="1186" w:type="dxa"/>
                  <w:vMerge w:val="continue"/>
                  <w:tcBorders>
                    <w:tl2br w:val="nil"/>
                    <w:tr2bl w:val="nil"/>
                  </w:tcBorders>
                  <w:vAlign w:val="center"/>
                </w:tcPr>
                <w:p>
                  <w:pPr>
                    <w:jc w:val="center"/>
                    <w:rPr>
                      <w:bCs/>
                      <w:szCs w:val="21"/>
                    </w:rPr>
                  </w:pPr>
                </w:p>
              </w:tc>
              <w:tc>
                <w:tcPr>
                  <w:tcW w:w="1423"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生物聚合物黄原胶XCD</w:t>
                  </w:r>
                </w:p>
              </w:tc>
              <w:tc>
                <w:tcPr>
                  <w:tcW w:w="2039" w:type="dxa"/>
                  <w:tcBorders>
                    <w:tl2br w:val="nil"/>
                    <w:tr2bl w:val="nil"/>
                  </w:tcBorders>
                  <w:vAlign w:val="center"/>
                </w:tcPr>
                <w:p>
                  <w:pPr>
                    <w:jc w:val="center"/>
                    <w:rPr>
                      <w:bCs/>
                      <w:szCs w:val="21"/>
                    </w:rPr>
                  </w:pPr>
                  <w:r>
                    <w:rPr>
                      <w:szCs w:val="21"/>
                    </w:rPr>
                    <w:t>0.6</w:t>
                  </w:r>
                </w:p>
              </w:tc>
              <w:tc>
                <w:tcPr>
                  <w:tcW w:w="1185" w:type="dxa"/>
                  <w:tcBorders>
                    <w:tl2br w:val="nil"/>
                    <w:tr2bl w:val="nil"/>
                  </w:tcBorders>
                  <w:vAlign w:val="center"/>
                </w:tcPr>
                <w:p>
                  <w:pPr>
                    <w:jc w:val="center"/>
                    <w:rPr>
                      <w:bCs/>
                      <w:szCs w:val="21"/>
                    </w:rPr>
                  </w:pPr>
                  <w:r>
                    <w:rPr>
                      <w:rFonts w:hint="eastAsia"/>
                      <w:bCs/>
                      <w:szCs w:val="21"/>
                    </w:rPr>
                    <w:t>1</w:t>
                  </w:r>
                </w:p>
              </w:tc>
              <w:tc>
                <w:tcPr>
                  <w:tcW w:w="1186" w:type="dxa"/>
                  <w:vMerge w:val="continue"/>
                  <w:tcBorders>
                    <w:tl2br w:val="nil"/>
                    <w:tr2bl w:val="nil"/>
                  </w:tcBorders>
                  <w:vAlign w:val="center"/>
                </w:tcPr>
                <w:p>
                  <w:pPr>
                    <w:jc w:val="center"/>
                    <w:rPr>
                      <w:bCs/>
                      <w:szCs w:val="21"/>
                    </w:rPr>
                  </w:pPr>
                </w:p>
              </w:tc>
              <w:tc>
                <w:tcPr>
                  <w:tcW w:w="1423"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重晶石（加重剂）</w:t>
                  </w:r>
                </w:p>
              </w:tc>
              <w:tc>
                <w:tcPr>
                  <w:tcW w:w="2039" w:type="dxa"/>
                  <w:tcBorders>
                    <w:tl2br w:val="nil"/>
                    <w:tr2bl w:val="nil"/>
                  </w:tcBorders>
                  <w:vAlign w:val="center"/>
                </w:tcPr>
                <w:p>
                  <w:pPr>
                    <w:widowControl/>
                    <w:jc w:val="center"/>
                    <w:textAlignment w:val="center"/>
                    <w:rPr>
                      <w:bCs/>
                      <w:szCs w:val="21"/>
                    </w:rPr>
                  </w:pPr>
                  <w:r>
                    <w:rPr>
                      <w:rFonts w:hint="eastAsia"/>
                      <w:bCs/>
                      <w:szCs w:val="21"/>
                    </w:rPr>
                    <w:t>按需</w:t>
                  </w:r>
                </w:p>
              </w:tc>
              <w:tc>
                <w:tcPr>
                  <w:tcW w:w="1185" w:type="dxa"/>
                  <w:tcBorders>
                    <w:tl2br w:val="nil"/>
                    <w:tr2bl w:val="nil"/>
                  </w:tcBorders>
                  <w:vAlign w:val="center"/>
                </w:tcPr>
                <w:p>
                  <w:pPr>
                    <w:jc w:val="center"/>
                    <w:rPr>
                      <w:bCs/>
                      <w:szCs w:val="21"/>
                    </w:rPr>
                  </w:pPr>
                  <w:r>
                    <w:rPr>
                      <w:rFonts w:hint="eastAsia"/>
                      <w:bCs/>
                      <w:szCs w:val="21"/>
                    </w:rPr>
                    <w:t>/</w:t>
                  </w:r>
                </w:p>
              </w:tc>
              <w:tc>
                <w:tcPr>
                  <w:tcW w:w="1186" w:type="dxa"/>
                  <w:tcBorders>
                    <w:tl2br w:val="nil"/>
                    <w:tr2bl w:val="nil"/>
                  </w:tcBorders>
                  <w:vAlign w:val="center"/>
                </w:tcPr>
                <w:p>
                  <w:pPr>
                    <w:jc w:val="center"/>
                    <w:rPr>
                      <w:bCs/>
                      <w:szCs w:val="21"/>
                    </w:rPr>
                  </w:pPr>
                  <w:r>
                    <w:rPr>
                      <w:rFonts w:hint="eastAsia"/>
                      <w:bCs/>
                      <w:szCs w:val="21"/>
                    </w:rPr>
                    <w:t>袋装，</w:t>
                  </w:r>
                  <w:r>
                    <w:rPr>
                      <w:bCs/>
                      <w:szCs w:val="21"/>
                    </w:rPr>
                    <w:t>50kg/</w:t>
                  </w:r>
                  <w:r>
                    <w:rPr>
                      <w:rFonts w:hint="eastAsia"/>
                      <w:bCs/>
                      <w:szCs w:val="21"/>
                    </w:rPr>
                    <w:t>袋</w:t>
                  </w:r>
                </w:p>
              </w:tc>
              <w:tc>
                <w:tcPr>
                  <w:tcW w:w="1423" w:type="dxa"/>
                  <w:tcBorders>
                    <w:tl2br w:val="nil"/>
                    <w:tr2bl w:val="nil"/>
                  </w:tcBorders>
                  <w:vAlign w:val="center"/>
                </w:tcPr>
                <w:p>
                  <w:pPr>
                    <w:jc w:val="center"/>
                    <w:rPr>
                      <w:bCs/>
                      <w:szCs w:val="21"/>
                    </w:rPr>
                  </w:pPr>
                  <w:r>
                    <w:rPr>
                      <w:rFonts w:hint="eastAsia"/>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szCs w:val="21"/>
                    </w:rPr>
                  </w:pPr>
                  <w:r>
                    <w:rPr>
                      <w:rFonts w:hint="eastAsia"/>
                      <w:bCs/>
                      <w:szCs w:val="21"/>
                    </w:rPr>
                    <w:t>油基泥浆</w:t>
                  </w:r>
                </w:p>
              </w:tc>
              <w:tc>
                <w:tcPr>
                  <w:tcW w:w="1914" w:type="dxa"/>
                  <w:tcBorders>
                    <w:tl2br w:val="nil"/>
                    <w:tr2bl w:val="nil"/>
                  </w:tcBorders>
                  <w:vAlign w:val="center"/>
                </w:tcPr>
                <w:p>
                  <w:pPr>
                    <w:jc w:val="center"/>
                    <w:rPr>
                      <w:bCs/>
                      <w:szCs w:val="21"/>
                    </w:rPr>
                  </w:pPr>
                  <w:r>
                    <w:rPr>
                      <w:rFonts w:hint="eastAsia"/>
                      <w:bCs/>
                      <w:szCs w:val="21"/>
                    </w:rPr>
                    <w:t>基础油（白油）</w:t>
                  </w:r>
                </w:p>
              </w:tc>
              <w:tc>
                <w:tcPr>
                  <w:tcW w:w="2039" w:type="dxa"/>
                  <w:tcBorders>
                    <w:tl2br w:val="nil"/>
                    <w:tr2bl w:val="nil"/>
                  </w:tcBorders>
                  <w:vAlign w:val="center"/>
                </w:tcPr>
                <w:p>
                  <w:pPr>
                    <w:widowControl/>
                    <w:jc w:val="center"/>
                    <w:textAlignment w:val="center"/>
                    <w:rPr>
                      <w:bCs/>
                      <w:szCs w:val="21"/>
                    </w:rPr>
                  </w:pPr>
                  <w:r>
                    <w:rPr>
                      <w:rFonts w:hint="eastAsia"/>
                      <w:bCs/>
                      <w:szCs w:val="21"/>
                    </w:rPr>
                    <w:t>406.3</w:t>
                  </w:r>
                </w:p>
              </w:tc>
              <w:tc>
                <w:tcPr>
                  <w:tcW w:w="3794" w:type="dxa"/>
                  <w:gridSpan w:val="3"/>
                  <w:vMerge w:val="restart"/>
                  <w:tcBorders>
                    <w:tl2br w:val="nil"/>
                    <w:tr2bl w:val="nil"/>
                  </w:tcBorders>
                  <w:vAlign w:val="center"/>
                </w:tcPr>
                <w:p>
                  <w:pPr>
                    <w:jc w:val="center"/>
                    <w:rPr>
                      <w:bCs/>
                      <w:szCs w:val="21"/>
                    </w:rPr>
                  </w:pPr>
                  <w:r>
                    <w:rPr>
                      <w:rFonts w:hint="eastAsia"/>
                      <w:bCs/>
                      <w:szCs w:val="21"/>
                    </w:rPr>
                    <w:t>不在现场配置，厂家配置好后分批次拉运至井场暂存于泥浆循环系统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有机土</w:t>
                  </w:r>
                </w:p>
              </w:tc>
              <w:tc>
                <w:tcPr>
                  <w:tcW w:w="2039" w:type="dxa"/>
                  <w:tcBorders>
                    <w:tl2br w:val="nil"/>
                    <w:tr2bl w:val="nil"/>
                  </w:tcBorders>
                  <w:vAlign w:val="center"/>
                </w:tcPr>
                <w:p>
                  <w:pPr>
                    <w:widowControl/>
                    <w:jc w:val="center"/>
                    <w:textAlignment w:val="center"/>
                    <w:rPr>
                      <w:bCs/>
                      <w:szCs w:val="21"/>
                    </w:rPr>
                  </w:pPr>
                  <w:r>
                    <w:rPr>
                      <w:rFonts w:hint="eastAsia"/>
                      <w:bCs/>
                      <w:szCs w:val="21"/>
                    </w:rPr>
                    <w:t>11.6</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主乳化剂</w:t>
                  </w:r>
                </w:p>
              </w:tc>
              <w:tc>
                <w:tcPr>
                  <w:tcW w:w="2039" w:type="dxa"/>
                  <w:tcBorders>
                    <w:tl2br w:val="nil"/>
                    <w:tr2bl w:val="nil"/>
                  </w:tcBorders>
                  <w:vAlign w:val="center"/>
                </w:tcPr>
                <w:p>
                  <w:pPr>
                    <w:widowControl/>
                    <w:jc w:val="center"/>
                    <w:textAlignment w:val="center"/>
                    <w:rPr>
                      <w:bCs/>
                      <w:szCs w:val="21"/>
                    </w:rPr>
                  </w:pPr>
                  <w:r>
                    <w:rPr>
                      <w:rFonts w:hint="eastAsia"/>
                      <w:bCs/>
                      <w:szCs w:val="21"/>
                    </w:rPr>
                    <w:t>11.6</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辅乳化剂</w:t>
                  </w:r>
                </w:p>
              </w:tc>
              <w:tc>
                <w:tcPr>
                  <w:tcW w:w="2039" w:type="dxa"/>
                  <w:tcBorders>
                    <w:tl2br w:val="nil"/>
                    <w:tr2bl w:val="nil"/>
                  </w:tcBorders>
                  <w:vAlign w:val="center"/>
                </w:tcPr>
                <w:p>
                  <w:pPr>
                    <w:widowControl/>
                    <w:jc w:val="center"/>
                    <w:textAlignment w:val="center"/>
                    <w:rPr>
                      <w:bCs/>
                      <w:szCs w:val="21"/>
                    </w:rPr>
                  </w:pPr>
                  <w:r>
                    <w:rPr>
                      <w:rFonts w:hint="eastAsia"/>
                      <w:bCs/>
                      <w:szCs w:val="21"/>
                    </w:rPr>
                    <w:t>11.6</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降滤失剂</w:t>
                  </w:r>
                </w:p>
              </w:tc>
              <w:tc>
                <w:tcPr>
                  <w:tcW w:w="2039" w:type="dxa"/>
                  <w:tcBorders>
                    <w:tl2br w:val="nil"/>
                    <w:tr2bl w:val="nil"/>
                  </w:tcBorders>
                  <w:vAlign w:val="center"/>
                </w:tcPr>
                <w:p>
                  <w:pPr>
                    <w:widowControl/>
                    <w:jc w:val="center"/>
                    <w:textAlignment w:val="center"/>
                    <w:rPr>
                      <w:bCs/>
                      <w:szCs w:val="21"/>
                    </w:rPr>
                  </w:pPr>
                  <w:r>
                    <w:rPr>
                      <w:rFonts w:hint="eastAsia"/>
                      <w:bCs/>
                      <w:szCs w:val="21"/>
                    </w:rPr>
                    <w:t>5.7</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润湿剂FRH</w:t>
                  </w:r>
                </w:p>
              </w:tc>
              <w:tc>
                <w:tcPr>
                  <w:tcW w:w="2039" w:type="dxa"/>
                  <w:tcBorders>
                    <w:tl2br w:val="nil"/>
                    <w:tr2bl w:val="nil"/>
                  </w:tcBorders>
                  <w:vAlign w:val="center"/>
                </w:tcPr>
                <w:p>
                  <w:pPr>
                    <w:widowControl/>
                    <w:jc w:val="center"/>
                    <w:textAlignment w:val="center"/>
                    <w:rPr>
                      <w:bCs/>
                      <w:szCs w:val="21"/>
                    </w:rPr>
                  </w:pPr>
                  <w:r>
                    <w:rPr>
                      <w:rFonts w:hint="eastAsia"/>
                      <w:bCs/>
                      <w:szCs w:val="21"/>
                    </w:rPr>
                    <w:t>2.6</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CaCl</w:t>
                  </w:r>
                  <w:r>
                    <w:rPr>
                      <w:rFonts w:hint="eastAsia"/>
                      <w:bCs/>
                      <w:szCs w:val="21"/>
                      <w:vertAlign w:val="subscript"/>
                    </w:rPr>
                    <w:t>2</w:t>
                  </w:r>
                </w:p>
              </w:tc>
              <w:tc>
                <w:tcPr>
                  <w:tcW w:w="2039" w:type="dxa"/>
                  <w:tcBorders>
                    <w:tl2br w:val="nil"/>
                    <w:tr2bl w:val="nil"/>
                  </w:tcBorders>
                  <w:vAlign w:val="center"/>
                </w:tcPr>
                <w:p>
                  <w:pPr>
                    <w:widowControl/>
                    <w:jc w:val="center"/>
                    <w:textAlignment w:val="center"/>
                    <w:rPr>
                      <w:bCs/>
                      <w:szCs w:val="21"/>
                    </w:rPr>
                  </w:pPr>
                  <w:r>
                    <w:rPr>
                      <w:rFonts w:hint="eastAsia"/>
                      <w:bCs/>
                      <w:szCs w:val="21"/>
                    </w:rPr>
                    <w:t>52.3</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生石灰</w:t>
                  </w:r>
                </w:p>
              </w:tc>
              <w:tc>
                <w:tcPr>
                  <w:tcW w:w="2039" w:type="dxa"/>
                  <w:tcBorders>
                    <w:tl2br w:val="nil"/>
                    <w:tr2bl w:val="nil"/>
                  </w:tcBorders>
                  <w:vAlign w:val="center"/>
                </w:tcPr>
                <w:p>
                  <w:pPr>
                    <w:widowControl/>
                    <w:jc w:val="center"/>
                    <w:textAlignment w:val="center"/>
                    <w:rPr>
                      <w:bCs/>
                      <w:szCs w:val="21"/>
                    </w:rPr>
                  </w:pPr>
                  <w:r>
                    <w:rPr>
                      <w:rFonts w:hint="eastAsia"/>
                      <w:bCs/>
                      <w:szCs w:val="21"/>
                    </w:rPr>
                    <w:t>17.4</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封堵剂</w:t>
                  </w:r>
                </w:p>
              </w:tc>
              <w:tc>
                <w:tcPr>
                  <w:tcW w:w="2039" w:type="dxa"/>
                  <w:tcBorders>
                    <w:tl2br w:val="nil"/>
                    <w:tr2bl w:val="nil"/>
                  </w:tcBorders>
                  <w:vAlign w:val="center"/>
                </w:tcPr>
                <w:p>
                  <w:pPr>
                    <w:widowControl/>
                    <w:jc w:val="center"/>
                    <w:textAlignment w:val="center"/>
                    <w:rPr>
                      <w:bCs/>
                      <w:szCs w:val="21"/>
                    </w:rPr>
                  </w:pPr>
                  <w:r>
                    <w:rPr>
                      <w:rFonts w:hint="eastAsia"/>
                      <w:bCs/>
                      <w:szCs w:val="21"/>
                    </w:rPr>
                    <w:t>9.1</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bCs/>
                      <w:szCs w:val="21"/>
                    </w:rPr>
                  </w:pPr>
                  <w:r>
                    <w:rPr>
                      <w:rFonts w:hint="eastAsia"/>
                      <w:bCs/>
                      <w:szCs w:val="21"/>
                    </w:rPr>
                    <w:t>重晶石（加重剂）</w:t>
                  </w:r>
                </w:p>
              </w:tc>
              <w:tc>
                <w:tcPr>
                  <w:tcW w:w="2039" w:type="dxa"/>
                  <w:tcBorders>
                    <w:tl2br w:val="nil"/>
                    <w:tr2bl w:val="nil"/>
                  </w:tcBorders>
                  <w:vAlign w:val="center"/>
                </w:tcPr>
                <w:p>
                  <w:pPr>
                    <w:jc w:val="center"/>
                    <w:rPr>
                      <w:bCs/>
                      <w:szCs w:val="21"/>
                    </w:rPr>
                  </w:pPr>
                  <w:r>
                    <w:rPr>
                      <w:rFonts w:hint="eastAsia"/>
                      <w:bCs/>
                      <w:szCs w:val="21"/>
                    </w:rPr>
                    <w:t>按需添加</w:t>
                  </w:r>
                </w:p>
              </w:tc>
              <w:tc>
                <w:tcPr>
                  <w:tcW w:w="3794" w:type="dxa"/>
                  <w:gridSpan w:val="3"/>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restart"/>
                  <w:tcBorders>
                    <w:tl2br w:val="nil"/>
                    <w:tr2bl w:val="nil"/>
                  </w:tcBorders>
                  <w:vAlign w:val="center"/>
                </w:tcPr>
                <w:p>
                  <w:pPr>
                    <w:jc w:val="center"/>
                    <w:rPr>
                      <w:bCs/>
                      <w:szCs w:val="21"/>
                    </w:rPr>
                  </w:pPr>
                  <w:r>
                    <w:rPr>
                      <w:rFonts w:hint="eastAsia"/>
                      <w:bCs/>
                      <w:szCs w:val="21"/>
                    </w:rPr>
                    <w:t>储层改造作业</w:t>
                  </w:r>
                </w:p>
              </w:tc>
              <w:tc>
                <w:tcPr>
                  <w:tcW w:w="1914" w:type="dxa"/>
                  <w:tcBorders>
                    <w:tl2br w:val="nil"/>
                    <w:tr2bl w:val="nil"/>
                  </w:tcBorders>
                  <w:vAlign w:val="center"/>
                </w:tcPr>
                <w:p>
                  <w:pPr>
                    <w:jc w:val="center"/>
                    <w:rPr>
                      <w:rFonts w:eastAsia="Times New Roman"/>
                    </w:rPr>
                  </w:pPr>
                  <w:r>
                    <w:rPr>
                      <w:rFonts w:eastAsia="Times New Roman"/>
                    </w:rPr>
                    <w:t>无固相压井液</w:t>
                  </w:r>
                </w:p>
              </w:tc>
              <w:tc>
                <w:tcPr>
                  <w:tcW w:w="2039" w:type="dxa"/>
                  <w:tcBorders>
                    <w:tl2br w:val="nil"/>
                    <w:tr2bl w:val="nil"/>
                  </w:tcBorders>
                  <w:vAlign w:val="center"/>
                </w:tcPr>
                <w:p>
                  <w:pPr>
                    <w:jc w:val="center"/>
                    <w:rPr>
                      <w:rFonts w:eastAsia="Times New Roman"/>
                    </w:rPr>
                  </w:pPr>
                  <w:r>
                    <w:rPr>
                      <w:rFonts w:eastAsia="Times New Roman"/>
                    </w:rPr>
                    <w:t>400</w:t>
                  </w:r>
                </w:p>
              </w:tc>
              <w:tc>
                <w:tcPr>
                  <w:tcW w:w="3794" w:type="dxa"/>
                  <w:gridSpan w:val="3"/>
                  <w:tcBorders>
                    <w:tl2br w:val="nil"/>
                    <w:tr2bl w:val="nil"/>
                  </w:tcBorders>
                  <w:vAlign w:val="center"/>
                </w:tcPr>
                <w:p>
                  <w:pPr>
                    <w:jc w:val="center"/>
                    <w:rPr>
                      <w:rFonts w:eastAsia="Times New Roman"/>
                    </w:rPr>
                  </w:pPr>
                  <w:r>
                    <w:rPr>
                      <w:rFonts w:eastAsia="Times New Roman"/>
                    </w:rPr>
                    <w:t>密度 1.13g/cm</w:t>
                  </w:r>
                  <w:r>
                    <w:rPr>
                      <w:rFonts w:eastAsia="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rFonts w:eastAsia="Times New Roman"/>
                    </w:rPr>
                  </w:pPr>
                  <w:r>
                    <w:rPr>
                      <w:rFonts w:eastAsia="Times New Roman"/>
                    </w:rPr>
                    <w:t>重浆</w:t>
                  </w:r>
                </w:p>
              </w:tc>
              <w:tc>
                <w:tcPr>
                  <w:tcW w:w="2039" w:type="dxa"/>
                  <w:tcBorders>
                    <w:tl2br w:val="nil"/>
                    <w:tr2bl w:val="nil"/>
                  </w:tcBorders>
                  <w:vAlign w:val="center"/>
                </w:tcPr>
                <w:p>
                  <w:pPr>
                    <w:jc w:val="center"/>
                    <w:rPr>
                      <w:rFonts w:eastAsia="Times New Roman"/>
                    </w:rPr>
                  </w:pPr>
                  <w:r>
                    <w:rPr>
                      <w:rFonts w:eastAsia="Times New Roman"/>
                    </w:rPr>
                    <w:t>300</w:t>
                  </w:r>
                </w:p>
              </w:tc>
              <w:tc>
                <w:tcPr>
                  <w:tcW w:w="3794" w:type="dxa"/>
                  <w:gridSpan w:val="3"/>
                  <w:tcBorders>
                    <w:tl2br w:val="nil"/>
                    <w:tr2bl w:val="nil"/>
                  </w:tcBorders>
                  <w:vAlign w:val="center"/>
                </w:tcPr>
                <w:p>
                  <w:pPr>
                    <w:jc w:val="center"/>
                    <w:rPr>
                      <w:rFonts w:eastAsia="Times New Roman"/>
                    </w:rPr>
                  </w:pPr>
                  <w:r>
                    <w:rPr>
                      <w:rFonts w:eastAsia="Times New Roman"/>
                    </w:rPr>
                    <w:t>利用钻井泥浆，密度1.33g/cm</w:t>
                  </w:r>
                  <w:r>
                    <w:rPr>
                      <w:rFonts w:eastAsia="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rFonts w:eastAsia="Times New Roman"/>
                    </w:rPr>
                  </w:pPr>
                  <w:r>
                    <w:rPr>
                      <w:rFonts w:eastAsia="Times New Roman"/>
                    </w:rPr>
                    <w:t>环空保护液</w:t>
                  </w:r>
                </w:p>
              </w:tc>
              <w:tc>
                <w:tcPr>
                  <w:tcW w:w="2039" w:type="dxa"/>
                  <w:tcBorders>
                    <w:tl2br w:val="nil"/>
                    <w:tr2bl w:val="nil"/>
                  </w:tcBorders>
                  <w:vAlign w:val="center"/>
                </w:tcPr>
                <w:p>
                  <w:pPr>
                    <w:jc w:val="center"/>
                    <w:rPr>
                      <w:rFonts w:eastAsia="Times New Roman"/>
                    </w:rPr>
                  </w:pPr>
                  <w:r>
                    <w:rPr>
                      <w:rFonts w:eastAsia="Times New Roman"/>
                    </w:rPr>
                    <w:t>240</w:t>
                  </w:r>
                </w:p>
              </w:tc>
              <w:tc>
                <w:tcPr>
                  <w:tcW w:w="3794" w:type="dxa"/>
                  <w:gridSpan w:val="3"/>
                  <w:tcBorders>
                    <w:tl2br w:val="nil"/>
                    <w:tr2bl w:val="nil"/>
                  </w:tcBorders>
                  <w:vAlign w:val="center"/>
                </w:tcPr>
                <w:p>
                  <w:pPr>
                    <w:jc w:val="center"/>
                    <w:rPr>
                      <w:rFonts w:eastAsia="Times New Roman"/>
                    </w:rPr>
                  </w:pPr>
                  <w:r>
                    <w:rPr>
                      <w:rFonts w:eastAsia="Times New Roman"/>
                    </w:rPr>
                    <w:t>密度 1.05g/cm</w:t>
                  </w:r>
                  <w:r>
                    <w:rPr>
                      <w:rFonts w:eastAsia="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rFonts w:eastAsia="Times New Roman"/>
                    </w:rPr>
                  </w:pPr>
                  <w:r>
                    <w:rPr>
                      <w:rFonts w:eastAsia="Times New Roman"/>
                    </w:rPr>
                    <w:t>酸液（</w:t>
                  </w:r>
                  <w:r>
                    <w:rPr>
                      <w:rFonts w:hint="eastAsia" w:eastAsia="Times New Roman"/>
                    </w:rPr>
                    <w:t>15%</w:t>
                  </w:r>
                  <w:r>
                    <w:rPr>
                      <w:rFonts w:eastAsia="Times New Roman"/>
                    </w:rPr>
                    <w:t>稀盐酸）</w:t>
                  </w:r>
                </w:p>
              </w:tc>
              <w:tc>
                <w:tcPr>
                  <w:tcW w:w="2039" w:type="dxa"/>
                  <w:tcBorders>
                    <w:tl2br w:val="nil"/>
                    <w:tr2bl w:val="nil"/>
                  </w:tcBorders>
                  <w:vAlign w:val="center"/>
                </w:tcPr>
                <w:p>
                  <w:pPr>
                    <w:jc w:val="center"/>
                  </w:pPr>
                  <w:r>
                    <w:rPr>
                      <w:rFonts w:hint="eastAsia"/>
                    </w:rPr>
                    <w:t>600</w:t>
                  </w:r>
                </w:p>
              </w:tc>
              <w:tc>
                <w:tcPr>
                  <w:tcW w:w="3794" w:type="dxa"/>
                  <w:gridSpan w:val="3"/>
                  <w:tcBorders>
                    <w:tl2br w:val="nil"/>
                    <w:tr2bl w:val="nil"/>
                  </w:tcBorders>
                  <w:vAlign w:val="center"/>
                </w:tcPr>
                <w:p>
                  <w:pPr>
                    <w:jc w:val="center"/>
                    <w:rPr>
                      <w:rFonts w:hint="default" w:eastAsia="宋体"/>
                      <w:bCs/>
                      <w:szCs w:val="21"/>
                      <w:lang w:val="en-US" w:eastAsia="zh-CN"/>
                    </w:rPr>
                  </w:pPr>
                  <w:r>
                    <w:rPr>
                      <w:rFonts w:hint="eastAsia"/>
                      <w:bCs/>
                      <w:szCs w:val="21"/>
                      <w:lang w:val="en-US" w:eastAsia="zh-CN"/>
                    </w:rPr>
                    <w:t>储存于盐酸罐区内，现场储存量约为100m</w:t>
                  </w:r>
                  <w:r>
                    <w:rPr>
                      <w:rFonts w:hint="eastAsia"/>
                      <w:bCs/>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tcBorders>
                    <w:tl2br w:val="nil"/>
                    <w:tr2bl w:val="nil"/>
                  </w:tcBorders>
                  <w:vAlign w:val="center"/>
                </w:tcPr>
                <w:p>
                  <w:pPr>
                    <w:jc w:val="center"/>
                    <w:rPr>
                      <w:bCs/>
                      <w:szCs w:val="21"/>
                    </w:rPr>
                  </w:pPr>
                </w:p>
              </w:tc>
              <w:tc>
                <w:tcPr>
                  <w:tcW w:w="1914" w:type="dxa"/>
                  <w:tcBorders>
                    <w:tl2br w:val="nil"/>
                    <w:tr2bl w:val="nil"/>
                  </w:tcBorders>
                  <w:vAlign w:val="center"/>
                </w:tcPr>
                <w:p>
                  <w:pPr>
                    <w:jc w:val="center"/>
                    <w:rPr>
                      <w:rFonts w:eastAsia="Times New Roman"/>
                    </w:rPr>
                  </w:pPr>
                  <w:r>
                    <w:rPr>
                      <w:rFonts w:eastAsia="Times New Roman"/>
                    </w:rPr>
                    <w:t>液氮</w:t>
                  </w:r>
                </w:p>
              </w:tc>
              <w:tc>
                <w:tcPr>
                  <w:tcW w:w="2039" w:type="dxa"/>
                  <w:tcBorders>
                    <w:tl2br w:val="nil"/>
                    <w:tr2bl w:val="nil"/>
                  </w:tcBorders>
                  <w:vAlign w:val="center"/>
                </w:tcPr>
                <w:p>
                  <w:pPr>
                    <w:jc w:val="center"/>
                    <w:rPr>
                      <w:rFonts w:eastAsia="Times New Roman"/>
                    </w:rPr>
                  </w:pPr>
                  <w:r>
                    <w:rPr>
                      <w:rFonts w:eastAsia="Times New Roman"/>
                    </w:rPr>
                    <w:t>20</w:t>
                  </w:r>
                </w:p>
              </w:tc>
              <w:tc>
                <w:tcPr>
                  <w:tcW w:w="3794" w:type="dxa"/>
                  <w:gridSpan w:val="3"/>
                  <w:tcBorders>
                    <w:tl2br w:val="nil"/>
                    <w:tr2bl w:val="nil"/>
                  </w:tcBorders>
                  <w:vAlign w:val="center"/>
                </w:tcPr>
                <w:p>
                  <w:pPr>
                    <w:jc w:val="center"/>
                    <w:rPr>
                      <w:bCs/>
                      <w:szCs w:val="21"/>
                    </w:rPr>
                  </w:pPr>
                  <w:r>
                    <w:rPr>
                      <w:rFonts w:hint="eastAsia"/>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34" w:type="dxa"/>
                  <w:gridSpan w:val="6"/>
                  <w:tcBorders>
                    <w:tl2br w:val="nil"/>
                    <w:tr2bl w:val="nil"/>
                  </w:tcBorders>
                  <w:vAlign w:val="center"/>
                </w:tcPr>
                <w:p>
                  <w:pPr>
                    <w:rPr>
                      <w:bCs/>
                      <w:szCs w:val="21"/>
                    </w:rPr>
                  </w:pPr>
                  <w:r>
                    <w:rPr>
                      <w:rFonts w:hint="eastAsia"/>
                      <w:bCs/>
                      <w:szCs w:val="21"/>
                    </w:rPr>
                    <w:t>注：</w:t>
                  </w:r>
                  <w:r>
                    <w:rPr>
                      <w:bCs/>
                      <w:szCs w:val="21"/>
                    </w:rPr>
                    <w:t>1</w:t>
                  </w:r>
                  <w:r>
                    <w:rPr>
                      <w:rFonts w:hint="eastAsia"/>
                      <w:bCs/>
                      <w:szCs w:val="21"/>
                    </w:rPr>
                    <w:t>、现场重晶石储存量</w:t>
                  </w:r>
                  <w:r>
                    <w:rPr>
                      <w:bCs/>
                      <w:szCs w:val="21"/>
                    </w:rPr>
                    <w:t>50t</w:t>
                  </w:r>
                  <w:r>
                    <w:rPr>
                      <w:rFonts w:hint="eastAsia"/>
                      <w:bCs/>
                      <w:szCs w:val="21"/>
                    </w:rPr>
                    <w:t>，根据现场情况进行添加，袋装</w:t>
                  </w:r>
                  <w:r>
                    <w:rPr>
                      <w:bCs/>
                      <w:szCs w:val="21"/>
                    </w:rPr>
                    <w:t>50kg/</w:t>
                  </w:r>
                  <w:r>
                    <w:rPr>
                      <w:rFonts w:hint="eastAsia"/>
                      <w:bCs/>
                      <w:szCs w:val="21"/>
                    </w:rPr>
                    <w:t>袋，所有原辅材料于井场内设置专人管理，并对原辅料进场、使用情况进行记录，保存以备检查。</w:t>
                  </w:r>
                </w:p>
                <w:p>
                  <w:pPr>
                    <w:rPr>
                      <w:bCs/>
                      <w:szCs w:val="21"/>
                    </w:rPr>
                  </w:pPr>
                  <w:r>
                    <w:rPr>
                      <w:bCs/>
                      <w:szCs w:val="21"/>
                    </w:rPr>
                    <w:t>2</w:t>
                  </w:r>
                  <w:r>
                    <w:rPr>
                      <w:rFonts w:hint="eastAsia"/>
                      <w:bCs/>
                      <w:szCs w:val="21"/>
                    </w:rPr>
                    <w:t>、项目均在单井测试结束后进行下一口井钻进工作，不涉及井间泥浆重复利用。</w:t>
                  </w:r>
                </w:p>
                <w:p>
                  <w:r>
                    <w:rPr>
                      <w:rFonts w:hint="eastAsia"/>
                    </w:rPr>
                    <w:t>3、压裂液均不在现场配制，由罐车拉运至井场，所有压裂液均储存在罐中。</w:t>
                  </w:r>
                </w:p>
              </w:tc>
            </w:tr>
          </w:tbl>
          <w:p>
            <w:pPr>
              <w:pStyle w:val="20"/>
              <w:numPr>
                <w:ilvl w:val="0"/>
                <w:numId w:val="5"/>
              </w:numPr>
              <w:tabs>
                <w:tab w:val="left" w:pos="0"/>
                <w:tab w:val="left" w:pos="833"/>
              </w:tabs>
              <w:spacing w:before="0" w:after="0" w:line="360" w:lineRule="auto"/>
              <w:ind w:left="0" w:right="0" w:firstLine="0"/>
              <w:jc w:val="center"/>
              <w:rPr>
                <w:b/>
                <w:bCs/>
                <w:sz w:val="21"/>
                <w:szCs w:val="21"/>
              </w:rPr>
            </w:pPr>
            <w:r>
              <w:rPr>
                <w:b/>
                <w:bCs/>
                <w:sz w:val="21"/>
                <w:szCs w:val="21"/>
              </w:rPr>
              <w:t>主要原辅材料物理化学特性</w:t>
            </w:r>
          </w:p>
          <w:tbl>
            <w:tblPr>
              <w:tblStyle w:val="44"/>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 w:type="dxa"/>
                <w:bottom w:w="0" w:type="dxa"/>
                <w:right w:w="6" w:type="dxa"/>
              </w:tblCellMar>
            </w:tblPr>
            <w:tblGrid>
              <w:gridCol w:w="596"/>
              <w:gridCol w:w="1246"/>
              <w:gridCol w:w="65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95" w:type="dxa"/>
                  <w:tcBorders>
                    <w:tl2br w:val="nil"/>
                    <w:tr2bl w:val="nil"/>
                  </w:tcBorders>
                  <w:vAlign w:val="center"/>
                </w:tcPr>
                <w:p>
                  <w:pPr>
                    <w:jc w:val="center"/>
                    <w:rPr>
                      <w:bCs/>
                      <w:szCs w:val="21"/>
                    </w:rPr>
                  </w:pPr>
                  <w:r>
                    <w:rPr>
                      <w:bCs/>
                      <w:szCs w:val="21"/>
                    </w:rPr>
                    <w:t>序号</w:t>
                  </w:r>
                </w:p>
              </w:tc>
              <w:tc>
                <w:tcPr>
                  <w:tcW w:w="1243" w:type="dxa"/>
                  <w:tcBorders>
                    <w:tl2br w:val="nil"/>
                    <w:tr2bl w:val="nil"/>
                  </w:tcBorders>
                  <w:vAlign w:val="center"/>
                </w:tcPr>
                <w:p>
                  <w:pPr>
                    <w:jc w:val="center"/>
                    <w:rPr>
                      <w:bCs/>
                      <w:szCs w:val="21"/>
                    </w:rPr>
                  </w:pPr>
                  <w:r>
                    <w:rPr>
                      <w:bCs/>
                      <w:szCs w:val="21"/>
                    </w:rPr>
                    <w:t>材料名称</w:t>
                  </w:r>
                </w:p>
              </w:tc>
              <w:tc>
                <w:tcPr>
                  <w:tcW w:w="6521" w:type="dxa"/>
                  <w:tcBorders>
                    <w:tl2br w:val="nil"/>
                    <w:tr2bl w:val="nil"/>
                  </w:tcBorders>
                  <w:vAlign w:val="center"/>
                </w:tcPr>
                <w:p>
                  <w:pPr>
                    <w:jc w:val="center"/>
                    <w:rPr>
                      <w:bCs/>
                      <w:szCs w:val="21"/>
                    </w:rPr>
                  </w:pPr>
                  <w:r>
                    <w:rPr>
                      <w:bCs/>
                      <w:szCs w:val="21"/>
                    </w:rPr>
                    <w:t>物理化学特性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1</w:t>
                  </w:r>
                </w:p>
              </w:tc>
              <w:tc>
                <w:tcPr>
                  <w:tcW w:w="1243" w:type="dxa"/>
                  <w:tcBorders>
                    <w:tl2br w:val="nil"/>
                    <w:tr2bl w:val="nil"/>
                  </w:tcBorders>
                  <w:vAlign w:val="center"/>
                </w:tcPr>
                <w:p>
                  <w:pPr>
                    <w:jc w:val="center"/>
                    <w:rPr>
                      <w:szCs w:val="21"/>
                    </w:rPr>
                  </w:pPr>
                  <w:r>
                    <w:rPr>
                      <w:szCs w:val="21"/>
                    </w:rPr>
                    <w:t>柴油</w:t>
                  </w:r>
                </w:p>
              </w:tc>
              <w:tc>
                <w:tcPr>
                  <w:tcW w:w="6521" w:type="dxa"/>
                  <w:tcBorders>
                    <w:tl2br w:val="nil"/>
                    <w:tr2bl w:val="nil"/>
                  </w:tcBorders>
                  <w:vAlign w:val="center"/>
                </w:tcPr>
                <w:p>
                  <w:pPr>
                    <w:jc w:val="center"/>
                    <w:rPr>
                      <w:szCs w:val="21"/>
                    </w:rPr>
                  </w:pPr>
                  <w:r>
                    <w:rPr>
                      <w:szCs w:val="21"/>
                    </w:rPr>
                    <w:t>稍有粘性的棕色液体。与水混溶，可混溶于乙醇。熔点：</w:t>
                  </w:r>
                  <w:r>
                    <w:rPr>
                      <w:rFonts w:hint="eastAsia"/>
                      <w:szCs w:val="21"/>
                    </w:rPr>
                    <w:t>-</w:t>
                  </w:r>
                  <w:r>
                    <w:rPr>
                      <w:szCs w:val="21"/>
                    </w:rPr>
                    <w:t>18℃，沸点：282－338℃，闪点：55℃，引燃温度：257℃，燃烧分解产物：一氧化碳、二氧化碳。禁忌物：强氧化剂、卤素。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2</w:t>
                  </w:r>
                </w:p>
              </w:tc>
              <w:tc>
                <w:tcPr>
                  <w:tcW w:w="1243" w:type="dxa"/>
                  <w:tcBorders>
                    <w:tl2br w:val="nil"/>
                    <w:tr2bl w:val="nil"/>
                  </w:tcBorders>
                  <w:vAlign w:val="center"/>
                </w:tcPr>
                <w:p>
                  <w:pPr>
                    <w:jc w:val="center"/>
                    <w:rPr>
                      <w:szCs w:val="21"/>
                    </w:rPr>
                  </w:pPr>
                  <w:r>
                    <w:rPr>
                      <w:szCs w:val="21"/>
                    </w:rPr>
                    <w:t>防塌润滑剂FRH</w:t>
                  </w:r>
                </w:p>
              </w:tc>
              <w:tc>
                <w:tcPr>
                  <w:tcW w:w="6521" w:type="dxa"/>
                  <w:tcBorders>
                    <w:tl2br w:val="nil"/>
                    <w:tr2bl w:val="nil"/>
                  </w:tcBorders>
                  <w:vAlign w:val="center"/>
                </w:tcPr>
                <w:p>
                  <w:pPr>
                    <w:jc w:val="center"/>
                    <w:rPr>
                      <w:szCs w:val="21"/>
                    </w:rPr>
                  </w:pPr>
                  <w:r>
                    <w:rPr>
                      <w:szCs w:val="21"/>
                    </w:rPr>
                    <w:t>钻井液用无荧光防塌润滑剂为黑色或黑褐色粉末及颗粒，能有效地改善泥饼质量，又有明显的防塌作用，并可降低摩擦阻系数，具有良好的润滑作用。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3</w:t>
                  </w:r>
                </w:p>
              </w:tc>
              <w:tc>
                <w:tcPr>
                  <w:tcW w:w="1243" w:type="dxa"/>
                  <w:tcBorders>
                    <w:tl2br w:val="nil"/>
                    <w:tr2bl w:val="nil"/>
                  </w:tcBorders>
                  <w:vAlign w:val="center"/>
                </w:tcPr>
                <w:p>
                  <w:pPr>
                    <w:jc w:val="center"/>
                    <w:rPr>
                      <w:szCs w:val="21"/>
                    </w:rPr>
                  </w:pPr>
                  <w:r>
                    <w:rPr>
                      <w:szCs w:val="21"/>
                    </w:rPr>
                    <w:t>聚丙烯酰胺钾盐K-PAM</w:t>
                  </w:r>
                </w:p>
              </w:tc>
              <w:tc>
                <w:tcPr>
                  <w:tcW w:w="6521" w:type="dxa"/>
                  <w:tcBorders>
                    <w:tl2br w:val="nil"/>
                    <w:tr2bl w:val="nil"/>
                  </w:tcBorders>
                  <w:vAlign w:val="center"/>
                </w:tcPr>
                <w:p>
                  <w:pPr>
                    <w:jc w:val="center"/>
                    <w:rPr>
                      <w:szCs w:val="21"/>
                    </w:rPr>
                  </w:pPr>
                  <w:r>
                    <w:rPr>
                      <w:szCs w:val="21"/>
                    </w:rPr>
                    <w:t>该产品是一种无毒、无腐蚀的井壁稳定剂，易溶于水。具有抑制泥页岩及钻屑分散作用，兼有降失水、改善流型和增加润滑等性能。可以有效的抑制地层造浆并能与多种处理剂配伍，是一种应用广、较理想的井壁稳定剂。外观呈白色或淡黄色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4</w:t>
                  </w:r>
                </w:p>
              </w:tc>
              <w:tc>
                <w:tcPr>
                  <w:tcW w:w="1243" w:type="dxa"/>
                  <w:tcBorders>
                    <w:tl2br w:val="nil"/>
                    <w:tr2bl w:val="nil"/>
                  </w:tcBorders>
                  <w:vAlign w:val="center"/>
                </w:tcPr>
                <w:p>
                  <w:pPr>
                    <w:jc w:val="center"/>
                    <w:rPr>
                      <w:szCs w:val="21"/>
                    </w:rPr>
                  </w:pPr>
                  <w:r>
                    <w:rPr>
                      <w:szCs w:val="21"/>
                    </w:rPr>
                    <w:t>聚合物强包被剂</w:t>
                  </w:r>
                </w:p>
                <w:p>
                  <w:pPr>
                    <w:jc w:val="center"/>
                    <w:rPr>
                      <w:szCs w:val="21"/>
                    </w:rPr>
                  </w:pPr>
                  <w:r>
                    <w:rPr>
                      <w:szCs w:val="21"/>
                    </w:rPr>
                    <w:t>FA367</w:t>
                  </w:r>
                </w:p>
              </w:tc>
              <w:tc>
                <w:tcPr>
                  <w:tcW w:w="6521" w:type="dxa"/>
                  <w:tcBorders>
                    <w:tl2br w:val="nil"/>
                    <w:tr2bl w:val="nil"/>
                  </w:tcBorders>
                  <w:vAlign w:val="center"/>
                </w:tcPr>
                <w:p>
                  <w:pPr>
                    <w:jc w:val="center"/>
                    <w:rPr>
                      <w:szCs w:val="21"/>
                    </w:rPr>
                  </w:pPr>
                  <w:r>
                    <w:rPr>
                      <w:szCs w:val="21"/>
                    </w:rPr>
                    <w:t>是由含有多种有机阳离子基因、阴离子基因和非离子基因的单体通过共聚而形成的水溶性高分子聚合物，既能增强泥浆的抑制性，抑制泥页岩的水化膨胀，控制地层造浆，又能维持泥浆性能的稳定，改善流变性，降低摩阻和滤失量，有利于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5</w:t>
                  </w:r>
                </w:p>
              </w:tc>
              <w:tc>
                <w:tcPr>
                  <w:tcW w:w="1243" w:type="dxa"/>
                  <w:tcBorders>
                    <w:tl2br w:val="nil"/>
                    <w:tr2bl w:val="nil"/>
                  </w:tcBorders>
                  <w:vAlign w:val="center"/>
                </w:tcPr>
                <w:p>
                  <w:pPr>
                    <w:jc w:val="center"/>
                    <w:rPr>
                      <w:szCs w:val="21"/>
                    </w:rPr>
                  </w:pPr>
                  <w:r>
                    <w:rPr>
                      <w:szCs w:val="21"/>
                    </w:rPr>
                    <w:t>低</w:t>
                  </w:r>
                  <w:r>
                    <w:rPr>
                      <w:rFonts w:hint="eastAsia"/>
                      <w:szCs w:val="21"/>
                    </w:rPr>
                    <w:t>黏度</w:t>
                  </w:r>
                  <w:r>
                    <w:rPr>
                      <w:szCs w:val="21"/>
                    </w:rPr>
                    <w:t>聚阴离子纤维素PAC-LV</w:t>
                  </w:r>
                </w:p>
              </w:tc>
              <w:tc>
                <w:tcPr>
                  <w:tcW w:w="6521" w:type="dxa"/>
                  <w:tcBorders>
                    <w:tl2br w:val="nil"/>
                    <w:tr2bl w:val="nil"/>
                  </w:tcBorders>
                  <w:vAlign w:val="center"/>
                </w:tcPr>
                <w:p>
                  <w:pPr>
                    <w:jc w:val="center"/>
                    <w:rPr>
                      <w:szCs w:val="21"/>
                    </w:rPr>
                  </w:pPr>
                  <w:r>
                    <w:rPr>
                      <w:szCs w:val="21"/>
                    </w:rPr>
                    <w:t>低</w:t>
                  </w:r>
                  <w:r>
                    <w:rPr>
                      <w:rFonts w:hint="eastAsia"/>
                      <w:szCs w:val="21"/>
                    </w:rPr>
                    <w:t>黏度</w:t>
                  </w:r>
                  <w:r>
                    <w:rPr>
                      <w:szCs w:val="21"/>
                    </w:rPr>
                    <w:t>聚阴离子纤维素是低分子量、低</w:t>
                  </w:r>
                  <w:r>
                    <w:rPr>
                      <w:rFonts w:hint="eastAsia"/>
                      <w:szCs w:val="21"/>
                    </w:rPr>
                    <w:t>黏度</w:t>
                  </w:r>
                  <w:r>
                    <w:rPr>
                      <w:szCs w:val="21"/>
                    </w:rPr>
                    <w:t>的聚合物，适用于水基钻井液，特别是含固体颗粒的钻井液，能有效地降低水基泥浆的滤失量，不会增加</w:t>
                  </w:r>
                  <w:r>
                    <w:rPr>
                      <w:rFonts w:hint="eastAsia"/>
                      <w:szCs w:val="21"/>
                    </w:rPr>
                    <w:t>黏度</w:t>
                  </w:r>
                  <w:r>
                    <w:rPr>
                      <w:szCs w:val="21"/>
                    </w:rPr>
                    <w:t>和胶凝强度。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6</w:t>
                  </w:r>
                </w:p>
              </w:tc>
              <w:tc>
                <w:tcPr>
                  <w:tcW w:w="1243" w:type="dxa"/>
                  <w:tcBorders>
                    <w:tl2br w:val="nil"/>
                    <w:tr2bl w:val="nil"/>
                  </w:tcBorders>
                  <w:vAlign w:val="center"/>
                </w:tcPr>
                <w:p>
                  <w:pPr>
                    <w:jc w:val="center"/>
                    <w:rPr>
                      <w:szCs w:val="21"/>
                    </w:rPr>
                  </w:pPr>
                  <w:r>
                    <w:rPr>
                      <w:szCs w:val="21"/>
                    </w:rPr>
                    <w:t>重晶石粉BaSO</w:t>
                  </w:r>
                  <w:r>
                    <w:rPr>
                      <w:szCs w:val="21"/>
                      <w:vertAlign w:val="subscript"/>
                    </w:rPr>
                    <w:t>4</w:t>
                  </w:r>
                </w:p>
              </w:tc>
              <w:tc>
                <w:tcPr>
                  <w:tcW w:w="6521" w:type="dxa"/>
                  <w:tcBorders>
                    <w:tl2br w:val="nil"/>
                    <w:tr2bl w:val="nil"/>
                  </w:tcBorders>
                  <w:vAlign w:val="center"/>
                </w:tcPr>
                <w:p>
                  <w:pPr>
                    <w:jc w:val="center"/>
                    <w:rPr>
                      <w:szCs w:val="21"/>
                    </w:rPr>
                  </w:pPr>
                  <w:r>
                    <w:rPr>
                      <w:szCs w:val="21"/>
                    </w:rPr>
                    <w:t>BaSO</w:t>
                  </w:r>
                  <w:r>
                    <w:rPr>
                      <w:szCs w:val="21"/>
                      <w:vertAlign w:val="subscript"/>
                    </w:rPr>
                    <w:t>4</w:t>
                  </w:r>
                  <w:r>
                    <w:rPr>
                      <w:szCs w:val="21"/>
                    </w:rPr>
                    <w:t>，常作为钻井泥加重剂使用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7</w:t>
                  </w:r>
                </w:p>
              </w:tc>
              <w:tc>
                <w:tcPr>
                  <w:tcW w:w="1243" w:type="dxa"/>
                  <w:tcBorders>
                    <w:tl2br w:val="nil"/>
                    <w:tr2bl w:val="nil"/>
                  </w:tcBorders>
                  <w:vAlign w:val="center"/>
                </w:tcPr>
                <w:p>
                  <w:pPr>
                    <w:jc w:val="center"/>
                    <w:rPr>
                      <w:szCs w:val="21"/>
                    </w:rPr>
                  </w:pPr>
                  <w:r>
                    <w:rPr>
                      <w:szCs w:val="21"/>
                    </w:rPr>
                    <w:t>降滤失剂RSTF</w:t>
                  </w:r>
                </w:p>
              </w:tc>
              <w:tc>
                <w:tcPr>
                  <w:tcW w:w="6521" w:type="dxa"/>
                  <w:tcBorders>
                    <w:tl2br w:val="nil"/>
                    <w:tr2bl w:val="nil"/>
                  </w:tcBorders>
                  <w:vAlign w:val="center"/>
                </w:tcPr>
                <w:p>
                  <w:pPr>
                    <w:jc w:val="center"/>
                    <w:rPr>
                      <w:szCs w:val="21"/>
                    </w:rPr>
                  </w:pPr>
                  <w:r>
                    <w:rPr>
                      <w:szCs w:val="21"/>
                    </w:rPr>
                    <w:t>黑褐色粉末，用于水基钻井液的降滤失剂，抑制页岩水化膨胀作用、增稠作用等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8</w:t>
                  </w:r>
                </w:p>
              </w:tc>
              <w:tc>
                <w:tcPr>
                  <w:tcW w:w="1243" w:type="dxa"/>
                  <w:tcBorders>
                    <w:tl2br w:val="nil"/>
                    <w:tr2bl w:val="nil"/>
                  </w:tcBorders>
                  <w:vAlign w:val="center"/>
                </w:tcPr>
                <w:p>
                  <w:pPr>
                    <w:jc w:val="center"/>
                    <w:rPr>
                      <w:szCs w:val="21"/>
                    </w:rPr>
                  </w:pPr>
                  <w:r>
                    <w:rPr>
                      <w:szCs w:val="21"/>
                    </w:rPr>
                    <w:t>白油</w:t>
                  </w:r>
                </w:p>
              </w:tc>
              <w:tc>
                <w:tcPr>
                  <w:tcW w:w="6521" w:type="dxa"/>
                  <w:tcBorders>
                    <w:tl2br w:val="nil"/>
                    <w:tr2bl w:val="nil"/>
                  </w:tcBorders>
                  <w:vAlign w:val="center"/>
                </w:tcPr>
                <w:p>
                  <w:pPr>
                    <w:jc w:val="center"/>
                    <w:rPr>
                      <w:szCs w:val="21"/>
                    </w:rPr>
                  </w:pPr>
                  <w:r>
                    <w:rPr>
                      <w:szCs w:val="21"/>
                    </w:rPr>
                    <w:t>白油：C16~C31的正异构烷烃的混合物，无色透明油状液体，无臭味，具有润滑性，不溶于水和乙醇。油基钻井液：基本组成是油、水、有机粘土和油溶性化学处理剂。本工程使用油基钻井液由白油、有机土、主乳化剂、润湿剂、降滤失剂、封堵剂、加重剂组成的钻井液体系。主要成分为白油，无色透明油状液体，没有气味。比重 0.831～0.883，闪点（开式）164～223℃，运动黏度（50℃）5.7～26mm</w:t>
                  </w:r>
                  <w:r>
                    <w:rPr>
                      <w:szCs w:val="21"/>
                      <w:vertAlign w:val="superscript"/>
                    </w:rPr>
                    <w:t>2</w:t>
                  </w:r>
                  <w:r>
                    <w:rPr>
                      <w:szCs w:val="21"/>
                    </w:rPr>
                    <w:t>/s，酸值≤0.05。对酸、光、热均稳定，不溶于乙醇，溶于乙醚、苯、石油醚等，并可与多数脂肪油互溶。为液体类烃类的混合物，主要成分为C16～C31的正异构烷烃的混合物，是自石油分馏的高沸馏分，依据黏度等性质的不同。白油的分子量通常都在250～450范围之内，具有良好的氧化安定性、化学稳定性、光安定性，无色、无味，不腐蚀纤维纺织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jc w:val="center"/>
                    <w:rPr>
                      <w:szCs w:val="21"/>
                    </w:rPr>
                  </w:pPr>
                  <w:r>
                    <w:rPr>
                      <w:szCs w:val="21"/>
                    </w:rPr>
                    <w:t>9</w:t>
                  </w:r>
                </w:p>
              </w:tc>
              <w:tc>
                <w:tcPr>
                  <w:tcW w:w="1243" w:type="dxa"/>
                  <w:tcBorders>
                    <w:tl2br w:val="nil"/>
                    <w:tr2bl w:val="nil"/>
                  </w:tcBorders>
                  <w:vAlign w:val="center"/>
                </w:tcPr>
                <w:p>
                  <w:pPr>
                    <w:jc w:val="center"/>
                    <w:rPr>
                      <w:szCs w:val="21"/>
                    </w:rPr>
                  </w:pPr>
                  <w:r>
                    <w:rPr>
                      <w:rFonts w:hint="eastAsia"/>
                      <w:szCs w:val="21"/>
                    </w:rPr>
                    <w:t>生物聚合物黄原胶</w:t>
                  </w:r>
                  <w:r>
                    <w:rPr>
                      <w:szCs w:val="21"/>
                    </w:rPr>
                    <w:t>XCD</w:t>
                  </w:r>
                </w:p>
              </w:tc>
              <w:tc>
                <w:tcPr>
                  <w:tcW w:w="6521" w:type="dxa"/>
                  <w:tcBorders>
                    <w:tl2br w:val="nil"/>
                    <w:tr2bl w:val="nil"/>
                  </w:tcBorders>
                  <w:vAlign w:val="center"/>
                </w:tcPr>
                <w:p>
                  <w:pPr>
                    <w:jc w:val="center"/>
                    <w:rPr>
                      <w:szCs w:val="21"/>
                    </w:rPr>
                  </w:pPr>
                  <w:r>
                    <w:rPr>
                      <w:rFonts w:hint="eastAsia"/>
                      <w:szCs w:val="21"/>
                    </w:rPr>
                    <w:t>是一种多功能的生物高分子聚合物，外观呈类黄或类白色粉末，钻井液用增粘剂，可以保持水基钻井液的黏度和控制其流变性能。在高速转动的钻头部位黏度极小，大大节约了动力；而在相对静止的钻孔部位却保持高能黏度，起到防止井壁坍塌、便于切削碎石、排出井外等作用。</w:t>
                  </w:r>
                </w:p>
              </w:tc>
            </w:tr>
          </w:tbl>
          <w:p>
            <w:pPr>
              <w:spacing w:line="360" w:lineRule="auto"/>
              <w:jc w:val="left"/>
              <w:rPr>
                <w:b/>
                <w:sz w:val="24"/>
              </w:rPr>
            </w:pPr>
            <w:r>
              <w:rPr>
                <w:b/>
                <w:sz w:val="24"/>
              </w:rPr>
              <w:t>2.7公用工程</w:t>
            </w:r>
          </w:p>
          <w:p>
            <w:pPr>
              <w:spacing w:line="360" w:lineRule="auto"/>
              <w:ind w:firstLine="480" w:firstLineChars="200"/>
              <w:rPr>
                <w:bCs/>
                <w:sz w:val="24"/>
              </w:rPr>
            </w:pPr>
            <w:bookmarkStart w:id="16" w:name="_Hlk80691261"/>
            <w:bookmarkStart w:id="17" w:name="_Hlk86168349"/>
            <w:r>
              <w:rPr>
                <w:bCs/>
                <w:sz w:val="24"/>
              </w:rPr>
              <w:t>（1）供电</w:t>
            </w:r>
          </w:p>
          <w:p>
            <w:pPr>
              <w:spacing w:line="360" w:lineRule="auto"/>
              <w:ind w:firstLine="480" w:firstLineChars="200"/>
              <w:rPr>
                <w:bCs/>
                <w:sz w:val="24"/>
              </w:rPr>
            </w:pPr>
            <w:r>
              <w:rPr>
                <w:bCs/>
                <w:sz w:val="24"/>
              </w:rPr>
              <w:t>本项目</w:t>
            </w:r>
            <w:r>
              <w:rPr>
                <w:rFonts w:hint="eastAsia"/>
                <w:bCs/>
                <w:sz w:val="24"/>
              </w:rPr>
              <w:t>钻井采用网电钻井，备用</w:t>
            </w:r>
            <w:r>
              <w:rPr>
                <w:bCs/>
                <w:sz w:val="24"/>
              </w:rPr>
              <w:t>柴油发电机发电，井场内配置3台柴油电动机组，2用1备，型号为G12V190PZLG-3，功率为810KW，柴油电动机组设置在发电机房内。</w:t>
            </w:r>
          </w:p>
          <w:p>
            <w:pPr>
              <w:spacing w:line="360" w:lineRule="auto"/>
              <w:ind w:firstLine="480" w:firstLineChars="200"/>
              <w:rPr>
                <w:bCs/>
                <w:sz w:val="24"/>
              </w:rPr>
            </w:pPr>
            <w:r>
              <w:rPr>
                <w:bCs/>
                <w:sz w:val="24"/>
              </w:rPr>
              <w:t>（2）给水工程</w:t>
            </w:r>
          </w:p>
          <w:p>
            <w:pPr>
              <w:spacing w:line="360" w:lineRule="auto"/>
              <w:ind w:firstLine="480" w:firstLineChars="200"/>
              <w:rPr>
                <w:sz w:val="24"/>
              </w:rPr>
            </w:pPr>
            <w:r>
              <w:rPr>
                <w:sz w:val="24"/>
              </w:rPr>
              <w:t>本项目用水包括作业用水和生活用水，生活用水从附近场镇购买，作业用水由罐车从</w:t>
            </w:r>
            <w:r>
              <w:rPr>
                <w:rFonts w:hint="eastAsia"/>
                <w:sz w:val="24"/>
              </w:rPr>
              <w:t>当地</w:t>
            </w:r>
            <w:r>
              <w:rPr>
                <w:sz w:val="24"/>
              </w:rPr>
              <w:t>自来水管网取水拉运至井场水罐储存，由于钻井用水对水质要求不高，为避免使用项目周边地下水，因此采用自来水管网取水。</w:t>
            </w:r>
          </w:p>
          <w:p>
            <w:pPr>
              <w:spacing w:line="360" w:lineRule="auto"/>
              <w:ind w:firstLine="480" w:firstLineChars="200"/>
              <w:rPr>
                <w:sz w:val="24"/>
              </w:rPr>
            </w:pPr>
            <w:r>
              <w:rPr>
                <w:sz w:val="24"/>
              </w:rPr>
              <w:t>（3）排水工程</w:t>
            </w:r>
          </w:p>
          <w:p>
            <w:pPr>
              <w:spacing w:line="360" w:lineRule="auto"/>
              <w:ind w:firstLine="480" w:firstLineChars="200"/>
              <w:rPr>
                <w:sz w:val="24"/>
              </w:rPr>
            </w:pPr>
            <w:r>
              <w:rPr>
                <w:sz w:val="24"/>
              </w:rPr>
              <w:t>井场采用清污分流、雨污分流制。</w:t>
            </w:r>
          </w:p>
          <w:p>
            <w:pPr>
              <w:spacing w:line="360" w:lineRule="auto"/>
              <w:ind w:firstLine="480" w:firstLineChars="200"/>
              <w:rPr>
                <w:sz w:val="24"/>
              </w:rPr>
            </w:pPr>
            <w:bookmarkStart w:id="18" w:name="_Hlk69130998"/>
            <w:r>
              <w:rPr>
                <w:rFonts w:hint="eastAsia"/>
                <w:sz w:val="24"/>
              </w:rPr>
              <w:t>新建</w:t>
            </w:r>
            <w:r>
              <w:rPr>
                <w:sz w:val="24"/>
              </w:rPr>
              <w:t>场外排水沟</w:t>
            </w:r>
            <w:r>
              <w:rPr>
                <w:rFonts w:hint="eastAsia"/>
                <w:sz w:val="24"/>
              </w:rPr>
              <w:t>320m</w:t>
            </w:r>
            <w:r>
              <w:rPr>
                <w:sz w:val="24"/>
              </w:rPr>
              <w:t>，场外雨水通过场外排水沟排入自然水系。</w:t>
            </w:r>
          </w:p>
          <w:p>
            <w:pPr>
              <w:spacing w:line="360" w:lineRule="auto"/>
              <w:ind w:firstLine="480" w:firstLineChars="200"/>
              <w:rPr>
                <w:kern w:val="0"/>
                <w:szCs w:val="21"/>
              </w:rPr>
            </w:pPr>
            <w:r>
              <w:rPr>
                <w:sz w:val="24"/>
              </w:rPr>
              <w:t>场内清水沟规格为400mm宽×300mm深，总长</w:t>
            </w:r>
            <w:r>
              <w:rPr>
                <w:rFonts w:hint="eastAsia"/>
                <w:sz w:val="24"/>
              </w:rPr>
              <w:t>400m</w:t>
            </w:r>
            <w:r>
              <w:rPr>
                <w:sz w:val="24"/>
              </w:rPr>
              <w:t>，不设置流水坡度。场内排水沟及隔油池，实现井场范围内清水与污水分流。井场内产污区和清洁生产操作平台设置挡水墙与井场清洁区分隔，产污区的废水经污水截流沟进入隔油池，通过集水坑泵入清洁生产操作平台废水罐处理回用。井场清洁区雨水通过排水沟和隔油池处理后排入自然水体。油罐区设置隔油池1座处理排入自然水系。生活污水经</w:t>
            </w:r>
            <w:r>
              <w:rPr>
                <w:rFonts w:hint="eastAsia"/>
                <w:sz w:val="24"/>
              </w:rPr>
              <w:t>生态一体化厕所</w:t>
            </w:r>
            <w:r>
              <w:rPr>
                <w:sz w:val="24"/>
              </w:rPr>
              <w:t>收集后由吸污车拉运至</w:t>
            </w:r>
            <w:r>
              <w:rPr>
                <w:rFonts w:hint="eastAsia"/>
                <w:sz w:val="24"/>
              </w:rPr>
              <w:t>大成镇</w:t>
            </w:r>
            <w:r>
              <w:rPr>
                <w:sz w:val="24"/>
              </w:rPr>
              <w:t>污水处理厂处理后排放。厨房废水经10m</w:t>
            </w:r>
            <w:r>
              <w:rPr>
                <w:sz w:val="24"/>
                <w:vertAlign w:val="superscript"/>
              </w:rPr>
              <w:t>3</w:t>
            </w:r>
            <w:r>
              <w:rPr>
                <w:sz w:val="24"/>
              </w:rPr>
              <w:t>隔油池处理后同生活污水处置。</w:t>
            </w:r>
            <w:bookmarkEnd w:id="16"/>
            <w:bookmarkEnd w:id="17"/>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24" w:type="dxa"/>
            <w:vAlign w:val="center"/>
          </w:tcPr>
          <w:p>
            <w:pPr>
              <w:adjustRightInd w:val="0"/>
              <w:snapToGrid w:val="0"/>
              <w:jc w:val="center"/>
              <w:rPr>
                <w:kern w:val="0"/>
                <w:szCs w:val="21"/>
              </w:rPr>
            </w:pPr>
            <w:r>
              <w:rPr>
                <w:kern w:val="0"/>
                <w:szCs w:val="21"/>
              </w:rPr>
              <w:t>总平面及现场布置</w:t>
            </w:r>
          </w:p>
        </w:tc>
        <w:tc>
          <w:tcPr>
            <w:tcW w:w="8098" w:type="dxa"/>
            <w:vAlign w:val="center"/>
          </w:tcPr>
          <w:p>
            <w:pPr>
              <w:spacing w:line="360" w:lineRule="auto"/>
              <w:rPr>
                <w:b/>
                <w:sz w:val="24"/>
              </w:rPr>
            </w:pPr>
            <w:r>
              <w:rPr>
                <w:b/>
                <w:sz w:val="24"/>
              </w:rPr>
              <w:t>2.8工程占地与土石方平衡</w:t>
            </w:r>
          </w:p>
          <w:p>
            <w:pPr>
              <w:spacing w:line="360" w:lineRule="auto"/>
              <w:ind w:firstLine="480" w:firstLineChars="200"/>
              <w:rPr>
                <w:bCs/>
                <w:sz w:val="24"/>
              </w:rPr>
            </w:pPr>
            <w:r>
              <w:rPr>
                <w:bCs/>
                <w:sz w:val="24"/>
              </w:rPr>
              <w:t>（1）工程占地情况</w:t>
            </w:r>
          </w:p>
          <w:p>
            <w:pPr>
              <w:pStyle w:val="213"/>
              <w:rPr>
                <w:rFonts w:hint="default"/>
                <w:kern w:val="0"/>
                <w:lang w:bidi="ar"/>
              </w:rPr>
            </w:pPr>
            <w:r>
              <w:rPr>
                <w:rFonts w:hint="eastAsia"/>
                <w:kern w:val="0"/>
                <w:lang w:bidi="ar"/>
              </w:rPr>
              <w:t>铁北1侧HF井依托原有井场</w:t>
            </w:r>
            <w:r>
              <w:rPr>
                <w:kern w:val="0"/>
                <w:lang w:bidi="ar"/>
              </w:rPr>
              <w:t>占地约</w:t>
            </w:r>
            <w:r>
              <w:rPr>
                <w:rFonts w:hint="eastAsia"/>
                <w:kern w:val="0"/>
                <w:lang w:val="en-US" w:eastAsia="zh-CN" w:bidi="ar"/>
              </w:rPr>
              <w:t>6850</w:t>
            </w:r>
            <w:r>
              <w:rPr>
                <w:kern w:val="0"/>
                <w:lang w:bidi="ar"/>
              </w:rPr>
              <w:t>m</w:t>
            </w:r>
            <w:r>
              <w:rPr>
                <w:kern w:val="0"/>
                <w:vertAlign w:val="superscript"/>
                <w:lang w:bidi="ar"/>
              </w:rPr>
              <w:t>2</w:t>
            </w:r>
            <w:r>
              <w:rPr>
                <w:kern w:val="0"/>
                <w:lang w:bidi="ar"/>
              </w:rPr>
              <w:t>，</w:t>
            </w:r>
            <w:r>
              <w:rPr>
                <w:rFonts w:hint="eastAsia"/>
                <w:kern w:val="0"/>
                <w:lang w:val="en-US" w:eastAsia="zh-CN" w:bidi="ar"/>
              </w:rPr>
              <w:t>新增临时占地8589m</w:t>
            </w:r>
            <w:r>
              <w:rPr>
                <w:rFonts w:hint="eastAsia"/>
                <w:kern w:val="0"/>
                <w:vertAlign w:val="superscript"/>
                <w:lang w:val="en-US" w:eastAsia="zh-CN" w:bidi="ar"/>
              </w:rPr>
              <w:t>2</w:t>
            </w:r>
            <w:r>
              <w:rPr>
                <w:kern w:val="0"/>
                <w:lang w:bidi="ar"/>
              </w:rPr>
              <w:t>。</w:t>
            </w:r>
            <w:r>
              <w:rPr>
                <w:rFonts w:hint="eastAsia"/>
                <w:kern w:val="0"/>
                <w:lang w:val="en-US" w:eastAsia="zh-CN" w:bidi="ar"/>
              </w:rPr>
              <w:t>施工</w:t>
            </w:r>
            <w:r>
              <w:rPr>
                <w:rFonts w:hint="default"/>
                <w:kern w:val="0"/>
                <w:lang w:bidi="ar"/>
              </w:rPr>
              <w:t>期间用地均为临时用地。经核实项目占地</w:t>
            </w:r>
            <w:r>
              <w:rPr>
                <w:rFonts w:hint="eastAsia"/>
                <w:kern w:val="0"/>
                <w:lang w:val="en-US" w:eastAsia="zh-CN" w:bidi="ar"/>
              </w:rPr>
              <w:t>占用</w:t>
            </w:r>
            <w:r>
              <w:rPr>
                <w:rFonts w:hint="default"/>
                <w:kern w:val="0"/>
                <w:lang w:bidi="ar"/>
              </w:rPr>
              <w:t>永久基本农田。根据钻前设计资料，以旱地</w:t>
            </w:r>
            <w:r>
              <w:rPr>
                <w:rFonts w:hint="default"/>
                <w:kern w:val="0"/>
                <w:lang w:eastAsia="zh-CN" w:bidi="ar"/>
              </w:rPr>
              <w:t>、</w:t>
            </w:r>
            <w:r>
              <w:rPr>
                <w:rFonts w:hint="default"/>
                <w:kern w:val="0"/>
                <w:lang w:val="en-US" w:eastAsia="zh-CN" w:bidi="ar"/>
              </w:rPr>
              <w:t>水田</w:t>
            </w:r>
            <w:r>
              <w:rPr>
                <w:rFonts w:hint="default"/>
                <w:kern w:val="0"/>
                <w:lang w:bidi="ar"/>
              </w:rPr>
              <w:t>为主，不占用自然保护区、天然林地等。旱地内主要种植着季节性蔬菜等农作物，建设单位根据占地面积对当地农户进行赔偿。根据《自然资源部 农业农村部关于加强和改进永久基本农田保护工作的通知》（自然资规【2019】1号），本项目属战略性矿产的地质勘查，占地暂按临时用地，并按《中华人民共和国土地管理法》《四川土地管理实施办法》，办理相关临时用地手续。建设单位应在工程实施前办理临时用地协议。项目占地情况详见下表。</w:t>
            </w:r>
          </w:p>
          <w:p>
            <w:pPr>
              <w:pStyle w:val="20"/>
              <w:numPr>
                <w:ilvl w:val="0"/>
                <w:numId w:val="5"/>
              </w:numPr>
              <w:tabs>
                <w:tab w:val="left" w:pos="0"/>
                <w:tab w:val="left" w:pos="833"/>
              </w:tabs>
              <w:spacing w:before="0" w:after="0" w:line="360" w:lineRule="auto"/>
              <w:ind w:left="0" w:right="0"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本工程占地类型一览表     单位：m</w:t>
            </w:r>
            <w:r>
              <w:rPr>
                <w:rFonts w:hint="default" w:ascii="Times New Roman" w:hAnsi="Times New Roman" w:cs="Times New Roman"/>
                <w:b/>
                <w:bCs/>
                <w:sz w:val="21"/>
                <w:szCs w:val="21"/>
                <w:vertAlign w:val="superscript"/>
              </w:rPr>
              <w:t>2</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715"/>
              <w:gridCol w:w="1964"/>
              <w:gridCol w:w="2033"/>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6"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场地名称</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占地类型</w:t>
                  </w:r>
                </w:p>
              </w:tc>
              <w:tc>
                <w:tcPr>
                  <w:tcW w:w="2033" w:type="dxa"/>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原有</w:t>
                  </w:r>
                  <w:r>
                    <w:rPr>
                      <w:rFonts w:hint="default" w:ascii="Times New Roman" w:hAnsi="Times New Roman" w:cs="Times New Roman"/>
                      <w:szCs w:val="21"/>
                    </w:rPr>
                    <w:t>占地面积</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新增占地面积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11"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临时征地</w:t>
                  </w:r>
                </w:p>
              </w:tc>
              <w:tc>
                <w:tcPr>
                  <w:tcW w:w="1715"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井场工程</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旱地</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5709</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continue"/>
                  <w:tcBorders>
                    <w:tl2br w:val="nil"/>
                    <w:tr2bl w:val="nil"/>
                  </w:tcBorders>
                  <w:vAlign w:val="center"/>
                </w:tcPr>
                <w:p>
                  <w:pPr>
                    <w:jc w:val="center"/>
                    <w:rPr>
                      <w:rFonts w:hint="default" w:ascii="Times New Roman" w:hAnsi="Times New Roman" w:cs="Times New Roman"/>
                      <w:szCs w:val="21"/>
                    </w:rPr>
                  </w:pP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水田</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清水池、废水池</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旱地</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788</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continue"/>
                  <w:tcBorders>
                    <w:tl2br w:val="nil"/>
                    <w:tr2bl w:val="nil"/>
                  </w:tcBorders>
                  <w:vAlign w:val="center"/>
                </w:tcPr>
                <w:p>
                  <w:pPr>
                    <w:jc w:val="center"/>
                    <w:rPr>
                      <w:rFonts w:hint="default" w:ascii="Times New Roman" w:hAnsi="Times New Roman" w:cs="Times New Roman"/>
                      <w:szCs w:val="21"/>
                    </w:rPr>
                  </w:pP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水田</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restart"/>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放喷池</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旱地</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continue"/>
                  <w:tcBorders>
                    <w:tl2br w:val="nil"/>
                    <w:tr2bl w:val="nil"/>
                  </w:tcBorders>
                  <w:vAlign w:val="center"/>
                </w:tcPr>
                <w:p>
                  <w:pPr>
                    <w:jc w:val="center"/>
                    <w:rPr>
                      <w:rFonts w:hint="default" w:ascii="Times New Roman" w:hAnsi="Times New Roman" w:cs="Times New Roman"/>
                      <w:szCs w:val="21"/>
                    </w:rPr>
                  </w:pP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水田</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353</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生活区</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水田</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continue"/>
                  <w:tcBorders>
                    <w:tl2br w:val="nil"/>
                    <w:tr2bl w:val="nil"/>
                  </w:tcBorders>
                  <w:vAlign w:val="center"/>
                </w:tcPr>
                <w:p>
                  <w:pPr>
                    <w:jc w:val="center"/>
                    <w:rPr>
                      <w:rFonts w:hint="default" w:ascii="Times New Roman" w:hAnsi="Times New Roman" w:cs="Times New Roman"/>
                      <w:szCs w:val="21"/>
                    </w:rPr>
                  </w:pP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旱地</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道路工程</w:t>
                  </w:r>
                </w:p>
              </w:tc>
              <w:tc>
                <w:tcPr>
                  <w:tcW w:w="1964"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耕植土堆放区</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旱地</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vMerge w:val="continue"/>
                  <w:tcBorders>
                    <w:tl2br w:val="nil"/>
                    <w:tr2bl w:val="nil"/>
                  </w:tcBorders>
                  <w:vAlign w:val="center"/>
                </w:tcPr>
                <w:p>
                  <w:pPr>
                    <w:jc w:val="center"/>
                    <w:rPr>
                      <w:rFonts w:hint="default" w:ascii="Times New Roman" w:hAnsi="Times New Roman" w:cs="Times New Roman"/>
                      <w:szCs w:val="21"/>
                    </w:rPr>
                  </w:pP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水田</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2033"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1"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其他用地</w:t>
                  </w:r>
                </w:p>
              </w:tc>
              <w:tc>
                <w:tcPr>
                  <w:tcW w:w="1964"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旱地</w:t>
                  </w:r>
                </w:p>
              </w:tc>
              <w:tc>
                <w:tcPr>
                  <w:tcW w:w="2033" w:type="dxa"/>
                  <w:tcBorders>
                    <w:tl2br w:val="nil"/>
                    <w:tr2bl w:val="nil"/>
                  </w:tcBorders>
                  <w:vAlign w:val="center"/>
                </w:tcPr>
                <w:p>
                  <w:pPr>
                    <w:jc w:val="center"/>
                    <w:rPr>
                      <w:rFonts w:hint="eastAsia" w:ascii="Times New Roman" w:hAnsi="Times New Roman" w:cs="Times New Roman"/>
                      <w:szCs w:val="21"/>
                      <w:lang w:val="en-US" w:eastAsia="zh-CN"/>
                    </w:rPr>
                  </w:pPr>
                </w:p>
              </w:tc>
              <w:tc>
                <w:tcPr>
                  <w:tcW w:w="2033"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6"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总计</w:t>
                  </w:r>
                </w:p>
              </w:tc>
              <w:tc>
                <w:tcPr>
                  <w:tcW w:w="196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6850</w:t>
                  </w:r>
                </w:p>
              </w:tc>
              <w:tc>
                <w:tcPr>
                  <w:tcW w:w="2033"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8589</w:t>
                  </w:r>
                </w:p>
              </w:tc>
            </w:tr>
          </w:tbl>
          <w:p>
            <w:pPr>
              <w:pStyle w:val="213"/>
              <w:rPr>
                <w:kern w:val="0"/>
                <w:lang w:bidi="ar"/>
              </w:rPr>
            </w:pPr>
            <w:r>
              <w:rPr>
                <w:rFonts w:hint="default"/>
                <w:kern w:val="0"/>
                <w:lang w:bidi="ar"/>
              </w:rPr>
              <w:t>根据钻前设计，本工程用地均为临时用地，若完井测试结果表明气井有开采价值，则再行征用工艺装置区用地</w:t>
            </w:r>
          </w:p>
          <w:p>
            <w:pPr>
              <w:spacing w:line="360" w:lineRule="auto"/>
              <w:ind w:firstLine="480" w:firstLineChars="200"/>
              <w:rPr>
                <w:bCs/>
                <w:sz w:val="24"/>
              </w:rPr>
            </w:pPr>
            <w:r>
              <w:rPr>
                <w:bCs/>
                <w:sz w:val="24"/>
              </w:rPr>
              <w:t>（2）项目土石方平衡</w:t>
            </w:r>
          </w:p>
          <w:p>
            <w:pPr>
              <w:pStyle w:val="213"/>
              <w:rPr>
                <w:rFonts w:hint="default"/>
                <w:szCs w:val="24"/>
                <w:lang w:bidi="ar"/>
              </w:rPr>
            </w:pPr>
            <w:r>
              <w:rPr>
                <w:rFonts w:hint="default"/>
                <w:szCs w:val="24"/>
                <w:lang w:bidi="ar"/>
              </w:rPr>
              <w:t>本工程</w:t>
            </w:r>
            <w:r>
              <w:rPr>
                <w:rFonts w:hint="eastAsia"/>
                <w:szCs w:val="24"/>
                <w:lang w:val="en-US" w:eastAsia="zh-CN" w:bidi="ar"/>
              </w:rPr>
              <w:t>实现</w:t>
            </w:r>
            <w:r>
              <w:rPr>
                <w:rFonts w:hint="default"/>
                <w:szCs w:val="24"/>
                <w:lang w:bidi="ar"/>
              </w:rPr>
              <w:t>土石方挖填平衡，</w:t>
            </w:r>
            <w:r>
              <w:rPr>
                <w:rFonts w:hint="eastAsia"/>
                <w:szCs w:val="24"/>
                <w:lang w:val="en-US" w:eastAsia="zh-CN" w:bidi="ar"/>
              </w:rPr>
              <w:t>道路工程在对现有道路进行修整，不涉及表土开挖，仅部分井场扩建及放喷管线建设过程开挖</w:t>
            </w:r>
            <w:r>
              <w:rPr>
                <w:rFonts w:hint="default"/>
                <w:szCs w:val="24"/>
                <w:lang w:bidi="ar"/>
              </w:rPr>
              <w:t>的耕植土</w:t>
            </w:r>
            <w:r>
              <w:rPr>
                <w:rFonts w:hint="eastAsia"/>
                <w:szCs w:val="24"/>
                <w:lang w:eastAsia="zh-CN" w:bidi="ar"/>
              </w:rPr>
              <w:t>，</w:t>
            </w:r>
            <w:r>
              <w:rPr>
                <w:rFonts w:hint="eastAsia"/>
                <w:szCs w:val="24"/>
                <w:lang w:val="en-US" w:eastAsia="zh-CN" w:bidi="ar"/>
              </w:rPr>
              <w:t>根据设计单位提供资料，耕植土开挖量约</w:t>
            </w:r>
            <w:r>
              <w:rPr>
                <w:rFonts w:hint="default"/>
                <w:szCs w:val="24"/>
                <w:lang w:bidi="ar"/>
              </w:rPr>
              <w:t>288</w:t>
            </w:r>
            <w:r>
              <w:rPr>
                <w:rFonts w:hint="eastAsia"/>
                <w:szCs w:val="24"/>
                <w:lang w:val="en-US" w:eastAsia="zh-CN" w:bidi="ar"/>
              </w:rPr>
              <w:t>.</w:t>
            </w:r>
            <w:r>
              <w:rPr>
                <w:rFonts w:hint="default"/>
                <w:szCs w:val="24"/>
                <w:lang w:bidi="ar"/>
              </w:rPr>
              <w:t>9m</w:t>
            </w:r>
            <w:r>
              <w:rPr>
                <w:rFonts w:hint="default"/>
                <w:szCs w:val="24"/>
                <w:vertAlign w:val="superscript"/>
                <w:lang w:bidi="ar"/>
              </w:rPr>
              <w:t>3</w:t>
            </w:r>
            <w:r>
              <w:rPr>
                <w:rFonts w:hint="default"/>
                <w:szCs w:val="24"/>
                <w:lang w:bidi="ar"/>
              </w:rPr>
              <w:t>，临时堆放耕植土堆放区面积为</w:t>
            </w:r>
            <w:r>
              <w:rPr>
                <w:rFonts w:hint="eastAsia"/>
                <w:szCs w:val="24"/>
                <w:lang w:val="en-US" w:eastAsia="zh-CN" w:bidi="ar"/>
              </w:rPr>
              <w:t>505</w:t>
            </w:r>
            <w:r>
              <w:rPr>
                <w:rFonts w:hint="default"/>
                <w:szCs w:val="24"/>
                <w:lang w:bidi="ar"/>
              </w:rPr>
              <w:t>m</w:t>
            </w:r>
            <w:r>
              <w:rPr>
                <w:rFonts w:hint="default"/>
                <w:szCs w:val="24"/>
                <w:vertAlign w:val="superscript"/>
                <w:lang w:bidi="ar"/>
              </w:rPr>
              <w:t>2</w:t>
            </w:r>
            <w:r>
              <w:rPr>
                <w:rFonts w:hint="default"/>
                <w:szCs w:val="24"/>
                <w:lang w:bidi="ar"/>
              </w:rPr>
              <w:t>，设计堆放高度为</w:t>
            </w:r>
            <w:r>
              <w:rPr>
                <w:rFonts w:hint="eastAsia"/>
                <w:szCs w:val="24"/>
                <w:lang w:val="en-US" w:eastAsia="zh-CN" w:bidi="ar"/>
              </w:rPr>
              <w:t>1.5</w:t>
            </w:r>
            <w:r>
              <w:rPr>
                <w:rFonts w:hint="default"/>
                <w:szCs w:val="24"/>
                <w:lang w:bidi="ar"/>
              </w:rPr>
              <w:t>m，合计最大堆放量</w:t>
            </w:r>
            <w:r>
              <w:rPr>
                <w:rFonts w:hint="eastAsia"/>
                <w:szCs w:val="24"/>
                <w:lang w:val="en-US" w:eastAsia="zh-CN" w:bidi="ar"/>
              </w:rPr>
              <w:t>757.5</w:t>
            </w:r>
            <w:r>
              <w:rPr>
                <w:rFonts w:hint="default"/>
                <w:szCs w:val="24"/>
                <w:lang w:bidi="ar"/>
              </w:rPr>
              <w:t>m</w:t>
            </w:r>
            <w:r>
              <w:rPr>
                <w:rFonts w:hint="default"/>
                <w:szCs w:val="24"/>
                <w:vertAlign w:val="superscript"/>
                <w:lang w:bidi="ar"/>
              </w:rPr>
              <w:t>3</w:t>
            </w:r>
            <w:r>
              <w:rPr>
                <w:rFonts w:hint="default"/>
                <w:szCs w:val="24"/>
                <w:lang w:bidi="ar"/>
              </w:rPr>
              <w:t>，能够满足堆放需求，耕植土堆放区较低区域修建挡土墙；井场土边坡区域、道路土边坡区域、耕植土堆放区在土建工程完工后，及时播撒草种或覆盖，防止地表水冲刷造成水土流失和边坡失稳。井场所差土方由设备基础、应急池和改建公路挖出的土方回填。钻前工程土石方工程量见下表。</w:t>
            </w:r>
          </w:p>
          <w:p>
            <w:pPr>
              <w:pStyle w:val="20"/>
              <w:numPr>
                <w:ilvl w:val="0"/>
                <w:numId w:val="5"/>
              </w:numPr>
              <w:tabs>
                <w:tab w:val="left" w:pos="0"/>
                <w:tab w:val="left" w:pos="833"/>
              </w:tabs>
              <w:spacing w:before="0" w:after="0" w:line="360" w:lineRule="auto"/>
              <w:ind w:left="0" w:right="0"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土石方工程量表  单位：m</w:t>
            </w:r>
            <w:r>
              <w:rPr>
                <w:rFonts w:hint="default" w:ascii="Times New Roman" w:hAnsi="Times New Roman" w:cs="Times New Roman"/>
                <w:b/>
                <w:bCs/>
                <w:sz w:val="21"/>
                <w:szCs w:val="21"/>
                <w:vertAlign w:val="superscript"/>
              </w:rPr>
              <w:t>3</w:t>
            </w:r>
          </w:p>
          <w:tbl>
            <w:tblPr>
              <w:tblStyle w:val="44"/>
              <w:tblW w:w="84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1835"/>
              <w:gridCol w:w="1548"/>
              <w:gridCol w:w="1530"/>
              <w:gridCol w:w="8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分区</w:t>
                  </w:r>
                </w:p>
              </w:tc>
              <w:tc>
                <w:tcPr>
                  <w:tcW w:w="183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挖方（含耕植土）</w:t>
                  </w:r>
                </w:p>
              </w:tc>
              <w:tc>
                <w:tcPr>
                  <w:tcW w:w="154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填方</w:t>
                  </w:r>
                </w:p>
              </w:tc>
              <w:tc>
                <w:tcPr>
                  <w:tcW w:w="1530"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耕植土回填</w:t>
                  </w:r>
                </w:p>
              </w:tc>
              <w:tc>
                <w:tcPr>
                  <w:tcW w:w="840"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井场工程</w:t>
                  </w:r>
                </w:p>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（含边角地）</w:t>
                  </w:r>
                </w:p>
              </w:tc>
              <w:tc>
                <w:tcPr>
                  <w:tcW w:w="183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1536</w:t>
                  </w:r>
                </w:p>
              </w:tc>
              <w:tc>
                <w:tcPr>
                  <w:tcW w:w="154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1252</w:t>
                  </w:r>
                </w:p>
              </w:tc>
              <w:tc>
                <w:tcPr>
                  <w:tcW w:w="1530"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288.9</w:t>
                  </w:r>
                </w:p>
              </w:tc>
              <w:tc>
                <w:tcPr>
                  <w:tcW w:w="840" w:type="dxa"/>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放喷管线铺设</w:t>
                  </w:r>
                </w:p>
              </w:tc>
              <w:tc>
                <w:tcPr>
                  <w:tcW w:w="183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12.8</w:t>
                  </w:r>
                </w:p>
              </w:tc>
              <w:tc>
                <w:tcPr>
                  <w:tcW w:w="154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7.9</w:t>
                  </w:r>
                </w:p>
              </w:tc>
              <w:tc>
                <w:tcPr>
                  <w:tcW w:w="1530" w:type="dxa"/>
                  <w:vMerge w:val="continue"/>
                  <w:tcBorders>
                    <w:tl2br w:val="nil"/>
                    <w:tr2bl w:val="nil"/>
                  </w:tcBorders>
                  <w:vAlign w:val="center"/>
                </w:tcPr>
                <w:p>
                  <w:pPr>
                    <w:jc w:val="center"/>
                    <w:rPr>
                      <w:rFonts w:hint="default" w:ascii="Times New Roman" w:hAnsi="Times New Roman" w:eastAsia="宋体" w:cs="Times New Roman"/>
                      <w:szCs w:val="21"/>
                      <w:lang w:val="en-US" w:eastAsia="zh-CN"/>
                    </w:rPr>
                  </w:pPr>
                </w:p>
              </w:tc>
              <w:tc>
                <w:tcPr>
                  <w:tcW w:w="840" w:type="dxa"/>
                  <w:vMerge w:val="continue"/>
                  <w:tcBorders>
                    <w:tl2br w:val="nil"/>
                    <w:tr2bl w:val="nil"/>
                  </w:tcBorders>
                  <w:vAlign w:val="center"/>
                </w:tcPr>
                <w:p>
                  <w:pPr>
                    <w:jc w:val="center"/>
                    <w:rPr>
                      <w:rFonts w:hint="default" w:ascii="Times New Roman" w:hAnsi="Times New Roman" w:eastAsia="宋体" w:cs="Times New Roman"/>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9"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总计</w:t>
                  </w:r>
                </w:p>
              </w:tc>
              <w:tc>
                <w:tcPr>
                  <w:tcW w:w="1835"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1548.8</w:t>
                  </w:r>
                </w:p>
              </w:tc>
              <w:tc>
                <w:tcPr>
                  <w:tcW w:w="1548"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1259.9</w:t>
                  </w:r>
                </w:p>
              </w:tc>
              <w:tc>
                <w:tcPr>
                  <w:tcW w:w="1530"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288</w:t>
                  </w:r>
                  <w:r>
                    <w:rPr>
                      <w:rFonts w:hint="eastAsia" w:ascii="Times New Roman" w:hAnsi="Times New Roman" w:cs="Times New Roman"/>
                      <w:szCs w:val="21"/>
                      <w:lang w:val="en-US" w:eastAsia="zh-CN"/>
                    </w:rPr>
                    <w:t>.</w:t>
                  </w:r>
                  <w:r>
                    <w:rPr>
                      <w:rFonts w:hint="default" w:ascii="Times New Roman" w:hAnsi="Times New Roman" w:eastAsia="宋体" w:cs="Times New Roman"/>
                      <w:szCs w:val="21"/>
                      <w:lang w:val="en-US" w:eastAsia="zh-CN"/>
                    </w:rPr>
                    <w:t>9</w:t>
                  </w:r>
                </w:p>
              </w:tc>
              <w:tc>
                <w:tcPr>
                  <w:tcW w:w="840"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w:t>
                  </w:r>
                </w:p>
              </w:tc>
            </w:tr>
          </w:tbl>
          <w:p>
            <w:pPr>
              <w:spacing w:line="360" w:lineRule="auto"/>
              <w:rPr>
                <w:b/>
                <w:sz w:val="24"/>
              </w:rPr>
            </w:pPr>
            <w:r>
              <w:rPr>
                <w:b/>
                <w:sz w:val="24"/>
              </w:rPr>
              <w:t>2.9项目总平面布置合理性分析</w:t>
            </w:r>
          </w:p>
          <w:p>
            <w:pPr>
              <w:adjustRightInd w:val="0"/>
              <w:snapToGrid w:val="0"/>
              <w:spacing w:line="360" w:lineRule="auto"/>
              <w:ind w:firstLine="480" w:firstLineChars="200"/>
              <w:rPr>
                <w:sz w:val="24"/>
              </w:rPr>
            </w:pPr>
            <w:r>
              <w:rPr>
                <w:sz w:val="24"/>
              </w:rPr>
              <w:t>本次评价从放喷池布置、油罐区布置合理性分析本工程平面布置的合理性，平面布置执行《钻前工程及井场布置技术要求》（SY/T5466-2013）、《石油与天然气钻井、开发、储运防火防爆安全生产管理规定》（SY5225-2012）等石油天然气行业标准的相关规定。</w:t>
            </w:r>
          </w:p>
          <w:p>
            <w:pPr>
              <w:adjustRightInd w:val="0"/>
              <w:snapToGrid w:val="0"/>
              <w:spacing w:line="360" w:lineRule="auto"/>
              <w:ind w:firstLine="480" w:firstLineChars="200"/>
              <w:rPr>
                <w:sz w:val="24"/>
              </w:rPr>
            </w:pPr>
            <w:r>
              <w:rPr>
                <w:sz w:val="24"/>
              </w:rPr>
              <w:t>（1）油罐区布置合理性分析</w:t>
            </w:r>
          </w:p>
          <w:p>
            <w:pPr>
              <w:adjustRightInd w:val="0"/>
              <w:snapToGrid w:val="0"/>
              <w:spacing w:line="360" w:lineRule="auto"/>
              <w:ind w:firstLine="480" w:firstLineChars="200"/>
              <w:rPr>
                <w:sz w:val="24"/>
              </w:rPr>
            </w:pPr>
            <w:r>
              <w:rPr>
                <w:sz w:val="24"/>
              </w:rPr>
              <w:t>根据《石油天然气钻井、开发、储运防火防爆安全生产技术规程（SY5225-2012）》中第3.1.3条规定：柴油罐区距井口应不小于30m，根据</w:t>
            </w:r>
            <w:r>
              <w:rPr>
                <w:rFonts w:hint="eastAsia"/>
                <w:sz w:val="24"/>
              </w:rPr>
              <w:t>铁北1侧HF井</w:t>
            </w:r>
            <w:r>
              <w:rPr>
                <w:sz w:val="24"/>
              </w:rPr>
              <w:t>井场平面布置可知，该井油罐区布置在井场外</w:t>
            </w:r>
            <w:r>
              <w:rPr>
                <w:rFonts w:hint="eastAsia"/>
                <w:sz w:val="24"/>
              </w:rPr>
              <w:t>北侧</w:t>
            </w:r>
            <w:r>
              <w:rPr>
                <w:sz w:val="24"/>
              </w:rPr>
              <w:t>，距离最近井口约</w:t>
            </w:r>
            <w:r>
              <w:rPr>
                <w:rFonts w:hint="eastAsia"/>
                <w:sz w:val="24"/>
              </w:rPr>
              <w:t>5</w:t>
            </w:r>
            <w:r>
              <w:rPr>
                <w:sz w:val="24"/>
              </w:rPr>
              <w:t>4m，满足防火间距的要求。且油罐采用架空式储存，罐体下方设置10m×10m×0.3m围堰，发生泄露易发现，并能及时收集，位置布设于井场与生活区之间，便于职工监管，故满足要求。</w:t>
            </w:r>
          </w:p>
          <w:p>
            <w:pPr>
              <w:adjustRightInd w:val="0"/>
              <w:snapToGrid w:val="0"/>
              <w:spacing w:line="360" w:lineRule="auto"/>
              <w:ind w:firstLine="480" w:firstLineChars="200"/>
              <w:rPr>
                <w:sz w:val="24"/>
              </w:rPr>
            </w:pPr>
            <w:r>
              <w:rPr>
                <w:sz w:val="24"/>
              </w:rPr>
              <w:t>（2）放喷池布置合理性分析</w:t>
            </w:r>
          </w:p>
          <w:p>
            <w:pPr>
              <w:adjustRightInd w:val="0"/>
              <w:snapToGrid w:val="0"/>
              <w:spacing w:line="360" w:lineRule="auto"/>
              <w:ind w:firstLine="480" w:firstLineChars="200"/>
              <w:rPr>
                <w:sz w:val="24"/>
              </w:rPr>
            </w:pPr>
            <w:r>
              <w:rPr>
                <w:sz w:val="24"/>
              </w:rPr>
              <w:t>根据《钻井井控技术规程》（Q/SY02552-2018）中的第5.1.3.4条规定：管线出口应接至距井口75m以上的安全地带。《石油天然气钻井、开发、储运防火防爆安全生产技术规程》（SY5225-2012）第3.1.4规定：放喷管线出口距井口应不小于75m；《陆上石油天然气生产环境保护推荐作法》（SY/T6628-2005）中第5.3.1条规定：放喷和火炬应限于安全地点，尽可能考虑选择井场主导风向的下风向放喷或点燃火炬，还应使排入大气的气体完全燃烧。</w:t>
            </w:r>
          </w:p>
          <w:p>
            <w:pPr>
              <w:adjustRightInd w:val="0"/>
              <w:snapToGrid w:val="0"/>
              <w:spacing w:line="360" w:lineRule="auto"/>
              <w:ind w:firstLine="480" w:firstLineChars="200"/>
              <w:rPr>
                <w:sz w:val="24"/>
              </w:rPr>
            </w:pPr>
            <w:r>
              <w:rPr>
                <w:sz w:val="24"/>
              </w:rPr>
              <w:t>根据项目平面布置图及现场调查可知，</w:t>
            </w:r>
            <w:r>
              <w:rPr>
                <w:rFonts w:hint="eastAsia"/>
                <w:sz w:val="24"/>
              </w:rPr>
              <w:t>本项目依托现有2座放喷池，</w:t>
            </w:r>
            <w:r>
              <w:rPr>
                <w:sz w:val="24"/>
              </w:rPr>
              <w:t>放喷池</w:t>
            </w:r>
            <w:r>
              <w:rPr>
                <w:rFonts w:hint="eastAsia"/>
                <w:sz w:val="24"/>
              </w:rPr>
              <w:t>分别位于</w:t>
            </w:r>
            <w:r>
              <w:rPr>
                <w:sz w:val="24"/>
              </w:rPr>
              <w:t>井场外</w:t>
            </w:r>
            <w:r>
              <w:rPr>
                <w:rFonts w:hint="eastAsia"/>
                <w:sz w:val="24"/>
              </w:rPr>
              <w:t>北</w:t>
            </w:r>
            <w:r>
              <w:rPr>
                <w:sz w:val="24"/>
              </w:rPr>
              <w:t>侧</w:t>
            </w:r>
            <w:r>
              <w:rPr>
                <w:rFonts w:hint="eastAsia"/>
                <w:sz w:val="24"/>
              </w:rPr>
              <w:t>及南侧</w:t>
            </w:r>
            <w:r>
              <w:rPr>
                <w:sz w:val="24"/>
              </w:rPr>
              <w:t>，距离井口</w:t>
            </w:r>
            <w:r>
              <w:rPr>
                <w:rFonts w:hint="eastAsia"/>
                <w:sz w:val="24"/>
              </w:rPr>
              <w:t>铁北1侧井</w:t>
            </w:r>
            <w:r>
              <w:rPr>
                <w:sz w:val="24"/>
              </w:rPr>
              <w:t>约为1</w:t>
            </w:r>
            <w:r>
              <w:rPr>
                <w:rFonts w:hint="eastAsia"/>
                <w:sz w:val="24"/>
              </w:rPr>
              <w:t>52</w:t>
            </w:r>
            <w:r>
              <w:rPr>
                <w:sz w:val="24"/>
              </w:rPr>
              <w:t>m</w:t>
            </w:r>
            <w:r>
              <w:rPr>
                <w:rFonts w:hint="eastAsia"/>
                <w:sz w:val="24"/>
              </w:rPr>
              <w:t>、120m</w:t>
            </w:r>
            <w:r>
              <w:rPr>
                <w:sz w:val="24"/>
              </w:rPr>
              <w:t>。根据《硫化氢环境钻井场所作业安全规范》（SY/T 5087-2017）中“放喷管线应至少接两条，其夹角为90°～180°，保证当风向改变时至少有一条能安全使用；管线转弯处的弯头夹角不应小于120°；管线出口应接至距井口100m以上的安全地带”，</w:t>
            </w:r>
            <w:r>
              <w:rPr>
                <w:rFonts w:hint="eastAsia"/>
                <w:sz w:val="24"/>
              </w:rPr>
              <w:t>铁北1侧井</w:t>
            </w:r>
            <w:r>
              <w:rPr>
                <w:sz w:val="24"/>
              </w:rPr>
              <w:t>设有</w:t>
            </w:r>
            <w:r>
              <w:rPr>
                <w:rFonts w:hint="eastAsia"/>
                <w:sz w:val="24"/>
              </w:rPr>
              <w:t>2</w:t>
            </w:r>
            <w:r>
              <w:rPr>
                <w:sz w:val="24"/>
              </w:rPr>
              <w:t>条放喷管线，符合《硫化氢环境钻井场所作业安全规范》（SY/T 5087-2017）规定。</w:t>
            </w:r>
          </w:p>
          <w:p>
            <w:pPr>
              <w:adjustRightInd w:val="0"/>
              <w:snapToGrid w:val="0"/>
              <w:spacing w:line="360" w:lineRule="auto"/>
              <w:ind w:firstLine="480" w:firstLineChars="200"/>
              <w:rPr>
                <w:sz w:val="24"/>
              </w:rPr>
            </w:pPr>
            <w:r>
              <w:rPr>
                <w:sz w:val="24"/>
              </w:rPr>
              <w:t>综上，放喷池选址及平面布置均满足《钻井井控技术规范》（Q/SY02552-2018）、《石油天然气钻井、开发、储运防火防爆安全生产技术规程》（SY/T5225-2012）</w:t>
            </w:r>
            <w:r>
              <w:rPr>
                <w:rFonts w:hint="eastAsia"/>
                <w:sz w:val="24"/>
              </w:rPr>
              <w:t>、《硫化氢环境钻井场所作业安全规范》（SY/T 5087-2017）</w:t>
            </w:r>
            <w:r>
              <w:rPr>
                <w:sz w:val="24"/>
              </w:rPr>
              <w:t>及其他相关规定的要求。因此拟建项目放喷池布置合理。</w:t>
            </w:r>
          </w:p>
          <w:p>
            <w:pPr>
              <w:adjustRightInd w:val="0"/>
              <w:snapToGrid w:val="0"/>
              <w:spacing w:line="360" w:lineRule="auto"/>
              <w:ind w:firstLine="480" w:firstLineChars="200"/>
              <w:rPr>
                <w:sz w:val="24"/>
              </w:rPr>
            </w:pPr>
            <w:r>
              <w:rPr>
                <w:sz w:val="24"/>
              </w:rPr>
              <w:t>（3）隔油池布置合理性分析</w:t>
            </w:r>
          </w:p>
          <w:p>
            <w:pPr>
              <w:adjustRightInd w:val="0"/>
              <w:snapToGrid w:val="0"/>
              <w:spacing w:line="360" w:lineRule="auto"/>
              <w:ind w:firstLine="480" w:firstLineChars="200"/>
              <w:rPr>
                <w:sz w:val="24"/>
              </w:rPr>
            </w:pPr>
            <w:r>
              <w:rPr>
                <w:sz w:val="24"/>
              </w:rPr>
              <w:t>井场四角及生活区各设1个隔油池。油罐区隔油池位置尽量靠近废油产生源，便于及时收集作业期间产生的废油；由于井场内钻井设备较多，分布较为零散，为确保污水全部收集故在井场四角设置，并与井场污水沟相连，利于井场含油废水及雨水的收集，避免含油废水外泄到井场外的土壤及地下水环境中。</w:t>
            </w:r>
          </w:p>
          <w:p>
            <w:pPr>
              <w:adjustRightInd w:val="0"/>
              <w:snapToGrid w:val="0"/>
              <w:spacing w:line="360" w:lineRule="auto"/>
              <w:ind w:firstLine="480" w:firstLineChars="200"/>
              <w:rPr>
                <w:sz w:val="24"/>
              </w:rPr>
            </w:pPr>
            <w:r>
              <w:rPr>
                <w:sz w:val="24"/>
              </w:rPr>
              <w:t>生活区的职工洗衣废水，浴室洗浴废水，含油情况及性质有所差异，在各个产污环节进行隔油处理，利于废油的分类和收集。</w:t>
            </w:r>
          </w:p>
          <w:p>
            <w:pPr>
              <w:adjustRightInd w:val="0"/>
              <w:snapToGrid w:val="0"/>
              <w:spacing w:line="360" w:lineRule="auto"/>
              <w:ind w:firstLine="480" w:firstLineChars="200"/>
              <w:rPr>
                <w:sz w:val="24"/>
              </w:rPr>
            </w:pPr>
            <w:r>
              <w:rPr>
                <w:sz w:val="24"/>
              </w:rPr>
              <w:t>（4）</w:t>
            </w:r>
            <w:r>
              <w:rPr>
                <w:rFonts w:hint="eastAsia"/>
                <w:sz w:val="24"/>
              </w:rPr>
              <w:t>废水</w:t>
            </w:r>
            <w:r>
              <w:rPr>
                <w:sz w:val="24"/>
              </w:rPr>
              <w:t>池布置合理性分析</w:t>
            </w:r>
          </w:p>
          <w:p>
            <w:pPr>
              <w:adjustRightInd w:val="0"/>
              <w:snapToGrid w:val="0"/>
              <w:spacing w:line="360" w:lineRule="auto"/>
              <w:ind w:firstLine="480" w:firstLineChars="200"/>
              <w:rPr>
                <w:sz w:val="24"/>
              </w:rPr>
            </w:pPr>
            <w:r>
              <w:rPr>
                <w:sz w:val="24"/>
              </w:rPr>
              <w:t>项目拟建的</w:t>
            </w:r>
            <w:r>
              <w:rPr>
                <w:rFonts w:hint="eastAsia"/>
                <w:sz w:val="24"/>
              </w:rPr>
              <w:t>废水池</w:t>
            </w:r>
            <w:r>
              <w:rPr>
                <w:sz w:val="24"/>
              </w:rPr>
              <w:t>布置在井场外</w:t>
            </w:r>
            <w:r>
              <w:rPr>
                <w:rFonts w:hint="eastAsia"/>
                <w:sz w:val="24"/>
              </w:rPr>
              <w:t>北</w:t>
            </w:r>
            <w:r>
              <w:rPr>
                <w:sz w:val="24"/>
              </w:rPr>
              <w:t>侧，建设地为旱地，地势较为平坦，池体采用地陷式构造，尽可能</w:t>
            </w:r>
            <w:r>
              <w:rPr>
                <w:rFonts w:hint="eastAsia"/>
                <w:sz w:val="24"/>
              </w:rPr>
              <w:t>地</w:t>
            </w:r>
            <w:r>
              <w:rPr>
                <w:sz w:val="24"/>
              </w:rPr>
              <w:t>降低了池体垮塌的风险。</w:t>
            </w:r>
          </w:p>
          <w:p>
            <w:pPr>
              <w:adjustRightInd w:val="0"/>
              <w:snapToGrid w:val="0"/>
              <w:spacing w:line="360" w:lineRule="auto"/>
              <w:ind w:firstLine="480" w:firstLineChars="200"/>
              <w:rPr>
                <w:sz w:val="24"/>
              </w:rPr>
            </w:pPr>
            <w:r>
              <w:rPr>
                <w:sz w:val="24"/>
              </w:rPr>
              <w:t>井场周围最近农户距离</w:t>
            </w:r>
            <w:r>
              <w:rPr>
                <w:rFonts w:hint="eastAsia"/>
                <w:sz w:val="24"/>
              </w:rPr>
              <w:t>废水池</w:t>
            </w:r>
            <w:r>
              <w:rPr>
                <w:sz w:val="24"/>
              </w:rPr>
              <w:t>约</w:t>
            </w:r>
            <w:r>
              <w:rPr>
                <w:rFonts w:hint="eastAsia"/>
                <w:sz w:val="24"/>
              </w:rPr>
              <w:t>38</w:t>
            </w:r>
            <w:r>
              <w:rPr>
                <w:sz w:val="24"/>
              </w:rPr>
              <w:t>m，与</w:t>
            </w:r>
            <w:r>
              <w:rPr>
                <w:rFonts w:hint="eastAsia"/>
                <w:sz w:val="24"/>
              </w:rPr>
              <w:t>废水池</w:t>
            </w:r>
            <w:r>
              <w:rPr>
                <w:sz w:val="24"/>
              </w:rPr>
              <w:t>保持了一定的距离；另外井场建设地地形较</w:t>
            </w:r>
            <w:r>
              <w:rPr>
                <w:rFonts w:hint="eastAsia"/>
                <w:sz w:val="24"/>
              </w:rPr>
              <w:t>废水池</w:t>
            </w:r>
            <w:r>
              <w:rPr>
                <w:sz w:val="24"/>
              </w:rPr>
              <w:t>高，有利于井场区域污水自流进入水池，保证了有效的收集井场事故污水。项目</w:t>
            </w:r>
            <w:r>
              <w:rPr>
                <w:rFonts w:hint="eastAsia"/>
                <w:sz w:val="24"/>
              </w:rPr>
              <w:t>废水池</w:t>
            </w:r>
            <w:r>
              <w:rPr>
                <w:sz w:val="24"/>
              </w:rPr>
              <w:t>用于事故状态下收集暂存井场内的雨水及污废水，防止外泄污染环境。在修建</w:t>
            </w:r>
            <w:r>
              <w:rPr>
                <w:rFonts w:hint="eastAsia"/>
                <w:sz w:val="24"/>
              </w:rPr>
              <w:t>废水池</w:t>
            </w:r>
            <w:r>
              <w:rPr>
                <w:sz w:val="24"/>
              </w:rPr>
              <w:t>时，池体采用地陷式构造，并对池体进行防渗漏处理，在其周围修建围堰、导流沟，井口与</w:t>
            </w:r>
            <w:r>
              <w:rPr>
                <w:rFonts w:hint="eastAsia"/>
                <w:sz w:val="24"/>
              </w:rPr>
              <w:t>废水池</w:t>
            </w:r>
            <w:r>
              <w:rPr>
                <w:sz w:val="24"/>
              </w:rPr>
              <w:t>之间由碳钢管道连接，井场突发事件时通过布设的碳钢管道直接引入</w:t>
            </w:r>
            <w:r>
              <w:rPr>
                <w:rFonts w:hint="eastAsia"/>
                <w:sz w:val="24"/>
              </w:rPr>
              <w:t>废水池</w:t>
            </w:r>
            <w:r>
              <w:rPr>
                <w:sz w:val="24"/>
              </w:rPr>
              <w:t>，不存在事故废水外泄情况。</w:t>
            </w:r>
          </w:p>
          <w:p>
            <w:pPr>
              <w:adjustRightInd w:val="0"/>
              <w:snapToGrid w:val="0"/>
              <w:spacing w:line="360" w:lineRule="auto"/>
              <w:ind w:firstLine="480" w:firstLineChars="200"/>
              <w:rPr>
                <w:sz w:val="24"/>
              </w:rPr>
            </w:pPr>
            <w:r>
              <w:rPr>
                <w:sz w:val="24"/>
              </w:rPr>
              <w:t>根据拟建项目实际情况、设计资料及施工时序，拟建项目单井返排压裂废水约</w:t>
            </w:r>
            <w:r>
              <w:rPr>
                <w:rFonts w:hint="eastAsia"/>
                <w:sz w:val="24"/>
              </w:rPr>
              <w:t>4500</w:t>
            </w:r>
            <w:r>
              <w:rPr>
                <w:sz w:val="24"/>
              </w:rPr>
              <w:t>m</w:t>
            </w:r>
            <w:r>
              <w:rPr>
                <w:sz w:val="24"/>
                <w:vertAlign w:val="superscript"/>
              </w:rPr>
              <w:t>3</w:t>
            </w:r>
            <w:r>
              <w:rPr>
                <w:sz w:val="24"/>
              </w:rPr>
              <w:t>，返排周期约</w:t>
            </w:r>
            <w:r>
              <w:rPr>
                <w:rFonts w:hint="eastAsia"/>
                <w:sz w:val="24"/>
              </w:rPr>
              <w:t>20</w:t>
            </w:r>
            <w:r>
              <w:rPr>
                <w:sz w:val="24"/>
              </w:rPr>
              <w:t>天，平均每日最大返排量约</w:t>
            </w:r>
            <w:r>
              <w:rPr>
                <w:rFonts w:hint="eastAsia"/>
                <w:sz w:val="24"/>
              </w:rPr>
              <w:t>225</w:t>
            </w:r>
            <w:r>
              <w:rPr>
                <w:sz w:val="24"/>
              </w:rPr>
              <w:t>m</w:t>
            </w:r>
            <w:r>
              <w:rPr>
                <w:sz w:val="24"/>
                <w:vertAlign w:val="superscript"/>
              </w:rPr>
              <w:t>3</w:t>
            </w:r>
            <w:r>
              <w:rPr>
                <w:sz w:val="24"/>
              </w:rPr>
              <w:t>。一天最长压裂作业时间不超过15个小时，每次压裂液泵入时间约2~3小时。压裂作业均在白天进行，最迟在晚上</w:t>
            </w:r>
            <w:r>
              <w:rPr>
                <w:rFonts w:hint="eastAsia"/>
                <w:sz w:val="24"/>
              </w:rPr>
              <w:t>10</w:t>
            </w:r>
            <w:r>
              <w:rPr>
                <w:sz w:val="24"/>
              </w:rPr>
              <w:t>点之前停止压裂作业。如发生事故，将马上停止压裂作业，事故废水通过井场内布设的碳钢管道直接引入</w:t>
            </w:r>
            <w:r>
              <w:rPr>
                <w:rFonts w:hint="eastAsia"/>
                <w:sz w:val="24"/>
              </w:rPr>
              <w:t>废水池</w:t>
            </w:r>
            <w:r>
              <w:rPr>
                <w:sz w:val="24"/>
              </w:rPr>
              <w:t>暂存。拟建项目</w:t>
            </w:r>
            <w:r>
              <w:rPr>
                <w:rFonts w:hint="eastAsia"/>
                <w:sz w:val="24"/>
              </w:rPr>
              <w:t>废水池</w:t>
            </w:r>
            <w:r>
              <w:rPr>
                <w:sz w:val="24"/>
              </w:rPr>
              <w:t>容积为</w:t>
            </w:r>
            <w:r>
              <w:rPr>
                <w:rFonts w:hint="eastAsia"/>
                <w:sz w:val="24"/>
              </w:rPr>
              <w:t>20</w:t>
            </w:r>
            <w:r>
              <w:rPr>
                <w:sz w:val="24"/>
              </w:rPr>
              <w:t>00m</w:t>
            </w:r>
            <w:r>
              <w:rPr>
                <w:sz w:val="24"/>
                <w:vertAlign w:val="superscript"/>
              </w:rPr>
              <w:t>3</w:t>
            </w:r>
            <w:r>
              <w:rPr>
                <w:sz w:val="24"/>
              </w:rPr>
              <w:t>＞</w:t>
            </w:r>
            <w:r>
              <w:rPr>
                <w:rFonts w:hint="eastAsia"/>
                <w:sz w:val="24"/>
              </w:rPr>
              <w:t>25</w:t>
            </w:r>
            <w:r>
              <w:rPr>
                <w:sz w:val="24"/>
              </w:rPr>
              <w:t>0m</w:t>
            </w:r>
            <w:r>
              <w:rPr>
                <w:sz w:val="24"/>
                <w:vertAlign w:val="superscript"/>
              </w:rPr>
              <w:t>3</w:t>
            </w:r>
            <w:r>
              <w:rPr>
                <w:sz w:val="24"/>
              </w:rPr>
              <w:t>，</w:t>
            </w:r>
            <w:r>
              <w:rPr>
                <w:rFonts w:hint="eastAsia"/>
                <w:sz w:val="24"/>
              </w:rPr>
              <w:t>废水池容积系数（按1天</w:t>
            </w:r>
            <w:r>
              <w:rPr>
                <w:sz w:val="24"/>
              </w:rPr>
              <w:t>压裂废水</w:t>
            </w:r>
            <w:r>
              <w:rPr>
                <w:rFonts w:hint="eastAsia"/>
                <w:sz w:val="24"/>
              </w:rPr>
              <w:t>产生量计）为8，远大于1.2，满足</w:t>
            </w:r>
            <w:r>
              <w:rPr>
                <w:sz w:val="24"/>
              </w:rPr>
              <w:t>《非常规油气开采污染控制技术规范》</w:t>
            </w:r>
            <w:r>
              <w:rPr>
                <w:rFonts w:hint="eastAsia"/>
                <w:sz w:val="24"/>
              </w:rPr>
              <w:t>相关规定。</w:t>
            </w:r>
            <w:r>
              <w:rPr>
                <w:sz w:val="24"/>
              </w:rPr>
              <w:t>因此，</w:t>
            </w:r>
            <w:r>
              <w:rPr>
                <w:rFonts w:hint="eastAsia"/>
                <w:sz w:val="24"/>
              </w:rPr>
              <w:t>废水池</w:t>
            </w:r>
            <w:r>
              <w:rPr>
                <w:sz w:val="24"/>
              </w:rPr>
              <w:t>容积满足事故状态下压裂废水暂存。</w:t>
            </w:r>
          </w:p>
          <w:p>
            <w:pPr>
              <w:adjustRightInd w:val="0"/>
              <w:snapToGrid w:val="0"/>
              <w:spacing w:line="360" w:lineRule="auto"/>
              <w:ind w:firstLine="480" w:firstLineChars="200"/>
              <w:rPr>
                <w:sz w:val="24"/>
              </w:rPr>
            </w:pPr>
            <w:r>
              <w:rPr>
                <w:sz w:val="24"/>
              </w:rPr>
              <w:t>（5）噪声源布置合理性分析</w:t>
            </w:r>
          </w:p>
          <w:p>
            <w:pPr>
              <w:adjustRightInd w:val="0"/>
              <w:snapToGrid w:val="0"/>
              <w:spacing w:line="360" w:lineRule="auto"/>
              <w:ind w:firstLine="480" w:firstLineChars="200"/>
              <w:rPr>
                <w:sz w:val="24"/>
              </w:rPr>
            </w:pPr>
            <w:r>
              <w:rPr>
                <w:sz w:val="24"/>
              </w:rPr>
              <w:t>本工程主要噪声源为柴油发电机、压裂车等，发电房位于井场西北侧，压裂车位于井口东北侧，放喷池位于井场</w:t>
            </w:r>
            <w:r>
              <w:rPr>
                <w:rFonts w:hint="eastAsia"/>
                <w:sz w:val="24"/>
              </w:rPr>
              <w:t>西南</w:t>
            </w:r>
            <w:r>
              <w:rPr>
                <w:sz w:val="24"/>
              </w:rPr>
              <w:t>侧，根据人居分布情况，井口周围散居农户主要分布在井场100m外，与噪声源保持了一定的噪声衰减距离，最大限度</w:t>
            </w:r>
            <w:r>
              <w:rPr>
                <w:rFonts w:hint="eastAsia"/>
                <w:sz w:val="24"/>
                <w:lang w:eastAsia="zh-CN"/>
              </w:rPr>
              <w:t>地</w:t>
            </w:r>
            <w:r>
              <w:rPr>
                <w:sz w:val="24"/>
              </w:rPr>
              <w:t>的降低钻井噪声对敏感点的影响，噪声源布局合理。</w:t>
            </w:r>
          </w:p>
          <w:p>
            <w:pPr>
              <w:adjustRightInd w:val="0"/>
              <w:snapToGrid w:val="0"/>
              <w:spacing w:line="360" w:lineRule="auto"/>
              <w:ind w:firstLine="480" w:firstLineChars="200"/>
              <w:rPr>
                <w:sz w:val="24"/>
              </w:rPr>
            </w:pPr>
            <w:r>
              <w:rPr>
                <w:sz w:val="24"/>
              </w:rPr>
              <w:t>（6）废水收集暂存设施合理性分析</w:t>
            </w:r>
          </w:p>
          <w:p>
            <w:pPr>
              <w:adjustRightInd w:val="0"/>
              <w:snapToGrid w:val="0"/>
              <w:spacing w:line="360" w:lineRule="auto"/>
              <w:ind w:firstLine="480" w:firstLineChars="200"/>
              <w:rPr>
                <w:sz w:val="24"/>
              </w:rPr>
            </w:pPr>
            <w:r>
              <w:rPr>
                <w:sz w:val="24"/>
              </w:rPr>
              <w:t>本工程废水收集、处理设备废水罐、沉淀罐等均位于清洁化操作平台内，最近农户距离清洁化操作平台约</w:t>
            </w:r>
            <w:r>
              <w:rPr>
                <w:rFonts w:hint="eastAsia"/>
                <w:sz w:val="24"/>
                <w:lang w:val="en-US" w:eastAsia="zh-CN"/>
              </w:rPr>
              <w:t>100</w:t>
            </w:r>
            <w:r>
              <w:rPr>
                <w:sz w:val="24"/>
              </w:rPr>
              <w:t>m，废水收集暂存设施选址有效减少了事故状态下废水外溢对周边居民的影响。故选址是合理的。</w:t>
            </w:r>
          </w:p>
          <w:p>
            <w:pPr>
              <w:adjustRightInd w:val="0"/>
              <w:snapToGrid w:val="0"/>
              <w:spacing w:line="360" w:lineRule="auto"/>
              <w:ind w:firstLine="480" w:firstLineChars="200"/>
              <w:rPr>
                <w:sz w:val="24"/>
              </w:rPr>
            </w:pPr>
            <w:r>
              <w:rPr>
                <w:sz w:val="24"/>
              </w:rPr>
              <w:t>（7）固废暂存设施布设合理性分析</w:t>
            </w:r>
          </w:p>
          <w:p>
            <w:pPr>
              <w:adjustRightInd w:val="0"/>
              <w:snapToGrid w:val="0"/>
              <w:spacing w:line="360" w:lineRule="auto"/>
              <w:ind w:firstLine="480" w:firstLineChars="200"/>
              <w:rPr>
                <w:sz w:val="24"/>
              </w:rPr>
            </w:pPr>
            <w:r>
              <w:rPr>
                <w:sz w:val="24"/>
              </w:rPr>
              <w:t>工程针对废水基泥浆、水基岩屑清洁化操作平台内设置一般固废暂存点（岩屑堆放场）90m</w:t>
            </w:r>
            <w:r>
              <w:rPr>
                <w:sz w:val="24"/>
                <w:vertAlign w:val="superscript"/>
              </w:rPr>
              <w:t>2</w:t>
            </w:r>
            <w:r>
              <w:rPr>
                <w:sz w:val="24"/>
              </w:rPr>
              <w:t>；针对废油、油基岩屑设置</w:t>
            </w:r>
            <w:r>
              <w:rPr>
                <w:rFonts w:hint="eastAsia"/>
                <w:sz w:val="24"/>
              </w:rPr>
              <w:t>危险废物贮存点</w:t>
            </w:r>
            <w:r>
              <w:rPr>
                <w:sz w:val="24"/>
              </w:rPr>
              <w:t>60m</w:t>
            </w:r>
            <w:r>
              <w:rPr>
                <w:sz w:val="24"/>
                <w:vertAlign w:val="superscript"/>
              </w:rPr>
              <w:t>2</w:t>
            </w:r>
            <w:r>
              <w:rPr>
                <w:sz w:val="24"/>
              </w:rPr>
              <w:t>，</w:t>
            </w:r>
            <w:r>
              <w:rPr>
                <w:rFonts w:hint="eastAsia"/>
                <w:sz w:val="24"/>
              </w:rPr>
              <w:t>危险废物贮存点</w:t>
            </w:r>
            <w:r>
              <w:rPr>
                <w:sz w:val="24"/>
              </w:rPr>
              <w:t>位于井场东南侧，</w:t>
            </w:r>
            <w:r>
              <w:rPr>
                <w:rFonts w:hint="eastAsia"/>
                <w:sz w:val="24"/>
              </w:rPr>
              <w:t>危险废物贮存点</w:t>
            </w:r>
            <w:r>
              <w:rPr>
                <w:sz w:val="24"/>
              </w:rPr>
              <w:t>进行了重点防渗，且距离下游环境保护目标较远，故事故状态下，对其影响较小，因此固废暂存设施选址合理。</w:t>
            </w:r>
          </w:p>
          <w:p>
            <w:pPr>
              <w:adjustRightInd w:val="0"/>
              <w:snapToGrid w:val="0"/>
              <w:spacing w:line="360" w:lineRule="auto"/>
              <w:ind w:firstLine="480" w:firstLineChars="200"/>
              <w:rPr>
                <w:kern w:val="0"/>
                <w:szCs w:val="21"/>
              </w:rPr>
            </w:pPr>
            <w:r>
              <w:rPr>
                <w:sz w:val="24"/>
              </w:rPr>
              <w:t>综上所述，本工程总图根据《钻井工程及井场布置技术要求SYT5466-2013》《石油天然气钻井、开发、储运防火防爆安全生产技术规程》（SY-T5225-2005）、《丛式井平台布置及井眼防碰技术要求》（SY/T6396-2014）等规定的相关要求布置，对井场内各设施布置均已优化，从环保角度分析是合理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Align w:val="center"/>
          </w:tcPr>
          <w:p>
            <w:pPr>
              <w:adjustRightInd w:val="0"/>
              <w:snapToGrid w:val="0"/>
              <w:jc w:val="center"/>
              <w:rPr>
                <w:kern w:val="0"/>
                <w:szCs w:val="21"/>
              </w:rPr>
            </w:pPr>
            <w:r>
              <w:rPr>
                <w:kern w:val="0"/>
                <w:szCs w:val="21"/>
              </w:rPr>
              <w:t>施工方案</w:t>
            </w:r>
          </w:p>
        </w:tc>
        <w:tc>
          <w:tcPr>
            <w:tcW w:w="8098" w:type="dxa"/>
            <w:vAlign w:val="center"/>
          </w:tcPr>
          <w:p>
            <w:pPr>
              <w:adjustRightInd w:val="0"/>
              <w:snapToGrid w:val="0"/>
              <w:spacing w:line="360" w:lineRule="auto"/>
              <w:rPr>
                <w:b/>
                <w:bCs/>
                <w:kern w:val="0"/>
                <w:sz w:val="24"/>
              </w:rPr>
            </w:pPr>
            <w:r>
              <w:rPr>
                <w:b/>
                <w:bCs/>
                <w:kern w:val="0"/>
                <w:sz w:val="24"/>
              </w:rPr>
              <w:t>2.11工艺流程：</w:t>
            </w:r>
          </w:p>
          <w:p>
            <w:pPr>
              <w:adjustRightInd w:val="0"/>
              <w:snapToGrid w:val="0"/>
              <w:spacing w:line="360" w:lineRule="auto"/>
              <w:ind w:firstLine="480" w:firstLineChars="200"/>
              <w:rPr>
                <w:kern w:val="0"/>
                <w:sz w:val="24"/>
              </w:rPr>
            </w:pPr>
            <w:r>
              <w:rPr>
                <w:kern w:val="0"/>
                <w:sz w:val="24"/>
              </w:rPr>
              <w:t>根据天然气钻井工程特点，拟建项目主要包括钻前工程（包括平整井场以及钻井设备安装等）、钻井作业阶段（钻井和固井、录井等）、</w:t>
            </w:r>
            <w:r>
              <w:rPr>
                <w:rFonts w:hint="eastAsia"/>
                <w:kern w:val="0"/>
                <w:sz w:val="24"/>
              </w:rPr>
              <w:t>储层改造工程</w:t>
            </w:r>
            <w:r>
              <w:rPr>
                <w:kern w:val="0"/>
                <w:sz w:val="24"/>
              </w:rPr>
              <w:t>阶段（</w:t>
            </w:r>
            <w:r>
              <w:rPr>
                <w:rFonts w:hint="eastAsia"/>
                <w:kern w:val="0"/>
                <w:sz w:val="24"/>
              </w:rPr>
              <w:t>酸化</w:t>
            </w:r>
            <w:r>
              <w:rPr>
                <w:kern w:val="0"/>
                <w:sz w:val="24"/>
              </w:rPr>
              <w:t>压裂、完井测试和完井作业后井队的撤离）。</w:t>
            </w:r>
          </w:p>
          <w:p>
            <w:pPr>
              <w:adjustRightInd w:val="0"/>
              <w:snapToGrid w:val="0"/>
              <w:spacing w:line="360" w:lineRule="auto"/>
              <w:rPr>
                <w:b/>
                <w:bCs/>
                <w:kern w:val="0"/>
                <w:sz w:val="24"/>
              </w:rPr>
            </w:pPr>
            <w:r>
              <w:rPr>
                <w:b/>
                <w:bCs/>
                <w:kern w:val="0"/>
                <w:sz w:val="24"/>
              </w:rPr>
              <w:t>2.11.1钻前工程</w:t>
            </w:r>
          </w:p>
          <w:p>
            <w:pPr>
              <w:adjustRightInd w:val="0"/>
              <w:snapToGrid w:val="0"/>
              <w:spacing w:line="360" w:lineRule="auto"/>
              <w:ind w:firstLine="480" w:firstLineChars="200"/>
              <w:rPr>
                <w:kern w:val="0"/>
                <w:sz w:val="24"/>
              </w:rPr>
            </w:pPr>
            <w:r>
              <w:rPr>
                <w:rFonts w:hint="eastAsia"/>
                <w:kern w:val="0"/>
                <w:sz w:val="24"/>
              </w:rPr>
              <w:t>本项目依托铁北1井已建井场实施铁北1侧HF井，井场区域</w:t>
            </w:r>
            <w:r>
              <w:rPr>
                <w:rFonts w:hint="eastAsia"/>
                <w:kern w:val="0"/>
                <w:sz w:val="24"/>
                <w:lang w:val="en-US" w:eastAsia="zh-CN"/>
              </w:rPr>
              <w:t>西侧</w:t>
            </w:r>
            <w:r>
              <w:rPr>
                <w:rFonts w:hint="eastAsia"/>
                <w:kern w:val="0"/>
                <w:sz w:val="24"/>
              </w:rPr>
              <w:t>新增</w:t>
            </w:r>
            <w:r>
              <w:rPr>
                <w:rFonts w:hint="eastAsia"/>
                <w:kern w:val="0"/>
                <w:sz w:val="24"/>
                <w:lang w:val="en-US" w:eastAsia="zh-CN"/>
              </w:rPr>
              <w:t>部分</w:t>
            </w:r>
            <w:r>
              <w:rPr>
                <w:rFonts w:hint="eastAsia"/>
                <w:kern w:val="0"/>
                <w:sz w:val="24"/>
              </w:rPr>
              <w:t>占地。因此钻前工程主要为平整井场及设备安装</w:t>
            </w:r>
            <w:r>
              <w:rPr>
                <w:kern w:val="0"/>
                <w:sz w:val="24"/>
              </w:rPr>
              <w:t>。</w:t>
            </w:r>
          </w:p>
          <w:p>
            <w:pPr>
              <w:spacing w:line="360" w:lineRule="auto"/>
              <w:rPr>
                <w:b/>
                <w:sz w:val="24"/>
              </w:rPr>
            </w:pPr>
            <w:r>
              <w:rPr>
                <w:b/>
                <w:bCs/>
                <w:sz w:val="24"/>
              </w:rPr>
              <w:t>2.11.2钻井工程</w:t>
            </w:r>
          </w:p>
          <w:p>
            <w:pPr>
              <w:spacing w:line="360" w:lineRule="auto"/>
              <w:ind w:firstLine="480" w:firstLineChars="200"/>
              <w:rPr>
                <w:sz w:val="24"/>
              </w:rPr>
            </w:pPr>
            <w:r>
              <w:rPr>
                <w:rFonts w:hint="eastAsia"/>
                <w:sz w:val="24"/>
              </w:rPr>
              <w:t>原铁北1井完钻井深4535.00m，目前井筒内5个水泥塞，塞面顶深为1493.97m、2202.00m、2642.11m、2982.84m、3528.95m，其中裸眼井段存在两个水泥塞（2982.84~3300m、3528.95~3952m）。原铁北1井井身结构如下所示：</w:t>
            </w:r>
          </w:p>
          <w:p>
            <w:pPr>
              <w:jc w:val="center"/>
              <w:rPr>
                <w:sz w:val="24"/>
              </w:rPr>
            </w:pPr>
            <w:r>
              <w:rPr>
                <w:rFonts w:hint="eastAsia"/>
                <w:sz w:val="24"/>
              </w:rPr>
              <mc:AlternateContent>
                <mc:Choice Requires="wpg">
                  <w:drawing>
                    <wp:inline distT="0" distB="0" distL="114300" distR="114300">
                      <wp:extent cx="3981450" cy="4931410"/>
                      <wp:effectExtent l="0" t="0" r="0" b="2540"/>
                      <wp:docPr id="8" name="组合 4"/>
                      <wp:cNvGraphicFramePr/>
                      <a:graphic xmlns:a="http://schemas.openxmlformats.org/drawingml/2006/main">
                        <a:graphicData uri="http://schemas.microsoft.com/office/word/2010/wordprocessingGroup">
                          <wpg:wgp>
                            <wpg:cNvGrpSpPr/>
                            <wpg:grpSpPr>
                              <a:xfrm>
                                <a:off x="0" y="0"/>
                                <a:ext cx="3981450" cy="4931410"/>
                                <a:chOff x="6577" y="871"/>
                                <a:chExt cx="7245" cy="9180"/>
                              </a:xfrm>
                            </wpg:grpSpPr>
                            <pic:pic xmlns:pic="http://schemas.openxmlformats.org/drawingml/2006/picture">
                              <pic:nvPicPr>
                                <pic:cNvPr id="6" name="Picture 51"/>
                                <pic:cNvPicPr>
                                  <a:picLocks noChangeAspect="1"/>
                                </pic:cNvPicPr>
                              </pic:nvPicPr>
                              <pic:blipFill>
                                <a:blip r:embed="rId9"/>
                                <a:srcRect r="11745"/>
                                <a:stretch>
                                  <a:fillRect/>
                                </a:stretch>
                              </pic:blipFill>
                              <pic:spPr>
                                <a:xfrm>
                                  <a:off x="6577" y="871"/>
                                  <a:ext cx="7082" cy="9180"/>
                                </a:xfrm>
                                <a:prstGeom prst="rect">
                                  <a:avLst/>
                                </a:prstGeom>
                                <a:noFill/>
                                <a:ln w="9525">
                                  <a:noFill/>
                                </a:ln>
                              </pic:spPr>
                            </pic:pic>
                            <wps:wsp>
                              <wps:cNvPr id="7" name="文本框 15"/>
                              <wps:cNvSpPr txBox="1"/>
                              <wps:spPr>
                                <a:xfrm>
                                  <a:off x="12935" y="9521"/>
                                  <a:ext cx="887" cy="367"/>
                                </a:xfrm>
                                <a:prstGeom prst="rect">
                                  <a:avLst/>
                                </a:prstGeom>
                                <a:solidFill>
                                  <a:schemeClr val="bg1"/>
                                </a:solidFill>
                              </wps:spPr>
                              <wps:txbx>
                                <w:txbxContent>
                                  <w:p>
                                    <w:pPr>
                                      <w:pStyle w:val="38"/>
                                      <w:spacing w:before="0" w:after="0"/>
                                      <w:textAlignment w:val="baseline"/>
                                      <w:rPr>
                                        <w:sz w:val="22"/>
                                        <w:szCs w:val="22"/>
                                      </w:rPr>
                                    </w:pPr>
                                    <w:r>
                                      <w:rPr>
                                        <w:rFonts w:ascii="黑体" w:hAnsi="Times New Roman" w:eastAsia="黑体"/>
                                        <w:color w:val="000000" w:themeColor="text1"/>
                                        <w:kern w:val="24"/>
                                        <w:sz w:val="16"/>
                                        <w:szCs w:val="16"/>
                                        <w14:textFill>
                                          <w14:solidFill>
                                            <w14:schemeClr w14:val="tx1"/>
                                          </w14:solidFill>
                                        </w14:textFill>
                                      </w:rPr>
                                      <w:t>4535.00m</w:t>
                                    </w:r>
                                  </w:p>
                                </w:txbxContent>
                              </wps:txbx>
                              <wps:bodyPr wrap="square" lIns="0" tIns="45720" rIns="0" bIns="45720" rtlCol="0">
                                <a:noAutofit/>
                              </wps:bodyPr>
                            </wps:wsp>
                          </wpg:wgp>
                        </a:graphicData>
                      </a:graphic>
                    </wp:inline>
                  </w:drawing>
                </mc:Choice>
                <mc:Fallback>
                  <w:pict>
                    <v:group id="组合 4" o:spid="_x0000_s1026" o:spt="203" style="height:388.3pt;width:313.5pt;" coordorigin="6577,871" coordsize="7245,9180" o:gfxdata="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">
                      <o:lock v:ext="edit" aspectratio="f"/>
                      <v:shape id="Picture 51" o:spid="_x0000_s1026" o:spt="75" type="#_x0000_t75" style="position:absolute;left:6577;top:871;height:9180;width:7082;" filled="f" o:preferrelative="t" stroked="f" coordsize="21600,21600" o:gfxdata="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BXErsAAADa&#10;AAAADwAAAAAAAAABACAAAAAiAAAAZHJzL2Rvd25yZXYueG1sUEsBAhQAFAAAAAgAh07iQDMvBZ47&#10;AAAAOQAAABAAAAAAAAAAAQAgAAAACgEAAGRycy9zaGFwZXhtbC54bWxQSwUGAAAAAAYABgBbAQAA&#10;tAMAAAAA&#10;">
                        <v:fill on="f" focussize="0,0"/>
                        <v:stroke on="f"/>
                        <v:imagedata r:id="rId9" cropright="7697f" o:title=""/>
                        <o:lock v:ext="edit" aspectratio="t"/>
                      </v:shape>
                      <v:shape id="文本框 15" o:spid="_x0000_s1026" o:spt="202" type="#_x0000_t202" style="position:absolute;left:12935;top:9521;height:367;width:887;" fillcolor="#FFFFFF [3212]" filled="t" stroked="f" coordsize="21600,21600" o:gfxdata="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I7q8AAAA&#10;2gAAAA8AAAAAAAAAAQAgAAAAIgAAAGRycy9kb3ducmV2LnhtbFBLAQIUABQAAAAIAIdO4kAzLwWe&#10;OwAAADkAAAAQAAAAAAAAAAEAIAAAAAsBAABkcnMvc2hhcGV4bWwueG1sUEsFBgAAAAAGAAYAWwEA&#10;ALUDAAAAAA==&#10;">
                        <v:fill on="t" focussize="0,0"/>
                        <v:stroke on="f"/>
                        <v:imagedata o:title=""/>
                        <o:lock v:ext="edit" aspectratio="f"/>
                        <v:textbox inset="0mm,1.27mm,0mm,1.27mm">
                          <w:txbxContent>
                            <w:p>
                              <w:pPr>
                                <w:pStyle w:val="38"/>
                                <w:spacing w:before="0" w:after="0"/>
                                <w:textAlignment w:val="baseline"/>
                                <w:rPr>
                                  <w:sz w:val="22"/>
                                  <w:szCs w:val="22"/>
                                </w:rPr>
                              </w:pPr>
                              <w:r>
                                <w:rPr>
                                  <w:rFonts w:ascii="黑体" w:hAnsi="Times New Roman" w:eastAsia="黑体"/>
                                  <w:color w:val="000000" w:themeColor="text1"/>
                                  <w:kern w:val="24"/>
                                  <w:sz w:val="16"/>
                                  <w:szCs w:val="16"/>
                                  <w14:textFill>
                                    <w14:solidFill>
                                      <w14:schemeClr w14:val="tx1"/>
                                    </w14:solidFill>
                                  </w14:textFill>
                                </w:rPr>
                                <w:t>4535.00m</w:t>
                              </w:r>
                            </w:p>
                          </w:txbxContent>
                        </v:textbox>
                      </v:shape>
                      <w10:wrap type="none"/>
                      <w10:anchorlock/>
                    </v:group>
                  </w:pict>
                </mc:Fallback>
              </mc:AlternateContent>
            </w:r>
          </w:p>
          <w:p>
            <w:pPr>
              <w:spacing w:line="360" w:lineRule="auto"/>
              <w:ind w:firstLine="422" w:firstLineChars="200"/>
              <w:jc w:val="center"/>
              <w:rPr>
                <w:b/>
                <w:bCs/>
              </w:rPr>
            </w:pPr>
            <w:r>
              <w:rPr>
                <w:rFonts w:hint="eastAsia"/>
                <w:b/>
                <w:bCs/>
              </w:rPr>
              <w:t>图2-1 原铁北1井井身结构示意图</w:t>
            </w:r>
          </w:p>
          <w:p>
            <w:pPr>
              <w:spacing w:line="360" w:lineRule="auto"/>
              <w:ind w:firstLine="480" w:firstLineChars="200"/>
              <w:rPr>
                <w:sz w:val="24"/>
              </w:rPr>
            </w:pPr>
            <w:r>
              <w:rPr>
                <w:rFonts w:hint="eastAsia"/>
                <w:sz w:val="24"/>
              </w:rPr>
              <w:t>铁北1侧HF井利用其原铁北1井原井眼进行钻井</w:t>
            </w:r>
            <w:r>
              <w:rPr>
                <w:sz w:val="24"/>
              </w:rPr>
              <w:t>，</w:t>
            </w:r>
            <w:r>
              <w:rPr>
                <w:rFonts w:hint="eastAsia"/>
                <w:sz w:val="24"/>
              </w:rPr>
              <w:t>因此不涉及导管段及一开段。</w:t>
            </w:r>
            <w:r>
              <w:rPr>
                <w:sz w:val="24"/>
              </w:rPr>
              <w:t>本项目采用常规钻井工艺，使用钻机</w:t>
            </w:r>
            <w:r>
              <w:rPr>
                <w:rFonts w:hint="eastAsia"/>
                <w:sz w:val="24"/>
              </w:rPr>
              <w:t>ZJ70型</w:t>
            </w:r>
            <w:r>
              <w:rPr>
                <w:sz w:val="24"/>
              </w:rPr>
              <w:t>钻机对</w:t>
            </w:r>
            <w:r>
              <w:rPr>
                <w:rFonts w:hint="eastAsia"/>
                <w:sz w:val="24"/>
              </w:rPr>
              <w:t>铁北1侧HF井</w:t>
            </w:r>
            <w:r>
              <w:rPr>
                <w:sz w:val="24"/>
              </w:rPr>
              <w:t>进行钻井作业</w:t>
            </w:r>
            <w:r>
              <w:rPr>
                <w:rFonts w:hint="eastAsia"/>
                <w:sz w:val="24"/>
              </w:rPr>
              <w:t>。铁北1侧HF井属于水平井</w:t>
            </w:r>
            <w:r>
              <w:rPr>
                <w:sz w:val="24"/>
              </w:rPr>
              <w:t>；</w:t>
            </w:r>
            <w:r>
              <w:rPr>
                <w:rFonts w:hint="eastAsia"/>
                <w:sz w:val="24"/>
              </w:rPr>
              <w:t>导眼段</w:t>
            </w:r>
            <w:r>
              <w:rPr>
                <w:sz w:val="24"/>
              </w:rPr>
              <w:t>使用水基钻井液钻井，</w:t>
            </w:r>
            <w:r>
              <w:rPr>
                <w:rFonts w:hint="eastAsia"/>
                <w:sz w:val="24"/>
              </w:rPr>
              <w:t>水平段</w:t>
            </w:r>
            <w:r>
              <w:rPr>
                <w:sz w:val="24"/>
              </w:rPr>
              <w:t>采用油基钻井液进行钻井，有利于降低作业成本，对地层污染较小。</w:t>
            </w:r>
            <w:r>
              <w:rPr>
                <w:rFonts w:hint="eastAsia"/>
                <w:sz w:val="24"/>
              </w:rPr>
              <w:t>铁北1侧HF井钻井轨迹水平投影示意图详见附图。</w:t>
            </w:r>
          </w:p>
          <w:p>
            <w:pPr>
              <w:spacing w:line="360" w:lineRule="auto"/>
              <w:ind w:firstLine="482" w:firstLineChars="200"/>
              <w:jc w:val="center"/>
              <w:rPr>
                <w:b/>
                <w:bCs/>
                <w:sz w:val="24"/>
              </w:rPr>
            </w:pPr>
            <w:r>
              <w:rPr>
                <w:rFonts w:hint="eastAsia"/>
                <w:b/>
                <w:bCs/>
                <w:sz w:val="24"/>
              </w:rPr>
              <w:t>表2-8 铁北1侧HF井井身结构一览表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225"/>
              <w:gridCol w:w="1389"/>
              <w:gridCol w:w="1325"/>
              <w:gridCol w:w="1180"/>
              <w:gridCol w:w="118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top w:val="single" w:color="auto" w:sz="12" w:space="0"/>
                  </w:tcBorders>
                  <w:vAlign w:val="center"/>
                </w:tcPr>
                <w:p>
                  <w:pPr>
                    <w:jc w:val="center"/>
                    <w:textAlignment w:val="center"/>
                    <w:rPr>
                      <w:sz w:val="24"/>
                    </w:rPr>
                  </w:pPr>
                  <w:r>
                    <w:rPr>
                      <w:rFonts w:ascii="宋体" w:hAnsi="宋体"/>
                      <w:b/>
                      <w:bCs/>
                    </w:rPr>
                    <w:t>开次</w:t>
                  </w:r>
                </w:p>
              </w:tc>
              <w:tc>
                <w:tcPr>
                  <w:tcW w:w="1225" w:type="dxa"/>
                  <w:tcBorders>
                    <w:top w:val="single" w:color="auto" w:sz="12" w:space="0"/>
                  </w:tcBorders>
                  <w:vAlign w:val="center"/>
                </w:tcPr>
                <w:p>
                  <w:pPr>
                    <w:jc w:val="center"/>
                    <w:textAlignment w:val="center"/>
                    <w:rPr>
                      <w:sz w:val="24"/>
                    </w:rPr>
                  </w:pPr>
                  <w:r>
                    <w:rPr>
                      <w:rFonts w:ascii="宋体" w:hAnsi="宋体"/>
                      <w:b/>
                      <w:bCs/>
                    </w:rPr>
                    <w:t>钻头尺寸（</w:t>
                  </w:r>
                  <w:r>
                    <w:rPr>
                      <w:b/>
                      <w:bCs/>
                    </w:rPr>
                    <w:t>mm</w:t>
                  </w:r>
                  <w:r>
                    <w:rPr>
                      <w:rFonts w:ascii="宋体" w:hAnsi="宋体"/>
                      <w:b/>
                      <w:bCs/>
                    </w:rPr>
                    <w:t>）</w:t>
                  </w:r>
                </w:p>
              </w:tc>
              <w:tc>
                <w:tcPr>
                  <w:tcW w:w="1389" w:type="dxa"/>
                  <w:tcBorders>
                    <w:top w:val="single" w:color="auto" w:sz="12" w:space="0"/>
                  </w:tcBorders>
                  <w:vAlign w:val="center"/>
                </w:tcPr>
                <w:p>
                  <w:pPr>
                    <w:jc w:val="center"/>
                    <w:textAlignment w:val="center"/>
                    <w:rPr>
                      <w:b/>
                      <w:bCs/>
                    </w:rPr>
                  </w:pPr>
                  <w:r>
                    <w:rPr>
                      <w:rFonts w:ascii="宋体" w:hAnsi="宋体"/>
                      <w:b/>
                      <w:bCs/>
                    </w:rPr>
                    <w:t>钻深</w:t>
                  </w:r>
                </w:p>
                <w:p>
                  <w:pPr>
                    <w:jc w:val="center"/>
                    <w:textAlignment w:val="center"/>
                    <w:rPr>
                      <w:sz w:val="24"/>
                    </w:rPr>
                  </w:pPr>
                  <w:r>
                    <w:rPr>
                      <w:rFonts w:ascii="宋体" w:hAnsi="宋体"/>
                      <w:b/>
                      <w:bCs/>
                    </w:rPr>
                    <w:t>（</w:t>
                  </w:r>
                  <w:r>
                    <w:rPr>
                      <w:b/>
                      <w:bCs/>
                    </w:rPr>
                    <w:t>m</w:t>
                  </w:r>
                  <w:r>
                    <w:rPr>
                      <w:rFonts w:ascii="宋体" w:hAnsi="宋体"/>
                      <w:b/>
                      <w:bCs/>
                    </w:rPr>
                    <w:t>）</w:t>
                  </w:r>
                </w:p>
              </w:tc>
              <w:tc>
                <w:tcPr>
                  <w:tcW w:w="1325" w:type="dxa"/>
                  <w:tcBorders>
                    <w:top w:val="single" w:color="auto" w:sz="12" w:space="0"/>
                  </w:tcBorders>
                  <w:vAlign w:val="center"/>
                </w:tcPr>
                <w:p>
                  <w:pPr>
                    <w:jc w:val="center"/>
                    <w:textAlignment w:val="center"/>
                    <w:rPr>
                      <w:sz w:val="24"/>
                    </w:rPr>
                  </w:pPr>
                  <w:r>
                    <w:rPr>
                      <w:rFonts w:ascii="宋体" w:hAnsi="宋体"/>
                      <w:b/>
                      <w:bCs/>
                    </w:rPr>
                    <w:t>套管尺寸（</w:t>
                  </w:r>
                  <w:r>
                    <w:rPr>
                      <w:b/>
                      <w:bCs/>
                    </w:rPr>
                    <w:t>mm</w:t>
                  </w:r>
                  <w:r>
                    <w:rPr>
                      <w:rFonts w:ascii="宋体" w:hAnsi="宋体"/>
                      <w:b/>
                      <w:bCs/>
                    </w:rPr>
                    <w:t>）</w:t>
                  </w:r>
                </w:p>
              </w:tc>
              <w:tc>
                <w:tcPr>
                  <w:tcW w:w="1180" w:type="dxa"/>
                  <w:tcBorders>
                    <w:top w:val="single" w:color="auto" w:sz="12" w:space="0"/>
                  </w:tcBorders>
                  <w:vAlign w:val="center"/>
                </w:tcPr>
                <w:p>
                  <w:pPr>
                    <w:jc w:val="center"/>
                    <w:textAlignment w:val="center"/>
                    <w:rPr>
                      <w:sz w:val="24"/>
                    </w:rPr>
                  </w:pPr>
                  <w:r>
                    <w:rPr>
                      <w:rFonts w:ascii="宋体" w:hAnsi="宋体"/>
                      <w:b/>
                      <w:bCs/>
                    </w:rPr>
                    <w:t>套管下深（</w:t>
                  </w:r>
                  <w:r>
                    <w:rPr>
                      <w:b/>
                      <w:bCs/>
                    </w:rPr>
                    <w:t>m</w:t>
                  </w:r>
                  <w:r>
                    <w:rPr>
                      <w:rFonts w:ascii="宋体" w:hAnsi="宋体"/>
                      <w:b/>
                      <w:bCs/>
                    </w:rPr>
                    <w:t>）</w:t>
                  </w:r>
                </w:p>
              </w:tc>
              <w:tc>
                <w:tcPr>
                  <w:tcW w:w="1180" w:type="dxa"/>
                  <w:tcBorders>
                    <w:top w:val="single" w:color="auto" w:sz="12" w:space="0"/>
                  </w:tcBorders>
                  <w:vAlign w:val="center"/>
                </w:tcPr>
                <w:p>
                  <w:pPr>
                    <w:jc w:val="center"/>
                    <w:textAlignment w:val="center"/>
                    <w:rPr>
                      <w:sz w:val="24"/>
                    </w:rPr>
                  </w:pPr>
                  <w:r>
                    <w:rPr>
                      <w:rFonts w:ascii="宋体" w:hAnsi="宋体"/>
                      <w:b/>
                      <w:bCs/>
                    </w:rPr>
                    <w:t>水泥返高（</w:t>
                  </w:r>
                  <w:r>
                    <w:rPr>
                      <w:b/>
                      <w:bCs/>
                    </w:rPr>
                    <w:t>m</w:t>
                  </w:r>
                  <w:r>
                    <w:rPr>
                      <w:rFonts w:ascii="宋体" w:hAnsi="宋体"/>
                      <w:b/>
                      <w:bCs/>
                    </w:rPr>
                    <w:t>）</w:t>
                  </w:r>
                </w:p>
              </w:tc>
              <w:tc>
                <w:tcPr>
                  <w:tcW w:w="1141" w:type="dxa"/>
                  <w:tcBorders>
                    <w:top w:val="single" w:color="auto" w:sz="12" w:space="0"/>
                    <w:right w:val="single" w:color="auto" w:sz="12" w:space="0"/>
                  </w:tcBorders>
                </w:tcPr>
                <w:p>
                  <w:pPr>
                    <w:rPr>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left w:val="single" w:color="auto" w:sz="4" w:space="0"/>
                  </w:tcBorders>
                  <w:vAlign w:val="center"/>
                </w:tcPr>
                <w:p>
                  <w:pPr>
                    <w:jc w:val="center"/>
                    <w:textAlignment w:val="center"/>
                    <w:rPr>
                      <w:sz w:val="24"/>
                    </w:rPr>
                  </w:pPr>
                  <w:r>
                    <w:rPr>
                      <w:rFonts w:ascii="宋体" w:hAnsi="宋体"/>
                    </w:rPr>
                    <w:t>导管</w:t>
                  </w:r>
                </w:p>
              </w:tc>
              <w:tc>
                <w:tcPr>
                  <w:tcW w:w="1225" w:type="dxa"/>
                  <w:vAlign w:val="center"/>
                </w:tcPr>
                <w:p>
                  <w:pPr>
                    <w:jc w:val="center"/>
                    <w:textAlignment w:val="center"/>
                    <w:rPr>
                      <w:sz w:val="24"/>
                    </w:rPr>
                  </w:pPr>
                  <w:r>
                    <w:t>660.4</w:t>
                  </w:r>
                </w:p>
              </w:tc>
              <w:tc>
                <w:tcPr>
                  <w:tcW w:w="1389" w:type="dxa"/>
                  <w:vAlign w:val="center"/>
                </w:tcPr>
                <w:p>
                  <w:pPr>
                    <w:jc w:val="center"/>
                    <w:textAlignment w:val="center"/>
                    <w:rPr>
                      <w:sz w:val="24"/>
                    </w:rPr>
                  </w:pPr>
                  <w:r>
                    <w:rPr>
                      <w:rFonts w:hint="eastAsia"/>
                    </w:rPr>
                    <w:t>72.7</w:t>
                  </w:r>
                </w:p>
              </w:tc>
              <w:tc>
                <w:tcPr>
                  <w:tcW w:w="1325" w:type="dxa"/>
                  <w:vAlign w:val="center"/>
                </w:tcPr>
                <w:p>
                  <w:pPr>
                    <w:jc w:val="center"/>
                    <w:textAlignment w:val="center"/>
                    <w:rPr>
                      <w:sz w:val="24"/>
                    </w:rPr>
                  </w:pPr>
                  <w:r>
                    <w:t>508</w:t>
                  </w:r>
                </w:p>
              </w:tc>
              <w:tc>
                <w:tcPr>
                  <w:tcW w:w="1180" w:type="dxa"/>
                  <w:vAlign w:val="center"/>
                </w:tcPr>
                <w:p>
                  <w:pPr>
                    <w:jc w:val="center"/>
                    <w:textAlignment w:val="center"/>
                    <w:rPr>
                      <w:sz w:val="24"/>
                    </w:rPr>
                  </w:pPr>
                  <w:r>
                    <w:rPr>
                      <w:rFonts w:hint="eastAsia"/>
                    </w:rPr>
                    <w:t>7</w:t>
                  </w:r>
                  <w:r>
                    <w:t>2.7</w:t>
                  </w:r>
                </w:p>
              </w:tc>
              <w:tc>
                <w:tcPr>
                  <w:tcW w:w="1180" w:type="dxa"/>
                  <w:vAlign w:val="center"/>
                </w:tcPr>
                <w:p>
                  <w:pPr>
                    <w:jc w:val="center"/>
                    <w:textAlignment w:val="center"/>
                    <w:rPr>
                      <w:sz w:val="24"/>
                    </w:rPr>
                  </w:pPr>
                  <w:r>
                    <w:rPr>
                      <w:rFonts w:ascii="宋体" w:hAnsi="宋体"/>
                    </w:rPr>
                    <w:t>地面</w:t>
                  </w:r>
                </w:p>
              </w:tc>
              <w:tc>
                <w:tcPr>
                  <w:tcW w:w="1141" w:type="dxa"/>
                  <w:vMerge w:val="restart"/>
                  <w:tcBorders>
                    <w:right w:val="single" w:color="auto" w:sz="12" w:space="0"/>
                  </w:tcBorders>
                </w:tcPr>
                <w:p>
                  <w:pPr>
                    <w:rPr>
                      <w:sz w:val="24"/>
                    </w:rPr>
                  </w:pPr>
                  <w:r>
                    <w:rPr>
                      <w:rFonts w:hint="eastAsia" w:ascii="宋体" w:hAnsi="宋体"/>
                    </w:rPr>
                    <w:t>套管已下（利旧）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left w:val="single" w:color="auto" w:sz="4" w:space="0"/>
                  </w:tcBorders>
                  <w:vAlign w:val="center"/>
                </w:tcPr>
                <w:p>
                  <w:pPr>
                    <w:jc w:val="center"/>
                    <w:textAlignment w:val="center"/>
                    <w:rPr>
                      <w:sz w:val="24"/>
                    </w:rPr>
                  </w:pPr>
                  <w:r>
                    <w:rPr>
                      <w:rFonts w:ascii="宋体" w:hAnsi="宋体"/>
                    </w:rPr>
                    <w:t>一开</w:t>
                  </w:r>
                </w:p>
              </w:tc>
              <w:tc>
                <w:tcPr>
                  <w:tcW w:w="1225" w:type="dxa"/>
                  <w:vAlign w:val="center"/>
                </w:tcPr>
                <w:p>
                  <w:pPr>
                    <w:jc w:val="center"/>
                    <w:textAlignment w:val="center"/>
                    <w:rPr>
                      <w:sz w:val="24"/>
                    </w:rPr>
                  </w:pPr>
                  <w:r>
                    <w:t>406.4</w:t>
                  </w:r>
                </w:p>
              </w:tc>
              <w:tc>
                <w:tcPr>
                  <w:tcW w:w="1389" w:type="dxa"/>
                  <w:vAlign w:val="center"/>
                </w:tcPr>
                <w:p>
                  <w:pPr>
                    <w:jc w:val="center"/>
                    <w:textAlignment w:val="center"/>
                    <w:rPr>
                      <w:sz w:val="24"/>
                    </w:rPr>
                  </w:pPr>
                  <w:r>
                    <w:rPr>
                      <w:rFonts w:hint="eastAsia"/>
                    </w:rPr>
                    <w:t>711</w:t>
                  </w:r>
                </w:p>
              </w:tc>
              <w:tc>
                <w:tcPr>
                  <w:tcW w:w="1325" w:type="dxa"/>
                  <w:vAlign w:val="center"/>
                </w:tcPr>
                <w:p>
                  <w:pPr>
                    <w:jc w:val="center"/>
                    <w:textAlignment w:val="center"/>
                    <w:rPr>
                      <w:sz w:val="24"/>
                    </w:rPr>
                  </w:pPr>
                  <w:r>
                    <w:rPr>
                      <w:rFonts w:hint="eastAsia"/>
                    </w:rPr>
                    <w:t>339.7</w:t>
                  </w:r>
                </w:p>
              </w:tc>
              <w:tc>
                <w:tcPr>
                  <w:tcW w:w="1180" w:type="dxa"/>
                  <w:vAlign w:val="center"/>
                </w:tcPr>
                <w:p>
                  <w:pPr>
                    <w:jc w:val="center"/>
                    <w:textAlignment w:val="center"/>
                    <w:rPr>
                      <w:sz w:val="24"/>
                    </w:rPr>
                  </w:pPr>
                  <w:r>
                    <w:rPr>
                      <w:rFonts w:hint="eastAsia"/>
                    </w:rPr>
                    <w:t>710.55</w:t>
                  </w:r>
                </w:p>
              </w:tc>
              <w:tc>
                <w:tcPr>
                  <w:tcW w:w="1180" w:type="dxa"/>
                  <w:vAlign w:val="center"/>
                </w:tcPr>
                <w:p>
                  <w:pPr>
                    <w:jc w:val="center"/>
                    <w:textAlignment w:val="center"/>
                    <w:rPr>
                      <w:sz w:val="24"/>
                    </w:rPr>
                  </w:pPr>
                  <w:r>
                    <w:rPr>
                      <w:rFonts w:ascii="宋体" w:hAnsi="宋体"/>
                    </w:rPr>
                    <w:t>地面</w:t>
                  </w:r>
                </w:p>
              </w:tc>
              <w:tc>
                <w:tcPr>
                  <w:tcW w:w="1141" w:type="dxa"/>
                  <w:vMerge w:val="continue"/>
                  <w:tcBorders>
                    <w:right w:val="single" w:color="auto" w:sz="12" w:space="0"/>
                  </w:tcBorders>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6" w:type="dxa"/>
                  <w:tcBorders>
                    <w:left w:val="single" w:color="auto" w:sz="4" w:space="0"/>
                  </w:tcBorders>
                  <w:vAlign w:val="center"/>
                </w:tcPr>
                <w:p>
                  <w:pPr>
                    <w:jc w:val="center"/>
                    <w:textAlignment w:val="center"/>
                    <w:rPr>
                      <w:sz w:val="24"/>
                    </w:rPr>
                  </w:pPr>
                  <w:r>
                    <w:rPr>
                      <w:rFonts w:ascii="宋体" w:hAnsi="宋体"/>
                    </w:rPr>
                    <w:t>二开</w:t>
                  </w:r>
                </w:p>
              </w:tc>
              <w:tc>
                <w:tcPr>
                  <w:tcW w:w="1225" w:type="dxa"/>
                  <w:vAlign w:val="center"/>
                </w:tcPr>
                <w:p>
                  <w:pPr>
                    <w:jc w:val="center"/>
                    <w:textAlignment w:val="center"/>
                    <w:rPr>
                      <w:sz w:val="24"/>
                    </w:rPr>
                  </w:pPr>
                  <w:r>
                    <w:rPr>
                      <w:rFonts w:hint="eastAsia"/>
                    </w:rPr>
                    <w:t>311.2</w:t>
                  </w:r>
                </w:p>
              </w:tc>
              <w:tc>
                <w:tcPr>
                  <w:tcW w:w="1389" w:type="dxa"/>
                  <w:vAlign w:val="center"/>
                </w:tcPr>
                <w:p>
                  <w:pPr>
                    <w:jc w:val="center"/>
                    <w:textAlignment w:val="center"/>
                  </w:pPr>
                  <w:r>
                    <w:rPr>
                      <w:rFonts w:hint="eastAsia"/>
                    </w:rPr>
                    <w:t>2976.28</w:t>
                  </w:r>
                </w:p>
              </w:tc>
              <w:tc>
                <w:tcPr>
                  <w:tcW w:w="1325" w:type="dxa"/>
                  <w:vAlign w:val="center"/>
                </w:tcPr>
                <w:p>
                  <w:pPr>
                    <w:jc w:val="center"/>
                    <w:textAlignment w:val="center"/>
                  </w:pPr>
                  <w:r>
                    <w:rPr>
                      <w:rFonts w:hint="eastAsia"/>
                    </w:rPr>
                    <w:t>273.1</w:t>
                  </w:r>
                </w:p>
              </w:tc>
              <w:tc>
                <w:tcPr>
                  <w:tcW w:w="1180" w:type="dxa"/>
                  <w:vAlign w:val="center"/>
                </w:tcPr>
                <w:p>
                  <w:pPr>
                    <w:jc w:val="center"/>
                    <w:textAlignment w:val="center"/>
                  </w:pPr>
                  <w:r>
                    <w:rPr>
                      <w:rFonts w:hint="eastAsia"/>
                    </w:rPr>
                    <w:t>2961.94</w:t>
                  </w:r>
                </w:p>
              </w:tc>
              <w:tc>
                <w:tcPr>
                  <w:tcW w:w="1180" w:type="dxa"/>
                  <w:vAlign w:val="center"/>
                </w:tcPr>
                <w:p>
                  <w:pPr>
                    <w:jc w:val="center"/>
                    <w:textAlignment w:val="center"/>
                    <w:rPr>
                      <w:sz w:val="24"/>
                    </w:rPr>
                  </w:pPr>
                  <w:r>
                    <w:rPr>
                      <w:rFonts w:ascii="宋体" w:hAnsi="宋体"/>
                    </w:rPr>
                    <w:t>地面</w:t>
                  </w:r>
                </w:p>
              </w:tc>
              <w:tc>
                <w:tcPr>
                  <w:tcW w:w="1141" w:type="dxa"/>
                  <w:vMerge w:val="continue"/>
                  <w:tcBorders>
                    <w:right w:val="single" w:color="auto" w:sz="12" w:space="0"/>
                  </w:tcBorders>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left w:val="single" w:color="auto" w:sz="4" w:space="0"/>
                  </w:tcBorders>
                  <w:vAlign w:val="center"/>
                </w:tcPr>
                <w:p>
                  <w:pPr>
                    <w:jc w:val="center"/>
                    <w:textAlignment w:val="center"/>
                    <w:rPr>
                      <w:sz w:val="24"/>
                    </w:rPr>
                  </w:pPr>
                  <w:r>
                    <w:rPr>
                      <w:rFonts w:ascii="宋体" w:hAnsi="宋体"/>
                    </w:rPr>
                    <w:t>三开</w:t>
                  </w:r>
                </w:p>
              </w:tc>
              <w:tc>
                <w:tcPr>
                  <w:tcW w:w="1225" w:type="dxa"/>
                  <w:vAlign w:val="center"/>
                </w:tcPr>
                <w:p>
                  <w:pPr>
                    <w:jc w:val="center"/>
                    <w:textAlignment w:val="center"/>
                    <w:rPr>
                      <w:sz w:val="24"/>
                    </w:rPr>
                  </w:pPr>
                  <w:r>
                    <w:t>241.3</w:t>
                  </w:r>
                </w:p>
              </w:tc>
              <w:tc>
                <w:tcPr>
                  <w:tcW w:w="1389" w:type="dxa"/>
                  <w:vAlign w:val="center"/>
                </w:tcPr>
                <w:p>
                  <w:pPr>
                    <w:jc w:val="center"/>
                    <w:textAlignment w:val="center"/>
                  </w:pPr>
                  <w:r>
                    <w:rPr>
                      <w:rFonts w:hint="eastAsia"/>
                    </w:rPr>
                    <w:t>4535</w:t>
                  </w:r>
                </w:p>
              </w:tc>
              <w:tc>
                <w:tcPr>
                  <w:tcW w:w="1325" w:type="dxa"/>
                  <w:vAlign w:val="center"/>
                </w:tcPr>
                <w:p>
                  <w:pPr>
                    <w:jc w:val="center"/>
                    <w:textAlignment w:val="center"/>
                  </w:pPr>
                  <w:r>
                    <w:rPr>
                      <w:rFonts w:hint="eastAsia"/>
                    </w:rPr>
                    <w:t>/</w:t>
                  </w:r>
                </w:p>
              </w:tc>
              <w:tc>
                <w:tcPr>
                  <w:tcW w:w="1180" w:type="dxa"/>
                  <w:vAlign w:val="center"/>
                </w:tcPr>
                <w:p>
                  <w:pPr>
                    <w:jc w:val="center"/>
                    <w:textAlignment w:val="center"/>
                  </w:pPr>
                  <w:r>
                    <w:rPr>
                      <w:rFonts w:hint="eastAsia"/>
                    </w:rPr>
                    <w:t>/</w:t>
                  </w:r>
                </w:p>
              </w:tc>
              <w:tc>
                <w:tcPr>
                  <w:tcW w:w="1180" w:type="dxa"/>
                  <w:vAlign w:val="center"/>
                </w:tcPr>
                <w:p>
                  <w:pPr>
                    <w:jc w:val="center"/>
                    <w:textAlignment w:val="center"/>
                    <w:rPr>
                      <w:sz w:val="24"/>
                    </w:rPr>
                  </w:pPr>
                  <w:r>
                    <w:rPr>
                      <w:rFonts w:ascii="宋体" w:hAnsi="宋体"/>
                    </w:rPr>
                    <w:t>地面</w:t>
                  </w:r>
                </w:p>
              </w:tc>
              <w:tc>
                <w:tcPr>
                  <w:tcW w:w="1141" w:type="dxa"/>
                  <w:vMerge w:val="continue"/>
                  <w:tcBorders>
                    <w:right w:val="single" w:color="auto" w:sz="12" w:space="0"/>
                  </w:tcBorders>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left w:val="single" w:color="auto" w:sz="4" w:space="0"/>
                  </w:tcBorders>
                  <w:vAlign w:val="center"/>
                </w:tcPr>
                <w:p>
                  <w:pPr>
                    <w:jc w:val="center"/>
                    <w:textAlignment w:val="center"/>
                    <w:rPr>
                      <w:rFonts w:ascii="宋体" w:hAnsi="宋体"/>
                    </w:rPr>
                  </w:pPr>
                  <w:r>
                    <w:rPr>
                      <w:rFonts w:hint="eastAsia" w:ascii="宋体" w:hAnsi="宋体"/>
                    </w:rPr>
                    <w:t>导眼</w:t>
                  </w:r>
                </w:p>
              </w:tc>
              <w:tc>
                <w:tcPr>
                  <w:tcW w:w="1225" w:type="dxa"/>
                  <w:vAlign w:val="center"/>
                </w:tcPr>
                <w:p>
                  <w:pPr>
                    <w:jc w:val="center"/>
                    <w:textAlignment w:val="center"/>
                  </w:pPr>
                  <w:r>
                    <w:rPr>
                      <w:rFonts w:hint="eastAsia"/>
                    </w:rPr>
                    <w:t>241.3</w:t>
                  </w:r>
                </w:p>
              </w:tc>
              <w:tc>
                <w:tcPr>
                  <w:tcW w:w="1389" w:type="dxa"/>
                  <w:vAlign w:val="center"/>
                </w:tcPr>
                <w:p>
                  <w:pPr>
                    <w:jc w:val="center"/>
                    <w:textAlignment w:val="center"/>
                  </w:pPr>
                  <w:r>
                    <w:rPr>
                      <w:rFonts w:hint="eastAsia"/>
                    </w:rPr>
                    <w:t>5221</w:t>
                  </w:r>
                </w:p>
              </w:tc>
              <w:tc>
                <w:tcPr>
                  <w:tcW w:w="1325" w:type="dxa"/>
                  <w:vAlign w:val="center"/>
                </w:tcPr>
                <w:p>
                  <w:pPr>
                    <w:jc w:val="center"/>
                    <w:textAlignment w:val="center"/>
                  </w:pPr>
                  <w:r>
                    <w:rPr>
                      <w:rFonts w:hint="eastAsia"/>
                    </w:rPr>
                    <w:t>177.8</w:t>
                  </w:r>
                </w:p>
              </w:tc>
              <w:tc>
                <w:tcPr>
                  <w:tcW w:w="1180" w:type="dxa"/>
                  <w:vAlign w:val="center"/>
                </w:tcPr>
                <w:p>
                  <w:pPr>
                    <w:jc w:val="center"/>
                    <w:textAlignment w:val="center"/>
                  </w:pPr>
                  <w:r>
                    <w:rPr>
                      <w:rFonts w:hint="eastAsia"/>
                    </w:rPr>
                    <w:t>5220</w:t>
                  </w:r>
                </w:p>
              </w:tc>
              <w:tc>
                <w:tcPr>
                  <w:tcW w:w="1180" w:type="dxa"/>
                  <w:vAlign w:val="center"/>
                </w:tcPr>
                <w:p>
                  <w:pPr>
                    <w:jc w:val="center"/>
                    <w:textAlignment w:val="center"/>
                    <w:rPr>
                      <w:rFonts w:ascii="宋体" w:hAnsi="宋体"/>
                    </w:rPr>
                  </w:pPr>
                  <w:r>
                    <w:rPr>
                      <w:rFonts w:hint="eastAsia" w:ascii="宋体" w:hAnsi="宋体"/>
                    </w:rPr>
                    <w:t>地面</w:t>
                  </w:r>
                </w:p>
              </w:tc>
              <w:tc>
                <w:tcPr>
                  <w:tcW w:w="1141" w:type="dxa"/>
                  <w:tcBorders>
                    <w:right w:val="single" w:color="auto" w:sz="12" w:space="0"/>
                  </w:tcBorders>
                </w:tcPr>
                <w:p>
                  <w:pPr>
                    <w:rPr>
                      <w:rFonts w:ascii="宋体" w:hAnsi="宋体"/>
                    </w:rPr>
                  </w:pPr>
                  <w:r>
                    <w:rPr>
                      <w:rFonts w:hint="eastAsia" w:ascii="宋体" w:hAnsi="宋体"/>
                    </w:rPr>
                    <w:t>水基钻井液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6" w:type="dxa"/>
                  <w:tcBorders>
                    <w:left w:val="single" w:color="auto" w:sz="4" w:space="0"/>
                    <w:bottom w:val="single" w:color="auto" w:sz="12" w:space="0"/>
                  </w:tcBorders>
                  <w:vAlign w:val="center"/>
                </w:tcPr>
                <w:p>
                  <w:pPr>
                    <w:jc w:val="center"/>
                    <w:textAlignment w:val="center"/>
                    <w:rPr>
                      <w:sz w:val="24"/>
                    </w:rPr>
                  </w:pPr>
                  <w:r>
                    <w:rPr>
                      <w:rFonts w:ascii="宋体" w:hAnsi="宋体"/>
                    </w:rPr>
                    <w:t>侧钻</w:t>
                  </w:r>
                </w:p>
              </w:tc>
              <w:tc>
                <w:tcPr>
                  <w:tcW w:w="1225" w:type="dxa"/>
                  <w:tcBorders>
                    <w:bottom w:val="single" w:color="auto" w:sz="12" w:space="0"/>
                  </w:tcBorders>
                  <w:vAlign w:val="center"/>
                </w:tcPr>
                <w:p>
                  <w:pPr>
                    <w:jc w:val="center"/>
                    <w:textAlignment w:val="center"/>
                    <w:rPr>
                      <w:sz w:val="24"/>
                    </w:rPr>
                  </w:pPr>
                  <w:r>
                    <w:rPr>
                      <w:rFonts w:hint="eastAsia"/>
                    </w:rPr>
                    <w:t>149.2</w:t>
                  </w:r>
                </w:p>
              </w:tc>
              <w:tc>
                <w:tcPr>
                  <w:tcW w:w="1389" w:type="dxa"/>
                  <w:tcBorders>
                    <w:bottom w:val="single" w:color="auto" w:sz="12" w:space="0"/>
                  </w:tcBorders>
                  <w:vAlign w:val="center"/>
                </w:tcPr>
                <w:p>
                  <w:pPr>
                    <w:jc w:val="center"/>
                    <w:textAlignment w:val="center"/>
                    <w:rPr>
                      <w:sz w:val="24"/>
                    </w:rPr>
                  </w:pPr>
                  <w:r>
                    <w:rPr>
                      <w:rFonts w:hint="eastAsia"/>
                    </w:rPr>
                    <w:t>4135~5263</w:t>
                  </w:r>
                </w:p>
              </w:tc>
              <w:tc>
                <w:tcPr>
                  <w:tcW w:w="1325" w:type="dxa"/>
                  <w:tcBorders>
                    <w:bottom w:val="single" w:color="auto" w:sz="12" w:space="0"/>
                  </w:tcBorders>
                  <w:vAlign w:val="center"/>
                </w:tcPr>
                <w:p>
                  <w:pPr>
                    <w:jc w:val="center"/>
                    <w:textAlignment w:val="center"/>
                    <w:rPr>
                      <w:sz w:val="24"/>
                    </w:rPr>
                  </w:pPr>
                  <w:r>
                    <w:rPr>
                      <w:rFonts w:hint="eastAsia"/>
                    </w:rPr>
                    <w:t>114.3</w:t>
                  </w:r>
                </w:p>
              </w:tc>
              <w:tc>
                <w:tcPr>
                  <w:tcW w:w="1180" w:type="dxa"/>
                  <w:tcBorders>
                    <w:bottom w:val="single" w:color="auto" w:sz="12" w:space="0"/>
                  </w:tcBorders>
                  <w:vAlign w:val="center"/>
                </w:tcPr>
                <w:p>
                  <w:pPr>
                    <w:jc w:val="center"/>
                    <w:textAlignment w:val="center"/>
                    <w:rPr>
                      <w:sz w:val="24"/>
                    </w:rPr>
                  </w:pPr>
                  <w:r>
                    <w:rPr>
                      <w:rFonts w:hint="eastAsia"/>
                    </w:rPr>
                    <w:t>5263</w:t>
                  </w:r>
                </w:p>
              </w:tc>
              <w:tc>
                <w:tcPr>
                  <w:tcW w:w="1180" w:type="dxa"/>
                  <w:tcBorders>
                    <w:bottom w:val="single" w:color="auto" w:sz="12" w:space="0"/>
                  </w:tcBorders>
                  <w:vAlign w:val="center"/>
                </w:tcPr>
                <w:p>
                  <w:pPr>
                    <w:jc w:val="center"/>
                    <w:textAlignment w:val="center"/>
                    <w:rPr>
                      <w:sz w:val="24"/>
                    </w:rPr>
                  </w:pPr>
                  <w:r>
                    <w:rPr>
                      <w:rFonts w:ascii="宋体" w:hAnsi="宋体"/>
                    </w:rPr>
                    <w:t>地面</w:t>
                  </w:r>
                </w:p>
              </w:tc>
              <w:tc>
                <w:tcPr>
                  <w:tcW w:w="1141" w:type="dxa"/>
                  <w:tcBorders>
                    <w:bottom w:val="single" w:color="auto" w:sz="12" w:space="0"/>
                    <w:right w:val="single" w:color="auto" w:sz="12" w:space="0"/>
                  </w:tcBorders>
                </w:tcPr>
                <w:p>
                  <w:pPr>
                    <w:rPr>
                      <w:rFonts w:ascii="宋体" w:hAnsi="宋体"/>
                    </w:rPr>
                  </w:pPr>
                  <w:r>
                    <w:rPr>
                      <w:rFonts w:hint="eastAsia" w:ascii="宋体" w:hAnsi="宋体"/>
                    </w:rPr>
                    <w:t>油基钻井液</w:t>
                  </w:r>
                </w:p>
              </w:tc>
            </w:tr>
          </w:tbl>
          <w:p>
            <w:pPr>
              <w:jc w:val="center"/>
              <w:rPr>
                <w:sz w:val="24"/>
              </w:rPr>
            </w:pPr>
            <w:r>
              <w:rPr>
                <w:b/>
                <w:kern w:val="0"/>
                <w:sz w:val="24"/>
              </w:rPr>
              <mc:AlternateContent>
                <mc:Choice Requires="wps">
                  <w:drawing>
                    <wp:anchor distT="0" distB="0" distL="114300" distR="114300" simplePos="0" relativeHeight="251660288" behindDoc="0" locked="0" layoutInCell="1" allowOverlap="1">
                      <wp:simplePos x="0" y="0"/>
                      <wp:positionH relativeFrom="column">
                        <wp:posOffset>1882140</wp:posOffset>
                      </wp:positionH>
                      <wp:positionV relativeFrom="paragraph">
                        <wp:posOffset>118745</wp:posOffset>
                      </wp:positionV>
                      <wp:extent cx="1452880" cy="3759835"/>
                      <wp:effectExtent l="0" t="0" r="13970" b="12065"/>
                      <wp:wrapNone/>
                      <wp:docPr id="5" name="文本框 5"/>
                      <wp:cNvGraphicFramePr/>
                      <a:graphic xmlns:a="http://schemas.openxmlformats.org/drawingml/2006/main">
                        <a:graphicData uri="http://schemas.microsoft.com/office/word/2010/wordprocessingShape">
                          <wps:wsp>
                            <wps:cNvSpPr txBox="1"/>
                            <wps:spPr>
                              <a:xfrm>
                                <a:off x="0" y="0"/>
                                <a:ext cx="1452880" cy="3759835"/>
                              </a:xfrm>
                              <a:prstGeom prst="rect">
                                <a:avLst/>
                              </a:prstGeom>
                              <a:solidFill>
                                <a:srgbClr val="FFFFFF"/>
                              </a:solidFill>
                              <a:ln>
                                <a:noFill/>
                              </a:ln>
                            </wps:spPr>
                            <wps:txbx>
                              <w:txbxContent>
                                <w:p>
                                  <w:pPr>
                                    <w:rPr>
                                      <w:sz w:val="20"/>
                                      <w:szCs w:val="20"/>
                                    </w:rPr>
                                  </w:pPr>
                                  <w:r>
                                    <w:rPr>
                                      <w:rFonts w:hint="eastAsia"/>
                                      <w:sz w:val="20"/>
                                      <w:szCs w:val="20"/>
                                    </w:rPr>
                                    <w:t>铁北1井已建情况</w:t>
                                  </w:r>
                                </w:p>
                                <w:p>
                                  <w:pPr>
                                    <w:rPr>
                                      <w:sz w:val="20"/>
                                      <w:szCs w:val="20"/>
                                    </w:rPr>
                                  </w:pPr>
                                  <w:r>
                                    <w:rPr>
                                      <w:sz w:val="20"/>
                                      <w:szCs w:val="20"/>
                                    </w:rPr>
                                    <w:t>导管：</w:t>
                                  </w:r>
                                </w:p>
                                <w:p>
                                  <w:pPr>
                                    <w:rPr>
                                      <w:sz w:val="20"/>
                                      <w:szCs w:val="20"/>
                                    </w:rPr>
                                  </w:pPr>
                                  <w:r>
                                    <w:rPr>
                                      <w:sz w:val="20"/>
                                      <w:szCs w:val="20"/>
                                    </w:rPr>
                                    <w:t>套管外径(mm):</w:t>
                                  </w:r>
                                  <w:r>
                                    <w:rPr>
                                      <w:rFonts w:hint="eastAsia"/>
                                      <w:sz w:val="20"/>
                                      <w:szCs w:val="20"/>
                                    </w:rPr>
                                    <w:t>660.4</w:t>
                                  </w:r>
                                </w:p>
                                <w:p>
                                  <w:pPr>
                                    <w:rPr>
                                      <w:sz w:val="20"/>
                                      <w:szCs w:val="20"/>
                                    </w:rPr>
                                  </w:pPr>
                                  <w:r>
                                    <w:rPr>
                                      <w:sz w:val="20"/>
                                      <w:szCs w:val="20"/>
                                    </w:rPr>
                                    <w:t>套管下深(m):</w:t>
                                  </w:r>
                                  <w:r>
                                    <w:rPr>
                                      <w:rFonts w:hint="eastAsia"/>
                                      <w:sz w:val="20"/>
                                      <w:szCs w:val="20"/>
                                    </w:rPr>
                                    <w:t>72.7</w:t>
                                  </w:r>
                                </w:p>
                                <w:p>
                                  <w:pPr>
                                    <w:rPr>
                                      <w:sz w:val="20"/>
                                      <w:szCs w:val="20"/>
                                    </w:rPr>
                                  </w:pPr>
                                  <w:r>
                                    <w:rPr>
                                      <w:sz w:val="20"/>
                                      <w:szCs w:val="20"/>
                                    </w:rPr>
                                    <w:t>水泥返高(m):地面</w:t>
                                  </w:r>
                                </w:p>
                                <w:p>
                                  <w:pPr>
                                    <w:rPr>
                                      <w:sz w:val="20"/>
                                      <w:szCs w:val="20"/>
                                    </w:rPr>
                                  </w:pPr>
                                  <w:r>
                                    <w:rPr>
                                      <w:rFonts w:hint="eastAsia"/>
                                      <w:sz w:val="20"/>
                                      <w:szCs w:val="20"/>
                                    </w:rPr>
                                    <w:t>一</w:t>
                                  </w:r>
                                  <w:r>
                                    <w:rPr>
                                      <w:sz w:val="20"/>
                                      <w:szCs w:val="20"/>
                                    </w:rPr>
                                    <w:t>开：</w:t>
                                  </w:r>
                                </w:p>
                                <w:p>
                                  <w:pPr>
                                    <w:rPr>
                                      <w:sz w:val="20"/>
                                      <w:szCs w:val="20"/>
                                    </w:rPr>
                                  </w:pPr>
                                  <w:r>
                                    <w:rPr>
                                      <w:sz w:val="20"/>
                                      <w:szCs w:val="20"/>
                                    </w:rPr>
                                    <w:t>井眼直径(mm):</w:t>
                                  </w:r>
                                  <w:r>
                                    <w:rPr>
                                      <w:rFonts w:hint="eastAsia"/>
                                      <w:sz w:val="20"/>
                                      <w:szCs w:val="20"/>
                                    </w:rPr>
                                    <w:t>406.4</w:t>
                                  </w:r>
                                </w:p>
                                <w:p>
                                  <w:pPr>
                                    <w:rPr>
                                      <w:sz w:val="20"/>
                                      <w:szCs w:val="20"/>
                                    </w:rPr>
                                  </w:pPr>
                                  <w:r>
                                    <w:rPr>
                                      <w:sz w:val="20"/>
                                      <w:szCs w:val="20"/>
                                    </w:rPr>
                                    <w:t>所钻深度(m):</w:t>
                                  </w:r>
                                  <w:r>
                                    <w:rPr>
                                      <w:rFonts w:hint="eastAsia"/>
                                      <w:sz w:val="20"/>
                                      <w:szCs w:val="20"/>
                                    </w:rPr>
                                    <w:t>711</w:t>
                                  </w:r>
                                </w:p>
                                <w:p>
                                  <w:pPr>
                                    <w:rPr>
                                      <w:sz w:val="20"/>
                                      <w:szCs w:val="20"/>
                                    </w:rPr>
                                  </w:pPr>
                                  <w:r>
                                    <w:rPr>
                                      <w:sz w:val="20"/>
                                      <w:szCs w:val="20"/>
                                    </w:rPr>
                                    <w:t>套管外径(mm):</w:t>
                                  </w:r>
                                  <w:r>
                                    <w:rPr>
                                      <w:rFonts w:hint="eastAsia"/>
                                      <w:sz w:val="20"/>
                                      <w:szCs w:val="20"/>
                                    </w:rPr>
                                    <w:t>339.7</w:t>
                                  </w:r>
                                </w:p>
                                <w:p>
                                  <w:pPr>
                                    <w:rPr>
                                      <w:sz w:val="20"/>
                                      <w:szCs w:val="20"/>
                                    </w:rPr>
                                  </w:pPr>
                                  <w:r>
                                    <w:rPr>
                                      <w:sz w:val="20"/>
                                      <w:szCs w:val="20"/>
                                    </w:rPr>
                                    <w:t>套管下深(m):</w:t>
                                  </w:r>
                                  <w:r>
                                    <w:rPr>
                                      <w:rFonts w:hint="eastAsia"/>
                                      <w:sz w:val="20"/>
                                      <w:szCs w:val="20"/>
                                    </w:rPr>
                                    <w:t>710.55</w:t>
                                  </w:r>
                                </w:p>
                                <w:p>
                                  <w:pPr>
                                    <w:rPr>
                                      <w:sz w:val="20"/>
                                      <w:szCs w:val="20"/>
                                    </w:rPr>
                                  </w:pPr>
                                  <w:r>
                                    <w:rPr>
                                      <w:sz w:val="20"/>
                                      <w:szCs w:val="20"/>
                                    </w:rPr>
                                    <w:t>水泥返高(m):地面</w:t>
                                  </w:r>
                                </w:p>
                                <w:p>
                                  <w:pPr>
                                    <w:rPr>
                                      <w:sz w:val="20"/>
                                      <w:szCs w:val="20"/>
                                    </w:rPr>
                                  </w:pPr>
                                  <w:r>
                                    <w:rPr>
                                      <w:rFonts w:hint="eastAsia"/>
                                      <w:sz w:val="20"/>
                                      <w:szCs w:val="20"/>
                                    </w:rPr>
                                    <w:t>二</w:t>
                                  </w:r>
                                  <w:r>
                                    <w:rPr>
                                      <w:sz w:val="20"/>
                                      <w:szCs w:val="20"/>
                                    </w:rPr>
                                    <w:t>开：</w:t>
                                  </w:r>
                                </w:p>
                                <w:p>
                                  <w:pPr>
                                    <w:rPr>
                                      <w:sz w:val="20"/>
                                      <w:szCs w:val="20"/>
                                    </w:rPr>
                                  </w:pPr>
                                  <w:r>
                                    <w:rPr>
                                      <w:sz w:val="20"/>
                                      <w:szCs w:val="20"/>
                                    </w:rPr>
                                    <w:t>井眼直径(mm):</w:t>
                                  </w:r>
                                  <w:r>
                                    <w:rPr>
                                      <w:rFonts w:hint="eastAsia"/>
                                      <w:sz w:val="20"/>
                                      <w:szCs w:val="20"/>
                                    </w:rPr>
                                    <w:t>311.2</w:t>
                                  </w:r>
                                </w:p>
                                <w:p>
                                  <w:pPr>
                                    <w:rPr>
                                      <w:sz w:val="20"/>
                                      <w:szCs w:val="20"/>
                                    </w:rPr>
                                  </w:pPr>
                                  <w:r>
                                    <w:rPr>
                                      <w:sz w:val="20"/>
                                      <w:szCs w:val="20"/>
                                    </w:rPr>
                                    <w:t>所钻深度(m):</w:t>
                                  </w:r>
                                  <w:r>
                                    <w:rPr>
                                      <w:rFonts w:hint="eastAsia"/>
                                      <w:sz w:val="20"/>
                                      <w:szCs w:val="20"/>
                                    </w:rPr>
                                    <w:t>2976.28</w:t>
                                  </w:r>
                                </w:p>
                                <w:p>
                                  <w:pPr>
                                    <w:rPr>
                                      <w:sz w:val="20"/>
                                      <w:szCs w:val="20"/>
                                    </w:rPr>
                                  </w:pPr>
                                  <w:r>
                                    <w:rPr>
                                      <w:rFonts w:hint="eastAsia"/>
                                      <w:sz w:val="20"/>
                                      <w:szCs w:val="20"/>
                                    </w:rPr>
                                    <w:t>套管外径(mm):273.1</w:t>
                                  </w:r>
                                </w:p>
                                <w:p>
                                  <w:pPr>
                                    <w:rPr>
                                      <w:sz w:val="20"/>
                                      <w:szCs w:val="20"/>
                                    </w:rPr>
                                  </w:pPr>
                                  <w:r>
                                    <w:rPr>
                                      <w:rFonts w:hint="eastAsia"/>
                                      <w:sz w:val="20"/>
                                      <w:szCs w:val="20"/>
                                    </w:rPr>
                                    <w:t>套管下深(m):2961.94</w:t>
                                  </w:r>
                                </w:p>
                                <w:p>
                                  <w:pPr>
                                    <w:rPr>
                                      <w:sz w:val="20"/>
                                      <w:szCs w:val="20"/>
                                    </w:rPr>
                                  </w:pPr>
                                  <w:r>
                                    <w:rPr>
                                      <w:rFonts w:hint="eastAsia"/>
                                      <w:sz w:val="20"/>
                                      <w:szCs w:val="20"/>
                                    </w:rPr>
                                    <w:t>水泥返高(m):地面</w:t>
                                  </w:r>
                                </w:p>
                                <w:p>
                                  <w:pPr>
                                    <w:rPr>
                                      <w:sz w:val="20"/>
                                      <w:szCs w:val="20"/>
                                    </w:rPr>
                                  </w:pPr>
                                  <w:r>
                                    <w:rPr>
                                      <w:rFonts w:hint="eastAsia"/>
                                      <w:sz w:val="20"/>
                                      <w:szCs w:val="20"/>
                                    </w:rPr>
                                    <w:t>三开</w:t>
                                  </w:r>
                                  <w:r>
                                    <w:rPr>
                                      <w:sz w:val="20"/>
                                      <w:szCs w:val="20"/>
                                    </w:rPr>
                                    <w:t>：</w:t>
                                  </w:r>
                                </w:p>
                                <w:p>
                                  <w:pPr>
                                    <w:rPr>
                                      <w:sz w:val="20"/>
                                      <w:szCs w:val="20"/>
                                    </w:rPr>
                                  </w:pPr>
                                  <w:r>
                                    <w:rPr>
                                      <w:sz w:val="20"/>
                                      <w:szCs w:val="20"/>
                                    </w:rPr>
                                    <w:t>井眼直径(mm):</w:t>
                                  </w:r>
                                  <w:r>
                                    <w:rPr>
                                      <w:rFonts w:hint="eastAsia"/>
                                      <w:sz w:val="20"/>
                                      <w:szCs w:val="20"/>
                                    </w:rPr>
                                    <w:t>241.3</w:t>
                                  </w:r>
                                </w:p>
                                <w:p>
                                  <w:pPr>
                                    <w:rPr>
                                      <w:sz w:val="20"/>
                                      <w:szCs w:val="20"/>
                                    </w:rPr>
                                  </w:pPr>
                                  <w:r>
                                    <w:rPr>
                                      <w:sz w:val="20"/>
                                      <w:szCs w:val="20"/>
                                    </w:rPr>
                                    <w:t xml:space="preserve">所钻深度(m): </w:t>
                                  </w:r>
                                  <w:r>
                                    <w:rPr>
                                      <w:rFonts w:hint="eastAsia"/>
                                      <w:sz w:val="20"/>
                                      <w:szCs w:val="20"/>
                                    </w:rPr>
                                    <w:t>4535</w:t>
                                  </w:r>
                                </w:p>
                                <w:p>
                                  <w:pPr>
                                    <w:rPr>
                                      <w:sz w:val="20"/>
                                      <w:szCs w:val="20"/>
                                    </w:rPr>
                                  </w:pPr>
                                  <w:r>
                                    <w:rPr>
                                      <w:sz w:val="20"/>
                                      <w:szCs w:val="20"/>
                                    </w:rPr>
                                    <w:t>套管下深(m):2961.94</w:t>
                                  </w:r>
                                </w:p>
                                <w:p>
                                  <w:pPr>
                                    <w:rPr>
                                      <w:sz w:val="20"/>
                                      <w:szCs w:val="20"/>
                                    </w:rPr>
                                  </w:pPr>
                                  <w:r>
                                    <w:rPr>
                                      <w:sz w:val="20"/>
                                      <w:szCs w:val="20"/>
                                    </w:rPr>
                                    <w:t>水泥返高(m):地面</w:t>
                                  </w:r>
                                </w:p>
                              </w:txbxContent>
                            </wps:txbx>
                            <wps:bodyPr upright="1"/>
                          </wps:wsp>
                        </a:graphicData>
                      </a:graphic>
                    </wp:anchor>
                  </w:drawing>
                </mc:Choice>
                <mc:Fallback>
                  <w:pict>
                    <v:shape id="_x0000_s1026" o:spid="_x0000_s1026" o:spt="202" type="#_x0000_t202" style="position:absolute;left:0pt;margin-left:148.2pt;margin-top:9.35pt;height:296.05pt;width:114.4pt;z-index:251660288;mso-width-relative:page;mso-height-relative:page;" fillcolor="#FFFFFF" filled="t" stroked="f" coordsize="21600,21600" o:gfxdata="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jTZV2AAAAAoBAAAPAAAAAAAAAAEAIAAAACIAAABkcnMvZG93bnJl&#10;di54bWxQSwECFAAUAAAACACHTuJAgO610MQBAAB4AwAADgAAAAAAAAABACAAAAAnAQAAZHJzL2Uy&#10;b0RvYy54bWxQSwUGAAAAAAYABgBZAQAAXQUAAAAA&#10;">
                      <v:fill on="t" focussize="0,0"/>
                      <v:stroke on="f"/>
                      <v:imagedata o:title=""/>
                      <o:lock v:ext="edit" aspectratio="f"/>
                      <v:textbox>
                        <w:txbxContent>
                          <w:p>
                            <w:pPr>
                              <w:rPr>
                                <w:sz w:val="20"/>
                                <w:szCs w:val="20"/>
                              </w:rPr>
                            </w:pPr>
                            <w:r>
                              <w:rPr>
                                <w:rFonts w:hint="eastAsia"/>
                                <w:sz w:val="20"/>
                                <w:szCs w:val="20"/>
                              </w:rPr>
                              <w:t>铁北1井已建情况</w:t>
                            </w:r>
                          </w:p>
                          <w:p>
                            <w:pPr>
                              <w:rPr>
                                <w:sz w:val="20"/>
                                <w:szCs w:val="20"/>
                              </w:rPr>
                            </w:pPr>
                            <w:r>
                              <w:rPr>
                                <w:sz w:val="20"/>
                                <w:szCs w:val="20"/>
                              </w:rPr>
                              <w:t>导管：</w:t>
                            </w:r>
                          </w:p>
                          <w:p>
                            <w:pPr>
                              <w:rPr>
                                <w:sz w:val="20"/>
                                <w:szCs w:val="20"/>
                              </w:rPr>
                            </w:pPr>
                            <w:r>
                              <w:rPr>
                                <w:sz w:val="20"/>
                                <w:szCs w:val="20"/>
                              </w:rPr>
                              <w:t>套管外径(mm):</w:t>
                            </w:r>
                            <w:r>
                              <w:rPr>
                                <w:rFonts w:hint="eastAsia"/>
                                <w:sz w:val="20"/>
                                <w:szCs w:val="20"/>
                              </w:rPr>
                              <w:t>660.4</w:t>
                            </w:r>
                          </w:p>
                          <w:p>
                            <w:pPr>
                              <w:rPr>
                                <w:sz w:val="20"/>
                                <w:szCs w:val="20"/>
                              </w:rPr>
                            </w:pPr>
                            <w:r>
                              <w:rPr>
                                <w:sz w:val="20"/>
                                <w:szCs w:val="20"/>
                              </w:rPr>
                              <w:t>套管下深(m):</w:t>
                            </w:r>
                            <w:r>
                              <w:rPr>
                                <w:rFonts w:hint="eastAsia"/>
                                <w:sz w:val="20"/>
                                <w:szCs w:val="20"/>
                              </w:rPr>
                              <w:t>72.7</w:t>
                            </w:r>
                          </w:p>
                          <w:p>
                            <w:pPr>
                              <w:rPr>
                                <w:sz w:val="20"/>
                                <w:szCs w:val="20"/>
                              </w:rPr>
                            </w:pPr>
                            <w:r>
                              <w:rPr>
                                <w:sz w:val="20"/>
                                <w:szCs w:val="20"/>
                              </w:rPr>
                              <w:t>水泥返高(m):地面</w:t>
                            </w:r>
                          </w:p>
                          <w:p>
                            <w:pPr>
                              <w:rPr>
                                <w:sz w:val="20"/>
                                <w:szCs w:val="20"/>
                              </w:rPr>
                            </w:pPr>
                            <w:r>
                              <w:rPr>
                                <w:rFonts w:hint="eastAsia"/>
                                <w:sz w:val="20"/>
                                <w:szCs w:val="20"/>
                              </w:rPr>
                              <w:t>一</w:t>
                            </w:r>
                            <w:r>
                              <w:rPr>
                                <w:sz w:val="20"/>
                                <w:szCs w:val="20"/>
                              </w:rPr>
                              <w:t>开：</w:t>
                            </w:r>
                          </w:p>
                          <w:p>
                            <w:pPr>
                              <w:rPr>
                                <w:sz w:val="20"/>
                                <w:szCs w:val="20"/>
                              </w:rPr>
                            </w:pPr>
                            <w:r>
                              <w:rPr>
                                <w:sz w:val="20"/>
                                <w:szCs w:val="20"/>
                              </w:rPr>
                              <w:t>井眼直径(mm):</w:t>
                            </w:r>
                            <w:r>
                              <w:rPr>
                                <w:rFonts w:hint="eastAsia"/>
                                <w:sz w:val="20"/>
                                <w:szCs w:val="20"/>
                              </w:rPr>
                              <w:t>406.4</w:t>
                            </w:r>
                          </w:p>
                          <w:p>
                            <w:pPr>
                              <w:rPr>
                                <w:sz w:val="20"/>
                                <w:szCs w:val="20"/>
                              </w:rPr>
                            </w:pPr>
                            <w:r>
                              <w:rPr>
                                <w:sz w:val="20"/>
                                <w:szCs w:val="20"/>
                              </w:rPr>
                              <w:t>所钻深度(m):</w:t>
                            </w:r>
                            <w:r>
                              <w:rPr>
                                <w:rFonts w:hint="eastAsia"/>
                                <w:sz w:val="20"/>
                                <w:szCs w:val="20"/>
                              </w:rPr>
                              <w:t>711</w:t>
                            </w:r>
                          </w:p>
                          <w:p>
                            <w:pPr>
                              <w:rPr>
                                <w:sz w:val="20"/>
                                <w:szCs w:val="20"/>
                              </w:rPr>
                            </w:pPr>
                            <w:r>
                              <w:rPr>
                                <w:sz w:val="20"/>
                                <w:szCs w:val="20"/>
                              </w:rPr>
                              <w:t>套管外径(mm):</w:t>
                            </w:r>
                            <w:r>
                              <w:rPr>
                                <w:rFonts w:hint="eastAsia"/>
                                <w:sz w:val="20"/>
                                <w:szCs w:val="20"/>
                              </w:rPr>
                              <w:t>339.7</w:t>
                            </w:r>
                          </w:p>
                          <w:p>
                            <w:pPr>
                              <w:rPr>
                                <w:sz w:val="20"/>
                                <w:szCs w:val="20"/>
                              </w:rPr>
                            </w:pPr>
                            <w:r>
                              <w:rPr>
                                <w:sz w:val="20"/>
                                <w:szCs w:val="20"/>
                              </w:rPr>
                              <w:t>套管下深(m):</w:t>
                            </w:r>
                            <w:r>
                              <w:rPr>
                                <w:rFonts w:hint="eastAsia"/>
                                <w:sz w:val="20"/>
                                <w:szCs w:val="20"/>
                              </w:rPr>
                              <w:t>710.55</w:t>
                            </w:r>
                          </w:p>
                          <w:p>
                            <w:pPr>
                              <w:rPr>
                                <w:sz w:val="20"/>
                                <w:szCs w:val="20"/>
                              </w:rPr>
                            </w:pPr>
                            <w:r>
                              <w:rPr>
                                <w:sz w:val="20"/>
                                <w:szCs w:val="20"/>
                              </w:rPr>
                              <w:t>水泥返高(m):地面</w:t>
                            </w:r>
                          </w:p>
                          <w:p>
                            <w:pPr>
                              <w:rPr>
                                <w:sz w:val="20"/>
                                <w:szCs w:val="20"/>
                              </w:rPr>
                            </w:pPr>
                            <w:r>
                              <w:rPr>
                                <w:rFonts w:hint="eastAsia"/>
                                <w:sz w:val="20"/>
                                <w:szCs w:val="20"/>
                              </w:rPr>
                              <w:t>二</w:t>
                            </w:r>
                            <w:r>
                              <w:rPr>
                                <w:sz w:val="20"/>
                                <w:szCs w:val="20"/>
                              </w:rPr>
                              <w:t>开：</w:t>
                            </w:r>
                          </w:p>
                          <w:p>
                            <w:pPr>
                              <w:rPr>
                                <w:sz w:val="20"/>
                                <w:szCs w:val="20"/>
                              </w:rPr>
                            </w:pPr>
                            <w:r>
                              <w:rPr>
                                <w:sz w:val="20"/>
                                <w:szCs w:val="20"/>
                              </w:rPr>
                              <w:t>井眼直径(mm):</w:t>
                            </w:r>
                            <w:r>
                              <w:rPr>
                                <w:rFonts w:hint="eastAsia"/>
                                <w:sz w:val="20"/>
                                <w:szCs w:val="20"/>
                              </w:rPr>
                              <w:t>311.2</w:t>
                            </w:r>
                          </w:p>
                          <w:p>
                            <w:pPr>
                              <w:rPr>
                                <w:sz w:val="20"/>
                                <w:szCs w:val="20"/>
                              </w:rPr>
                            </w:pPr>
                            <w:r>
                              <w:rPr>
                                <w:sz w:val="20"/>
                                <w:szCs w:val="20"/>
                              </w:rPr>
                              <w:t>所钻深度(m):</w:t>
                            </w:r>
                            <w:r>
                              <w:rPr>
                                <w:rFonts w:hint="eastAsia"/>
                                <w:sz w:val="20"/>
                                <w:szCs w:val="20"/>
                              </w:rPr>
                              <w:t>2976.28</w:t>
                            </w:r>
                          </w:p>
                          <w:p>
                            <w:pPr>
                              <w:rPr>
                                <w:sz w:val="20"/>
                                <w:szCs w:val="20"/>
                              </w:rPr>
                            </w:pPr>
                            <w:r>
                              <w:rPr>
                                <w:rFonts w:hint="eastAsia"/>
                                <w:sz w:val="20"/>
                                <w:szCs w:val="20"/>
                              </w:rPr>
                              <w:t>套管外径(mm):273.1</w:t>
                            </w:r>
                          </w:p>
                          <w:p>
                            <w:pPr>
                              <w:rPr>
                                <w:sz w:val="20"/>
                                <w:szCs w:val="20"/>
                              </w:rPr>
                            </w:pPr>
                            <w:r>
                              <w:rPr>
                                <w:rFonts w:hint="eastAsia"/>
                                <w:sz w:val="20"/>
                                <w:szCs w:val="20"/>
                              </w:rPr>
                              <w:t>套管下深(m):2961.94</w:t>
                            </w:r>
                          </w:p>
                          <w:p>
                            <w:pPr>
                              <w:rPr>
                                <w:sz w:val="20"/>
                                <w:szCs w:val="20"/>
                              </w:rPr>
                            </w:pPr>
                            <w:r>
                              <w:rPr>
                                <w:rFonts w:hint="eastAsia"/>
                                <w:sz w:val="20"/>
                                <w:szCs w:val="20"/>
                              </w:rPr>
                              <w:t>水泥返高(m):地面</w:t>
                            </w:r>
                          </w:p>
                          <w:p>
                            <w:pPr>
                              <w:rPr>
                                <w:sz w:val="20"/>
                                <w:szCs w:val="20"/>
                              </w:rPr>
                            </w:pPr>
                            <w:r>
                              <w:rPr>
                                <w:rFonts w:hint="eastAsia"/>
                                <w:sz w:val="20"/>
                                <w:szCs w:val="20"/>
                              </w:rPr>
                              <w:t>三开</w:t>
                            </w:r>
                            <w:r>
                              <w:rPr>
                                <w:sz w:val="20"/>
                                <w:szCs w:val="20"/>
                              </w:rPr>
                              <w:t>：</w:t>
                            </w:r>
                          </w:p>
                          <w:p>
                            <w:pPr>
                              <w:rPr>
                                <w:sz w:val="20"/>
                                <w:szCs w:val="20"/>
                              </w:rPr>
                            </w:pPr>
                            <w:r>
                              <w:rPr>
                                <w:sz w:val="20"/>
                                <w:szCs w:val="20"/>
                              </w:rPr>
                              <w:t>井眼直径(mm):</w:t>
                            </w:r>
                            <w:r>
                              <w:rPr>
                                <w:rFonts w:hint="eastAsia"/>
                                <w:sz w:val="20"/>
                                <w:szCs w:val="20"/>
                              </w:rPr>
                              <w:t>241.3</w:t>
                            </w:r>
                          </w:p>
                          <w:p>
                            <w:pPr>
                              <w:rPr>
                                <w:sz w:val="20"/>
                                <w:szCs w:val="20"/>
                              </w:rPr>
                            </w:pPr>
                            <w:r>
                              <w:rPr>
                                <w:sz w:val="20"/>
                                <w:szCs w:val="20"/>
                              </w:rPr>
                              <w:t xml:space="preserve">所钻深度(m): </w:t>
                            </w:r>
                            <w:r>
                              <w:rPr>
                                <w:rFonts w:hint="eastAsia"/>
                                <w:sz w:val="20"/>
                                <w:szCs w:val="20"/>
                              </w:rPr>
                              <w:t>4535</w:t>
                            </w:r>
                          </w:p>
                          <w:p>
                            <w:pPr>
                              <w:rPr>
                                <w:sz w:val="20"/>
                                <w:szCs w:val="20"/>
                              </w:rPr>
                            </w:pPr>
                            <w:r>
                              <w:rPr>
                                <w:sz w:val="20"/>
                                <w:szCs w:val="20"/>
                              </w:rPr>
                              <w:t>套管下深(m):2961.94</w:t>
                            </w:r>
                          </w:p>
                          <w:p>
                            <w:pPr>
                              <w:rPr>
                                <w:sz w:val="20"/>
                                <w:szCs w:val="20"/>
                              </w:rPr>
                            </w:pPr>
                            <w:r>
                              <w:rPr>
                                <w:sz w:val="20"/>
                                <w:szCs w:val="20"/>
                              </w:rPr>
                              <w:t>水泥返高(m):地面</w:t>
                            </w:r>
                          </w:p>
                        </w:txbxContent>
                      </v:textbox>
                    </v:shape>
                  </w:pict>
                </mc:Fallback>
              </mc:AlternateContent>
            </w:r>
            <w:r>
              <w:rPr>
                <w:b/>
                <w:kern w:val="0"/>
                <w:sz w:val="24"/>
              </w:rPr>
              <mc:AlternateContent>
                <mc:Choice Requires="wps">
                  <w:drawing>
                    <wp:anchor distT="0" distB="0" distL="114300" distR="114300" simplePos="0" relativeHeight="251661312" behindDoc="0" locked="0" layoutInCell="1" allowOverlap="1">
                      <wp:simplePos x="0" y="0"/>
                      <wp:positionH relativeFrom="column">
                        <wp:posOffset>3688080</wp:posOffset>
                      </wp:positionH>
                      <wp:positionV relativeFrom="paragraph">
                        <wp:posOffset>2192020</wp:posOffset>
                      </wp:positionV>
                      <wp:extent cx="1581785" cy="2071370"/>
                      <wp:effectExtent l="0" t="0" r="18415" b="5080"/>
                      <wp:wrapNone/>
                      <wp:docPr id="9" name="文本框 9"/>
                      <wp:cNvGraphicFramePr/>
                      <a:graphic xmlns:a="http://schemas.openxmlformats.org/drawingml/2006/main">
                        <a:graphicData uri="http://schemas.microsoft.com/office/word/2010/wordprocessingShape">
                          <wps:wsp>
                            <wps:cNvSpPr txBox="1"/>
                            <wps:spPr>
                              <a:xfrm>
                                <a:off x="0" y="0"/>
                                <a:ext cx="1581785" cy="2071370"/>
                              </a:xfrm>
                              <a:prstGeom prst="rect">
                                <a:avLst/>
                              </a:prstGeom>
                              <a:solidFill>
                                <a:srgbClr val="FFFFFF"/>
                              </a:solidFill>
                              <a:ln>
                                <a:noFill/>
                              </a:ln>
                            </wps:spPr>
                            <wps:txbx>
                              <w:txbxContent>
                                <w:p>
                                  <w:pPr>
                                    <w:rPr>
                                      <w:sz w:val="20"/>
                                      <w:szCs w:val="20"/>
                                    </w:rPr>
                                  </w:pPr>
                                  <w:r>
                                    <w:rPr>
                                      <w:sz w:val="20"/>
                                      <w:szCs w:val="20"/>
                                    </w:rPr>
                                    <w:t>导</w:t>
                                  </w:r>
                                  <w:r>
                                    <w:rPr>
                                      <w:rFonts w:hint="eastAsia"/>
                                      <w:sz w:val="20"/>
                                      <w:szCs w:val="20"/>
                                    </w:rPr>
                                    <w:t>眼</w:t>
                                  </w:r>
                                  <w:r>
                                    <w:rPr>
                                      <w:sz w:val="20"/>
                                      <w:szCs w:val="20"/>
                                    </w:rPr>
                                    <w:t>：</w:t>
                                  </w:r>
                                </w:p>
                                <w:p>
                                  <w:pPr>
                                    <w:rPr>
                                      <w:sz w:val="20"/>
                                      <w:szCs w:val="20"/>
                                    </w:rPr>
                                  </w:pPr>
                                  <w:r>
                                    <w:rPr>
                                      <w:sz w:val="20"/>
                                      <w:szCs w:val="20"/>
                                    </w:rPr>
                                    <w:t>井眼直径(mm):</w:t>
                                  </w:r>
                                  <w:r>
                                    <w:rPr>
                                      <w:rFonts w:hint="eastAsia"/>
                                      <w:sz w:val="20"/>
                                      <w:szCs w:val="20"/>
                                    </w:rPr>
                                    <w:t>214.3</w:t>
                                  </w:r>
                                </w:p>
                                <w:p>
                                  <w:pPr>
                                    <w:rPr>
                                      <w:sz w:val="20"/>
                                      <w:szCs w:val="20"/>
                                    </w:rPr>
                                  </w:pPr>
                                  <w:r>
                                    <w:rPr>
                                      <w:sz w:val="20"/>
                                      <w:szCs w:val="20"/>
                                    </w:rPr>
                                    <w:t>所钻深度(m):</w:t>
                                  </w:r>
                                  <w:r>
                                    <w:rPr>
                                      <w:rFonts w:hint="eastAsia"/>
                                      <w:sz w:val="20"/>
                                      <w:szCs w:val="20"/>
                                    </w:rPr>
                                    <w:t>5221</w:t>
                                  </w:r>
                                </w:p>
                                <w:p>
                                  <w:pPr>
                                    <w:rPr>
                                      <w:sz w:val="20"/>
                                      <w:szCs w:val="20"/>
                                    </w:rPr>
                                  </w:pPr>
                                  <w:r>
                                    <w:rPr>
                                      <w:rFonts w:hint="eastAsia"/>
                                      <w:sz w:val="20"/>
                                      <w:szCs w:val="20"/>
                                    </w:rPr>
                                    <w:t>套管外径(mm):177.8</w:t>
                                  </w:r>
                                </w:p>
                                <w:p>
                                  <w:pPr>
                                    <w:rPr>
                                      <w:sz w:val="20"/>
                                      <w:szCs w:val="20"/>
                                    </w:rPr>
                                  </w:pPr>
                                  <w:r>
                                    <w:rPr>
                                      <w:rFonts w:hint="eastAsia"/>
                                      <w:sz w:val="20"/>
                                      <w:szCs w:val="20"/>
                                    </w:rPr>
                                    <w:t>套管下深(m):5220</w:t>
                                  </w:r>
                                </w:p>
                                <w:p>
                                  <w:pPr>
                                    <w:rPr>
                                      <w:sz w:val="20"/>
                                      <w:szCs w:val="20"/>
                                    </w:rPr>
                                  </w:pPr>
                                  <w:r>
                                    <w:rPr>
                                      <w:rFonts w:hint="eastAsia"/>
                                      <w:sz w:val="20"/>
                                      <w:szCs w:val="20"/>
                                    </w:rPr>
                                    <w:t>水泥返高(m):地面</w:t>
                                  </w:r>
                                </w:p>
                                <w:p>
                                  <w:pPr>
                                    <w:rPr>
                                      <w:sz w:val="20"/>
                                      <w:szCs w:val="20"/>
                                    </w:rPr>
                                  </w:pPr>
                                  <w:r>
                                    <w:rPr>
                                      <w:rFonts w:hint="eastAsia"/>
                                      <w:sz w:val="20"/>
                                      <w:szCs w:val="20"/>
                                    </w:rPr>
                                    <w:t>侧钻</w:t>
                                  </w:r>
                                  <w:r>
                                    <w:rPr>
                                      <w:sz w:val="20"/>
                                      <w:szCs w:val="20"/>
                                    </w:rPr>
                                    <w:t>：</w:t>
                                  </w:r>
                                </w:p>
                                <w:p>
                                  <w:pPr>
                                    <w:rPr>
                                      <w:sz w:val="20"/>
                                      <w:szCs w:val="20"/>
                                    </w:rPr>
                                  </w:pPr>
                                  <w:r>
                                    <w:rPr>
                                      <w:sz w:val="20"/>
                                      <w:szCs w:val="20"/>
                                    </w:rPr>
                                    <w:t>井眼直径(mm):</w:t>
                                  </w:r>
                                  <w:r>
                                    <w:rPr>
                                      <w:rFonts w:hint="eastAsia"/>
                                      <w:sz w:val="20"/>
                                      <w:szCs w:val="20"/>
                                    </w:rPr>
                                    <w:t>149.2</w:t>
                                  </w:r>
                                </w:p>
                                <w:p>
                                  <w:pPr>
                                    <w:rPr>
                                      <w:sz w:val="20"/>
                                      <w:szCs w:val="20"/>
                                    </w:rPr>
                                  </w:pPr>
                                  <w:r>
                                    <w:rPr>
                                      <w:sz w:val="20"/>
                                      <w:szCs w:val="20"/>
                                    </w:rPr>
                                    <w:t>所钻深度(m):</w:t>
                                  </w:r>
                                  <w:r>
                                    <w:rPr>
                                      <w:rFonts w:hint="eastAsia"/>
                                      <w:sz w:val="20"/>
                                      <w:szCs w:val="20"/>
                                    </w:rPr>
                                    <w:t>4135~5263</w:t>
                                  </w:r>
                                </w:p>
                                <w:p>
                                  <w:pPr>
                                    <w:rPr>
                                      <w:sz w:val="20"/>
                                      <w:szCs w:val="20"/>
                                    </w:rPr>
                                  </w:pPr>
                                  <w:r>
                                    <w:rPr>
                                      <w:sz w:val="20"/>
                                      <w:szCs w:val="20"/>
                                    </w:rPr>
                                    <w:t>套管外径(mm):</w:t>
                                  </w:r>
                                  <w:r>
                                    <w:rPr>
                                      <w:rFonts w:hint="eastAsia"/>
                                      <w:sz w:val="20"/>
                                      <w:szCs w:val="20"/>
                                    </w:rPr>
                                    <w:t>114.3</w:t>
                                  </w:r>
                                </w:p>
                                <w:p>
                                  <w:pPr>
                                    <w:rPr>
                                      <w:sz w:val="20"/>
                                      <w:szCs w:val="20"/>
                                    </w:rPr>
                                  </w:pPr>
                                  <w:r>
                                    <w:rPr>
                                      <w:sz w:val="20"/>
                                      <w:szCs w:val="20"/>
                                    </w:rPr>
                                    <w:t>套管下深(m):</w:t>
                                  </w:r>
                                  <w:r>
                                    <w:rPr>
                                      <w:rFonts w:hint="eastAsia"/>
                                      <w:sz w:val="20"/>
                                      <w:szCs w:val="20"/>
                                    </w:rPr>
                                    <w:t>5263</w:t>
                                  </w:r>
                                </w:p>
                                <w:p>
                                  <w:pPr>
                                    <w:rPr>
                                      <w:sz w:val="20"/>
                                      <w:szCs w:val="20"/>
                                    </w:rPr>
                                  </w:pPr>
                                  <w:r>
                                    <w:rPr>
                                      <w:sz w:val="20"/>
                                      <w:szCs w:val="20"/>
                                    </w:rPr>
                                    <w:t>水泥返高(m):地面</w:t>
                                  </w:r>
                                </w:p>
                              </w:txbxContent>
                            </wps:txbx>
                            <wps:bodyPr upright="1"/>
                          </wps:wsp>
                        </a:graphicData>
                      </a:graphic>
                    </wp:anchor>
                  </w:drawing>
                </mc:Choice>
                <mc:Fallback>
                  <w:pict>
                    <v:shape id="_x0000_s1026" o:spid="_x0000_s1026" o:spt="202" type="#_x0000_t202" style="position:absolute;left:0pt;margin-left:290.4pt;margin-top:172.6pt;height:163.1pt;width:124.55pt;z-index:251661312;mso-width-relative:page;mso-height-relative:page;" fillcolor="#FFFFFF" filled="t" stroked="f" coordsize="21600,21600" o:gfxdata="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w3YM2AAAAAsBAAAPAAAAAAAAAAEAIAAAACIAAABkcnMvZG93bnJl&#10;di54bWxQSwECFAAUAAAACACHTuJA+AKzvsQBAAB4AwAADgAAAAAAAAABACAAAAAnAQAAZHJzL2Uy&#10;b0RvYy54bWxQSwUGAAAAAAYABgBZAQAAXQUAAAAA&#10;">
                      <v:fill on="t" focussize="0,0"/>
                      <v:stroke on="f"/>
                      <v:imagedata o:title=""/>
                      <o:lock v:ext="edit" aspectratio="f"/>
                      <v:textbox>
                        <w:txbxContent>
                          <w:p>
                            <w:pPr>
                              <w:rPr>
                                <w:sz w:val="20"/>
                                <w:szCs w:val="20"/>
                              </w:rPr>
                            </w:pPr>
                            <w:r>
                              <w:rPr>
                                <w:sz w:val="20"/>
                                <w:szCs w:val="20"/>
                              </w:rPr>
                              <w:t>导</w:t>
                            </w:r>
                            <w:r>
                              <w:rPr>
                                <w:rFonts w:hint="eastAsia"/>
                                <w:sz w:val="20"/>
                                <w:szCs w:val="20"/>
                              </w:rPr>
                              <w:t>眼</w:t>
                            </w:r>
                            <w:r>
                              <w:rPr>
                                <w:sz w:val="20"/>
                                <w:szCs w:val="20"/>
                              </w:rPr>
                              <w:t>：</w:t>
                            </w:r>
                          </w:p>
                          <w:p>
                            <w:pPr>
                              <w:rPr>
                                <w:sz w:val="20"/>
                                <w:szCs w:val="20"/>
                              </w:rPr>
                            </w:pPr>
                            <w:r>
                              <w:rPr>
                                <w:sz w:val="20"/>
                                <w:szCs w:val="20"/>
                              </w:rPr>
                              <w:t>井眼直径(mm):</w:t>
                            </w:r>
                            <w:r>
                              <w:rPr>
                                <w:rFonts w:hint="eastAsia"/>
                                <w:sz w:val="20"/>
                                <w:szCs w:val="20"/>
                              </w:rPr>
                              <w:t>214.3</w:t>
                            </w:r>
                          </w:p>
                          <w:p>
                            <w:pPr>
                              <w:rPr>
                                <w:sz w:val="20"/>
                                <w:szCs w:val="20"/>
                              </w:rPr>
                            </w:pPr>
                            <w:r>
                              <w:rPr>
                                <w:sz w:val="20"/>
                                <w:szCs w:val="20"/>
                              </w:rPr>
                              <w:t>所钻深度(m):</w:t>
                            </w:r>
                            <w:r>
                              <w:rPr>
                                <w:rFonts w:hint="eastAsia"/>
                                <w:sz w:val="20"/>
                                <w:szCs w:val="20"/>
                              </w:rPr>
                              <w:t>5221</w:t>
                            </w:r>
                          </w:p>
                          <w:p>
                            <w:pPr>
                              <w:rPr>
                                <w:sz w:val="20"/>
                                <w:szCs w:val="20"/>
                              </w:rPr>
                            </w:pPr>
                            <w:r>
                              <w:rPr>
                                <w:rFonts w:hint="eastAsia"/>
                                <w:sz w:val="20"/>
                                <w:szCs w:val="20"/>
                              </w:rPr>
                              <w:t>套管外径(mm):177.8</w:t>
                            </w:r>
                          </w:p>
                          <w:p>
                            <w:pPr>
                              <w:rPr>
                                <w:sz w:val="20"/>
                                <w:szCs w:val="20"/>
                              </w:rPr>
                            </w:pPr>
                            <w:r>
                              <w:rPr>
                                <w:rFonts w:hint="eastAsia"/>
                                <w:sz w:val="20"/>
                                <w:szCs w:val="20"/>
                              </w:rPr>
                              <w:t>套管下深(m):5220</w:t>
                            </w:r>
                          </w:p>
                          <w:p>
                            <w:pPr>
                              <w:rPr>
                                <w:sz w:val="20"/>
                                <w:szCs w:val="20"/>
                              </w:rPr>
                            </w:pPr>
                            <w:r>
                              <w:rPr>
                                <w:rFonts w:hint="eastAsia"/>
                                <w:sz w:val="20"/>
                                <w:szCs w:val="20"/>
                              </w:rPr>
                              <w:t>水泥返高(m):地面</w:t>
                            </w:r>
                          </w:p>
                          <w:p>
                            <w:pPr>
                              <w:rPr>
                                <w:sz w:val="20"/>
                                <w:szCs w:val="20"/>
                              </w:rPr>
                            </w:pPr>
                            <w:r>
                              <w:rPr>
                                <w:rFonts w:hint="eastAsia"/>
                                <w:sz w:val="20"/>
                                <w:szCs w:val="20"/>
                              </w:rPr>
                              <w:t>侧钻</w:t>
                            </w:r>
                            <w:r>
                              <w:rPr>
                                <w:sz w:val="20"/>
                                <w:szCs w:val="20"/>
                              </w:rPr>
                              <w:t>：</w:t>
                            </w:r>
                          </w:p>
                          <w:p>
                            <w:pPr>
                              <w:rPr>
                                <w:sz w:val="20"/>
                                <w:szCs w:val="20"/>
                              </w:rPr>
                            </w:pPr>
                            <w:r>
                              <w:rPr>
                                <w:sz w:val="20"/>
                                <w:szCs w:val="20"/>
                              </w:rPr>
                              <w:t>井眼直径(mm):</w:t>
                            </w:r>
                            <w:r>
                              <w:rPr>
                                <w:rFonts w:hint="eastAsia"/>
                                <w:sz w:val="20"/>
                                <w:szCs w:val="20"/>
                              </w:rPr>
                              <w:t>149.2</w:t>
                            </w:r>
                          </w:p>
                          <w:p>
                            <w:pPr>
                              <w:rPr>
                                <w:sz w:val="20"/>
                                <w:szCs w:val="20"/>
                              </w:rPr>
                            </w:pPr>
                            <w:r>
                              <w:rPr>
                                <w:sz w:val="20"/>
                                <w:szCs w:val="20"/>
                              </w:rPr>
                              <w:t>所钻深度(m):</w:t>
                            </w:r>
                            <w:r>
                              <w:rPr>
                                <w:rFonts w:hint="eastAsia"/>
                                <w:sz w:val="20"/>
                                <w:szCs w:val="20"/>
                              </w:rPr>
                              <w:t>4135~5263</w:t>
                            </w:r>
                          </w:p>
                          <w:p>
                            <w:pPr>
                              <w:rPr>
                                <w:sz w:val="20"/>
                                <w:szCs w:val="20"/>
                              </w:rPr>
                            </w:pPr>
                            <w:r>
                              <w:rPr>
                                <w:sz w:val="20"/>
                                <w:szCs w:val="20"/>
                              </w:rPr>
                              <w:t>套管外径(mm):</w:t>
                            </w:r>
                            <w:r>
                              <w:rPr>
                                <w:rFonts w:hint="eastAsia"/>
                                <w:sz w:val="20"/>
                                <w:szCs w:val="20"/>
                              </w:rPr>
                              <w:t>114.3</w:t>
                            </w:r>
                          </w:p>
                          <w:p>
                            <w:pPr>
                              <w:rPr>
                                <w:sz w:val="20"/>
                                <w:szCs w:val="20"/>
                              </w:rPr>
                            </w:pPr>
                            <w:r>
                              <w:rPr>
                                <w:sz w:val="20"/>
                                <w:szCs w:val="20"/>
                              </w:rPr>
                              <w:t>套管下深(m):</w:t>
                            </w:r>
                            <w:r>
                              <w:rPr>
                                <w:rFonts w:hint="eastAsia"/>
                                <w:sz w:val="20"/>
                                <w:szCs w:val="20"/>
                              </w:rPr>
                              <w:t>5263</w:t>
                            </w:r>
                          </w:p>
                          <w:p>
                            <w:pPr>
                              <w:rPr>
                                <w:sz w:val="20"/>
                                <w:szCs w:val="20"/>
                              </w:rPr>
                            </w:pPr>
                            <w:r>
                              <w:rPr>
                                <w:sz w:val="20"/>
                                <w:szCs w:val="20"/>
                              </w:rPr>
                              <w:t>水泥返高(m):地面</w:t>
                            </w:r>
                          </w:p>
                        </w:txbxContent>
                      </v:textbox>
                    </v:shape>
                  </w:pict>
                </mc:Fallback>
              </mc:AlternateContent>
            </w:r>
            <w:r>
              <w:rPr>
                <w:sz w:val="24"/>
              </w:rPr>
              <w:drawing>
                <wp:inline distT="0" distB="0" distL="114300" distR="114300">
                  <wp:extent cx="4155440" cy="5229225"/>
                  <wp:effectExtent l="0" t="0" r="165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155440" cy="5229225"/>
                          </a:xfrm>
                          <a:prstGeom prst="rect">
                            <a:avLst/>
                          </a:prstGeom>
                          <a:noFill/>
                          <a:ln>
                            <a:noFill/>
                          </a:ln>
                        </pic:spPr>
                      </pic:pic>
                    </a:graphicData>
                  </a:graphic>
                </wp:inline>
              </w:drawing>
            </w:r>
          </w:p>
          <w:p>
            <w:pPr>
              <w:jc w:val="center"/>
              <w:rPr>
                <w:b/>
                <w:bCs/>
                <w:sz w:val="24"/>
              </w:rPr>
            </w:pPr>
            <w:r>
              <w:rPr>
                <w:rFonts w:hint="eastAsia"/>
                <w:b/>
                <w:bCs/>
                <w:sz w:val="24"/>
              </w:rPr>
              <w:t>图2-2 铁北1侧HF井身结构示意图</w:t>
            </w:r>
          </w:p>
          <w:p>
            <w:pPr>
              <w:spacing w:line="360" w:lineRule="auto"/>
              <w:ind w:firstLine="480" w:firstLineChars="200"/>
              <w:rPr>
                <w:sz w:val="24"/>
              </w:rPr>
            </w:pPr>
            <w:r>
              <w:rPr>
                <w:sz w:val="24"/>
              </w:rPr>
              <w:t>钻井工程主要包括钻井设备安装、钻井、钻井辅助作业、固井和完钻设备搬迁等过程；</w:t>
            </w:r>
            <w:r>
              <w:rPr>
                <w:rFonts w:hint="eastAsia"/>
                <w:sz w:val="24"/>
              </w:rPr>
              <w:t>储层改造</w:t>
            </w:r>
            <w:r>
              <w:rPr>
                <w:sz w:val="24"/>
              </w:rPr>
              <w:t>工程包括完钻后洗井、射孔、压裂、测试回收，以及完井后设备的搬迁和井场的清理等过程。单井钻井工程时间约为</w:t>
            </w:r>
            <w:r>
              <w:rPr>
                <w:rFonts w:hint="eastAsia"/>
                <w:sz w:val="24"/>
              </w:rPr>
              <w:t>1</w:t>
            </w:r>
            <w:r>
              <w:rPr>
                <w:sz w:val="24"/>
              </w:rPr>
              <w:t>个月。项目作业流程及产污环节见下图。</w:t>
            </w:r>
          </w:p>
          <w:p>
            <w:pPr>
              <w:jc w:val="center"/>
              <w:rPr>
                <w:b/>
                <w:szCs w:val="21"/>
              </w:rPr>
            </w:pPr>
            <w:r>
              <w:rPr>
                <w:b/>
                <w:szCs w:val="21"/>
              </w:rPr>
              <w:drawing>
                <wp:inline distT="0" distB="0" distL="114300" distR="114300">
                  <wp:extent cx="4683760" cy="2399030"/>
                  <wp:effectExtent l="0" t="0" r="10160" b="8890"/>
                  <wp:docPr id="1"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4"/>
                          <pic:cNvPicPr>
                            <a:picLocks noChangeAspect="1"/>
                          </pic:cNvPicPr>
                        </pic:nvPicPr>
                        <pic:blipFill>
                          <a:blip r:embed="rId11"/>
                          <a:stretch>
                            <a:fillRect/>
                          </a:stretch>
                        </pic:blipFill>
                        <pic:spPr>
                          <a:xfrm>
                            <a:off x="0" y="0"/>
                            <a:ext cx="4683760" cy="2399030"/>
                          </a:xfrm>
                          <a:prstGeom prst="rect">
                            <a:avLst/>
                          </a:prstGeom>
                          <a:noFill/>
                          <a:ln>
                            <a:noFill/>
                          </a:ln>
                        </pic:spPr>
                      </pic:pic>
                    </a:graphicData>
                  </a:graphic>
                </wp:inline>
              </w:drawing>
            </w:r>
          </w:p>
          <w:p>
            <w:pPr>
              <w:spacing w:line="360" w:lineRule="auto"/>
              <w:jc w:val="center"/>
              <w:rPr>
                <w:b/>
                <w:szCs w:val="21"/>
              </w:rPr>
            </w:pPr>
            <w:r>
              <w:rPr>
                <w:b/>
                <w:szCs w:val="21"/>
              </w:rPr>
              <w:t>图2-</w:t>
            </w:r>
            <w:r>
              <w:rPr>
                <w:rFonts w:hint="eastAsia"/>
                <w:b/>
                <w:szCs w:val="21"/>
              </w:rPr>
              <w:t>3</w:t>
            </w:r>
            <w:r>
              <w:rPr>
                <w:b/>
                <w:szCs w:val="21"/>
              </w:rPr>
              <w:t>钻井工艺流程及产污环节</w:t>
            </w:r>
          </w:p>
          <w:p>
            <w:pPr>
              <w:spacing w:line="360" w:lineRule="auto"/>
              <w:ind w:firstLine="480" w:firstLineChars="200"/>
              <w:rPr>
                <w:sz w:val="24"/>
              </w:rPr>
            </w:pPr>
            <w:r>
              <w:rPr>
                <w:sz w:val="24"/>
              </w:rPr>
              <w:t>（1）钻井工艺</w:t>
            </w:r>
          </w:p>
          <w:p>
            <w:pPr>
              <w:spacing w:line="360" w:lineRule="auto"/>
              <w:ind w:firstLine="480" w:firstLineChars="200"/>
              <w:rPr>
                <w:sz w:val="24"/>
              </w:rPr>
            </w:pPr>
            <w:r>
              <w:rPr>
                <w:sz w:val="24"/>
              </w:rPr>
              <w:t>本工程采用常规钻井工艺。常规钻井通过钻机、转盘，带动钻杆切削地层，同时由泥浆泵经钻杆向井内注入高压泥浆，冲刷井底，将切削下的岩屑不断地带至地面，整个过程循环进行，使井不断加深，直至目的井深。钻井中途需要停钻，以便起下钻具更换钻头、下套管、固井、替换洗井液和检修设备。</w:t>
            </w:r>
          </w:p>
          <w:p>
            <w:pPr>
              <w:spacing w:line="360" w:lineRule="auto"/>
              <w:ind w:firstLine="480" w:firstLineChars="200"/>
              <w:rPr>
                <w:sz w:val="24"/>
              </w:rPr>
            </w:pPr>
            <w:r>
              <w:rPr>
                <w:sz w:val="24"/>
              </w:rPr>
              <w:t>固井是在已钻成的井眼内下入套管，然后在套管与井壁之间环空内注入水泥浆将套管和地层固结在一起的工艺过程，可防止复杂情况以保证安全继续钻进下一段井眼或保证顺利开采生产层中的油、气。钻井作业为24小时连续作业，钻井期间主要的环境影响因素是柴油机、发电机组运行时产生废气，钻进、起下钻和固井作业等产生的废水，机械设备运转时产生的噪声，以及钻井岩屑、废弃泥浆等固体废物</w:t>
            </w:r>
          </w:p>
          <w:p>
            <w:pPr>
              <w:spacing w:line="360" w:lineRule="auto"/>
              <w:ind w:firstLine="480" w:firstLineChars="200"/>
              <w:rPr>
                <w:sz w:val="24"/>
              </w:rPr>
            </w:pPr>
            <w:bookmarkStart w:id="19" w:name="_Hlk98357780"/>
            <w:r>
              <w:rPr>
                <w:sz w:val="24"/>
              </w:rPr>
              <w:t>钻进过程根据井身结构先使用大钻头，后使用小钻头钻进，更换钻头时会停钻，以起下钻具更换钻头、下套管、固井、替换洗井液、设备检修等。</w:t>
            </w:r>
            <w:r>
              <w:rPr>
                <w:rFonts w:hint="eastAsia"/>
                <w:sz w:val="24"/>
              </w:rPr>
              <w:t>导眼段</w:t>
            </w:r>
            <w:r>
              <w:rPr>
                <w:sz w:val="24"/>
              </w:rPr>
              <w:t>拟采用常规钻井液钻井。钻井是根据地层地质情况，利用钻井液辅助整个过程进行钻进直至目的层的过程。</w:t>
            </w:r>
            <w:r>
              <w:rPr>
                <w:rFonts w:hint="eastAsia"/>
                <w:sz w:val="24"/>
              </w:rPr>
              <w:t>本项目利用原井眼进行作业，不涉及浅层段钻井</w:t>
            </w:r>
            <w:r>
              <w:rPr>
                <w:sz w:val="24"/>
              </w:rPr>
              <w:t>，可有效</w:t>
            </w:r>
            <w:r>
              <w:rPr>
                <w:rFonts w:hint="eastAsia"/>
                <w:sz w:val="24"/>
              </w:rPr>
              <w:t>减小对</w:t>
            </w:r>
            <w:r>
              <w:rPr>
                <w:sz w:val="24"/>
              </w:rPr>
              <w:t>浅层</w:t>
            </w:r>
            <w:r>
              <w:rPr>
                <w:rFonts w:hint="eastAsia"/>
                <w:sz w:val="24"/>
              </w:rPr>
              <w:t>段</w:t>
            </w:r>
            <w:r>
              <w:rPr>
                <w:sz w:val="24"/>
              </w:rPr>
              <w:t>地下水</w:t>
            </w:r>
            <w:r>
              <w:rPr>
                <w:rFonts w:hint="eastAsia"/>
                <w:sz w:val="24"/>
              </w:rPr>
              <w:t>的影响，导眼段采用水基钻井液钻井</w:t>
            </w:r>
            <w:r>
              <w:rPr>
                <w:sz w:val="24"/>
              </w:rPr>
              <w:t>；侧钻</w:t>
            </w:r>
            <w:r>
              <w:rPr>
                <w:rFonts w:hint="eastAsia"/>
                <w:sz w:val="24"/>
              </w:rPr>
              <w:t>水平</w:t>
            </w:r>
            <w:r>
              <w:rPr>
                <w:sz w:val="24"/>
              </w:rPr>
              <w:t>段采用白油油基泥浆钻井，有利于降低作业成本，对地层污染较小。</w:t>
            </w:r>
          </w:p>
          <w:bookmarkEnd w:id="19"/>
          <w:p>
            <w:pPr>
              <w:spacing w:line="360" w:lineRule="auto"/>
              <w:ind w:firstLine="480" w:firstLineChars="200"/>
              <w:rPr>
                <w:sz w:val="24"/>
              </w:rPr>
            </w:pPr>
            <w:r>
              <w:rPr>
                <w:sz w:val="24"/>
              </w:rPr>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污水池及清洁化操作平台，钻井液经除砂、除泥、钻井液离心机处理后进入泥浆循环罐循环使用。</w:t>
            </w:r>
          </w:p>
          <w:p>
            <w:pPr>
              <w:spacing w:line="360" w:lineRule="auto"/>
              <w:ind w:firstLine="480" w:firstLineChars="200"/>
              <w:rPr>
                <w:sz w:val="24"/>
              </w:rPr>
            </w:pPr>
            <w:r>
              <w:rPr>
                <w:sz w:val="24"/>
              </w:rPr>
              <w:t>（2）钻井辅助作业</w:t>
            </w:r>
          </w:p>
          <w:p>
            <w:pPr>
              <w:spacing w:line="360" w:lineRule="auto"/>
              <w:ind w:firstLine="480" w:firstLineChars="200"/>
              <w:rPr>
                <w:sz w:val="24"/>
              </w:rPr>
            </w:pPr>
            <w:r>
              <w:rPr>
                <w:sz w:val="24"/>
              </w:rPr>
              <w:t>钻井辅助作业由测井、取心钻进、录井、中途测试等作业组成。</w:t>
            </w:r>
          </w:p>
          <w:p>
            <w:pPr>
              <w:spacing w:line="360" w:lineRule="auto"/>
              <w:ind w:firstLine="480" w:firstLineChars="200"/>
              <w:rPr>
                <w:sz w:val="24"/>
              </w:rPr>
            </w:pPr>
            <w:r>
              <w:rPr>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spacing w:line="360" w:lineRule="auto"/>
              <w:ind w:firstLine="480" w:firstLineChars="200"/>
              <w:rPr>
                <w:sz w:val="24"/>
              </w:rPr>
            </w:pPr>
            <w:r>
              <w:rPr>
                <w:sz w:val="24"/>
              </w:rPr>
              <w:t>取心是在钻井过程中使用特殊的取心工具把地下岩石成块地取到地面上来，这种成块的岩石叫做岩心，通过它可以测定岩石的各种性质，直观的研究地下构造和岩石沉积环境，了解其中的流体性质等。</w:t>
            </w:r>
          </w:p>
          <w:p>
            <w:pPr>
              <w:spacing w:line="360" w:lineRule="auto"/>
              <w:ind w:firstLine="480" w:firstLineChars="200"/>
              <w:rPr>
                <w:sz w:val="24"/>
              </w:rPr>
            </w:pPr>
            <w:r>
              <w:rPr>
                <w:sz w:val="24"/>
              </w:rPr>
              <w:t>录井是根据测井数据、现场录井数据及综合分析化验数据进行岩性解释、归位，确定含油、气、水产状。</w:t>
            </w:r>
          </w:p>
          <w:p>
            <w:pPr>
              <w:spacing w:line="360" w:lineRule="auto"/>
              <w:ind w:firstLine="480" w:firstLineChars="200"/>
              <w:rPr>
                <w:sz w:val="24"/>
              </w:rPr>
            </w:pPr>
            <w:r>
              <w:rPr>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spacing w:line="360" w:lineRule="auto"/>
              <w:ind w:firstLine="480" w:firstLineChars="200"/>
              <w:rPr>
                <w:sz w:val="24"/>
              </w:rPr>
            </w:pPr>
            <w:r>
              <w:rPr>
                <w:sz w:val="24"/>
              </w:rPr>
              <w:t>（3）固井作业</w:t>
            </w:r>
          </w:p>
          <w:p>
            <w:pPr>
              <w:spacing w:line="360" w:lineRule="auto"/>
              <w:ind w:firstLine="480" w:firstLineChars="200"/>
              <w:rPr>
                <w:sz w:val="24"/>
              </w:rPr>
            </w:pPr>
            <w:r>
              <w:rPr>
                <w:sz w:val="24"/>
              </w:rPr>
              <w:t>固井是在已钻成的井眼内下入套管，再在套管与井壁之间环空内注入水泥将套管和地层固结在一起的工艺过程，以保证安全继续钻进下一段井眼或保证顺利开采生产层中的油、气。</w:t>
            </w:r>
          </w:p>
          <w:p>
            <w:pPr>
              <w:spacing w:line="360" w:lineRule="auto"/>
              <w:ind w:firstLine="480" w:firstLineChars="200"/>
              <w:rPr>
                <w:sz w:val="24"/>
              </w:rPr>
            </w:pPr>
            <w:r>
              <w:rPr>
                <w:sz w:val="24"/>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spacing w:line="360" w:lineRule="auto"/>
              <w:ind w:firstLine="480" w:firstLineChars="200"/>
              <w:rPr>
                <w:sz w:val="24"/>
              </w:rPr>
            </w:pPr>
            <w:r>
              <w:rPr>
                <w:sz w:val="24"/>
              </w:rPr>
              <w:t>固井现场施工前根据实际情况要作固井液配方及性能复核试验，若钻进中井漏严重，则应考虑采用双凝水泥浆体系固井，从而提高固井质量，防止因为井漏事故造成地下水环境污染。</w:t>
            </w:r>
          </w:p>
          <w:p>
            <w:pPr>
              <w:spacing w:line="360" w:lineRule="auto"/>
              <w:rPr>
                <w:b/>
                <w:bCs/>
                <w:sz w:val="24"/>
              </w:rPr>
            </w:pPr>
            <w:r>
              <w:rPr>
                <w:b/>
                <w:bCs/>
                <w:sz w:val="24"/>
              </w:rPr>
              <w:t>2.11.3</w:t>
            </w:r>
            <w:r>
              <w:rPr>
                <w:rFonts w:hint="eastAsia"/>
                <w:b/>
                <w:bCs/>
                <w:sz w:val="24"/>
              </w:rPr>
              <w:t>储层改造工程</w:t>
            </w:r>
          </w:p>
          <w:p>
            <w:pPr>
              <w:spacing w:line="360" w:lineRule="auto"/>
              <w:ind w:firstLine="480" w:firstLineChars="200"/>
              <w:rPr>
                <w:sz w:val="24"/>
              </w:rPr>
            </w:pPr>
            <w:r>
              <w:rPr>
                <w:rFonts w:hint="eastAsia"/>
                <w:sz w:val="24"/>
              </w:rPr>
              <w:t>储层改造</w:t>
            </w:r>
            <w:r>
              <w:rPr>
                <w:sz w:val="24"/>
              </w:rPr>
              <w:t>工程共分为6个工艺，分别为：井筒处理、模拟通井、下完井管柱、安装采气树、射孔、压裂酸化、放喷求产。</w:t>
            </w:r>
          </w:p>
          <w:p>
            <w:pPr>
              <w:spacing w:line="360" w:lineRule="auto"/>
              <w:ind w:firstLine="480" w:firstLineChars="200"/>
              <w:rPr>
                <w:sz w:val="24"/>
              </w:rPr>
            </w:pPr>
            <w:r>
              <w:rPr>
                <w:sz w:val="24"/>
              </w:rPr>
              <w:t>压裂工艺：采用泵送桥塞电缆射孔联作多段压裂工艺，初步设计分20段加砂压裂改造，压裂液（加砂）通过压裂设备压入地层（80MPa）扩散，关井后泄压。</w:t>
            </w:r>
          </w:p>
          <w:p>
            <w:pPr>
              <w:spacing w:line="360" w:lineRule="auto"/>
              <w:ind w:firstLine="480" w:firstLineChars="200"/>
              <w:rPr>
                <w:sz w:val="24"/>
              </w:rPr>
            </w:pPr>
            <w:r>
              <w:rPr>
                <w:sz w:val="24"/>
              </w:rPr>
              <w:t>其中井筒处理会产生洗井废水约100m</w:t>
            </w:r>
            <w:r>
              <w:rPr>
                <w:sz w:val="24"/>
                <w:vertAlign w:val="superscript"/>
              </w:rPr>
              <w:t>3</w:t>
            </w:r>
            <w:r>
              <w:rPr>
                <w:sz w:val="24"/>
              </w:rPr>
              <w:t>；压裂酸化过程产生压裂酸化废水，本项目酸压过程酸液用量约600m</w:t>
            </w:r>
            <w:r>
              <w:rPr>
                <w:sz w:val="24"/>
                <w:vertAlign w:val="superscript"/>
              </w:rPr>
              <w:t>3</w:t>
            </w:r>
            <w:r>
              <w:rPr>
                <w:sz w:val="24"/>
              </w:rPr>
              <w:t>，根据该区域已完钻钻井工程可知，该区域钻井工程压裂返排液回用率为85%，则本项目压裂酸化废水量为90m</w:t>
            </w:r>
            <w:r>
              <w:rPr>
                <w:sz w:val="24"/>
                <w:vertAlign w:val="superscript"/>
              </w:rPr>
              <w:t>3</w:t>
            </w:r>
            <w:r>
              <w:rPr>
                <w:sz w:val="24"/>
              </w:rPr>
              <w:t>，压裂酸化废水输至放喷池；放喷分离气体经专用管线引至放喷池燃烧，测试放喷时间一般为4h～6h。</w:t>
            </w:r>
          </w:p>
          <w:p>
            <w:pPr>
              <w:spacing w:line="360" w:lineRule="auto"/>
              <w:ind w:firstLine="480" w:firstLineChars="200"/>
              <w:rPr>
                <w:sz w:val="24"/>
              </w:rPr>
            </w:pPr>
            <w:r>
              <w:rPr>
                <w:sz w:val="24"/>
              </w:rPr>
              <w:t>压裂酸化返排的压裂酸化废水排至经防腐防渗处理的放喷池（放喷池预先储备部分碱性水用于中和返排液中的酸液，调节后pH值范围6.5～7）中暂存，返排酸液不回用，由罐车运至大湾403污水站处理达标后管输至毛开1井回注站回注。</w:t>
            </w:r>
          </w:p>
          <w:p>
            <w:pPr>
              <w:spacing w:line="360" w:lineRule="auto"/>
              <w:rPr>
                <w:b/>
                <w:bCs/>
                <w:sz w:val="24"/>
              </w:rPr>
            </w:pPr>
            <w:r>
              <w:rPr>
                <w:b/>
                <w:bCs/>
                <w:sz w:val="24"/>
              </w:rPr>
              <w:t>2.11.4完井搬迁</w:t>
            </w:r>
          </w:p>
          <w:p>
            <w:pPr>
              <w:spacing w:line="360" w:lineRule="auto"/>
              <w:ind w:firstLine="480" w:firstLineChars="200"/>
              <w:rPr>
                <w:sz w:val="24"/>
              </w:rPr>
            </w:pPr>
            <w:r>
              <w:rPr>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spacing w:line="360" w:lineRule="auto"/>
              <w:ind w:firstLine="480" w:firstLineChars="200"/>
              <w:rPr>
                <w:sz w:val="24"/>
              </w:rPr>
            </w:pPr>
            <w:r>
              <w:rPr>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spacing w:line="360" w:lineRule="auto"/>
              <w:ind w:firstLine="480" w:firstLineChars="200"/>
              <w:rPr>
                <w:sz w:val="24"/>
              </w:rPr>
            </w:pPr>
            <w:r>
              <w:rPr>
                <w:sz w:val="24"/>
              </w:rPr>
              <w:t>复垦后应满足《土地复垦质量控制标准》（TD/T1036-2013）中规定的要求，即：</w:t>
            </w:r>
          </w:p>
          <w:p>
            <w:pPr>
              <w:spacing w:line="360" w:lineRule="auto"/>
              <w:ind w:firstLine="420"/>
              <w:rPr>
                <w:kern w:val="0"/>
                <w:szCs w:val="21"/>
              </w:rPr>
            </w:pPr>
            <w:r>
              <w:rPr>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24" w:type="dxa"/>
            <w:vAlign w:val="center"/>
          </w:tcPr>
          <w:p>
            <w:pPr>
              <w:pStyle w:val="159"/>
              <w:spacing w:line="240" w:lineRule="auto"/>
              <w:ind w:firstLine="0"/>
              <w:jc w:val="center"/>
              <w:rPr>
                <w:rFonts w:ascii="Times New Roman" w:hAnsi="Times New Roman"/>
                <w:bCs/>
                <w:sz w:val="21"/>
                <w:szCs w:val="21"/>
              </w:rPr>
            </w:pPr>
            <w:r>
              <w:rPr>
                <w:rFonts w:ascii="Times New Roman" w:hAnsi="Times New Roman"/>
                <w:bCs/>
                <w:sz w:val="21"/>
                <w:szCs w:val="21"/>
              </w:rPr>
              <w:t>其他</w:t>
            </w:r>
          </w:p>
        </w:tc>
        <w:tc>
          <w:tcPr>
            <w:tcW w:w="8098" w:type="dxa"/>
            <w:vAlign w:val="center"/>
          </w:tcPr>
          <w:p>
            <w:pPr>
              <w:pStyle w:val="38"/>
              <w:numPr>
                <w:ilvl w:val="1"/>
                <w:numId w:val="4"/>
              </w:numPr>
              <w:spacing w:before="0" w:beforeAutospacing="0" w:after="0" w:afterAutospacing="0" w:line="360" w:lineRule="auto"/>
              <w:rPr>
                <w:rFonts w:ascii="Times New Roman" w:hAnsi="Times New Roman"/>
                <w:b/>
              </w:rPr>
            </w:pPr>
            <w:r>
              <w:rPr>
                <w:rFonts w:ascii="Times New Roman" w:hAnsi="Times New Roman"/>
                <w:b/>
              </w:rPr>
              <w:t>预计产气</w:t>
            </w:r>
            <w:r>
              <w:rPr>
                <w:rFonts w:hint="eastAsia" w:ascii="Times New Roman" w:hAnsi="Times New Roman"/>
                <w:b/>
              </w:rPr>
              <w:t>成分</w:t>
            </w:r>
            <w:r>
              <w:rPr>
                <w:rFonts w:ascii="Times New Roman" w:hAnsi="Times New Roman"/>
                <w:b/>
              </w:rPr>
              <w:t>及无阻流量</w:t>
            </w:r>
          </w:p>
          <w:p>
            <w:pPr>
              <w:spacing w:line="360" w:lineRule="auto"/>
              <w:ind w:firstLine="480" w:firstLineChars="200"/>
              <w:rPr>
                <w:bCs/>
                <w:sz w:val="24"/>
              </w:rPr>
            </w:pPr>
            <w:bookmarkStart w:id="20" w:name="_Hlk96085486"/>
            <w:bookmarkStart w:id="21" w:name="_Hlk96085440"/>
            <w:r>
              <w:rPr>
                <w:bCs/>
                <w:sz w:val="24"/>
              </w:rPr>
              <w:t>本项目位于四川省</w:t>
            </w:r>
            <w:r>
              <w:rPr>
                <w:rFonts w:hint="eastAsia"/>
                <w:bCs/>
                <w:sz w:val="24"/>
              </w:rPr>
              <w:t>达州市宣汉县大成镇</w:t>
            </w:r>
            <w:r>
              <w:rPr>
                <w:bCs/>
                <w:sz w:val="24"/>
              </w:rPr>
              <w:t>，钻探目的层位为二叠系茅口组（导眼）二叠系龙潭组（水平段），根据普光分公司天然气技术管理部提供的相关资料及项目钻井设计，铁北1井雷口坡组三段（2961.94-2982.84m）APR裸眼替喷测试，硫化氢含量0.001755g/m</w:t>
            </w:r>
            <w:r>
              <w:rPr>
                <w:rFonts w:hint="eastAsia"/>
                <w:bCs/>
                <w:sz w:val="24"/>
                <w:vertAlign w:val="superscript"/>
              </w:rPr>
              <w:t>3</w:t>
            </w:r>
            <w:r>
              <w:rPr>
                <w:rFonts w:hint="eastAsia"/>
                <w:bCs/>
                <w:sz w:val="24"/>
              </w:rPr>
              <w:t>，雷页1HF等</w:t>
            </w:r>
            <w:r>
              <w:rPr>
                <w:bCs/>
                <w:sz w:val="24"/>
              </w:rPr>
              <w:t>井在飞仙关组-龙潭组钻井过程未监测到硫化氢异常；明1井钻至井深4990.34m气侵，迟到井深4986.0m（层位龙潭组），在关井节流循环排气过程中，在振动筛、方井、钻台面均监测到硫化氢显示，硫化氢浓度为2～100ppm。明1井在茅口组-长兴组、雷页1HF井在吴家坪组进行了试气，天然气组分资料表明，雷口坡组、长兴组、茅口组含硫化氢，吴家坪组和龙潭组不含硫化氢。天然气化验组分见表：</w:t>
            </w:r>
          </w:p>
          <w:p>
            <w:pPr>
              <w:pStyle w:val="20"/>
              <w:numPr>
                <w:ilvl w:val="0"/>
                <w:numId w:val="5"/>
              </w:numPr>
              <w:tabs>
                <w:tab w:val="left" w:pos="0"/>
                <w:tab w:val="left" w:pos="833"/>
              </w:tabs>
              <w:spacing w:before="0" w:after="0" w:line="360" w:lineRule="auto"/>
              <w:ind w:left="0" w:right="0" w:firstLine="0"/>
              <w:jc w:val="center"/>
              <w:rPr>
                <w:b/>
                <w:bCs/>
                <w:sz w:val="24"/>
                <w:szCs w:val="24"/>
              </w:rPr>
            </w:pPr>
            <w:r>
              <w:rPr>
                <w:b/>
                <w:bCs/>
                <w:sz w:val="24"/>
                <w:szCs w:val="24"/>
              </w:rPr>
              <w:t xml:space="preserve"> 天然气组分预测</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981"/>
              <w:gridCol w:w="883"/>
              <w:gridCol w:w="746"/>
              <w:gridCol w:w="638"/>
              <w:gridCol w:w="693"/>
              <w:gridCol w:w="638"/>
              <w:gridCol w:w="693"/>
              <w:gridCol w:w="619"/>
              <w:gridCol w:w="722"/>
              <w:gridCol w:w="12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02" w:type="dxa"/>
                  <w:vMerge w:val="restart"/>
                  <w:tcBorders>
                    <w:tl2br w:val="nil"/>
                    <w:tr2bl w:val="nil"/>
                  </w:tcBorders>
                  <w:shd w:val="clear" w:color="auto" w:fill="FFFFFF"/>
                  <w:vAlign w:val="center"/>
                </w:tcPr>
                <w:p>
                  <w:pPr>
                    <w:jc w:val="center"/>
                    <w:rPr>
                      <w:bCs/>
                      <w:szCs w:val="21"/>
                    </w:rPr>
                  </w:pPr>
                  <w:r>
                    <w:rPr>
                      <w:bCs/>
                      <w:szCs w:val="21"/>
                    </w:rPr>
                    <w:t>井号</w:t>
                  </w:r>
                </w:p>
              </w:tc>
              <w:tc>
                <w:tcPr>
                  <w:tcW w:w="981" w:type="dxa"/>
                  <w:vMerge w:val="restart"/>
                  <w:tcBorders>
                    <w:tl2br w:val="nil"/>
                    <w:tr2bl w:val="nil"/>
                  </w:tcBorders>
                  <w:shd w:val="clear" w:color="auto" w:fill="FFFFFF"/>
                  <w:vAlign w:val="center"/>
                </w:tcPr>
                <w:p>
                  <w:pPr>
                    <w:jc w:val="center"/>
                    <w:rPr>
                      <w:bCs/>
                      <w:szCs w:val="21"/>
                    </w:rPr>
                  </w:pPr>
                  <w:r>
                    <w:rPr>
                      <w:bCs/>
                      <w:szCs w:val="21"/>
                    </w:rPr>
                    <w:t>层位</w:t>
                  </w:r>
                </w:p>
              </w:tc>
              <w:tc>
                <w:tcPr>
                  <w:tcW w:w="883" w:type="dxa"/>
                  <w:vMerge w:val="restart"/>
                  <w:tcBorders>
                    <w:tl2br w:val="nil"/>
                    <w:tr2bl w:val="nil"/>
                  </w:tcBorders>
                  <w:shd w:val="clear" w:color="auto" w:fill="FFFFFF"/>
                  <w:vAlign w:val="center"/>
                </w:tcPr>
                <w:p>
                  <w:pPr>
                    <w:jc w:val="center"/>
                    <w:rPr>
                      <w:bCs/>
                      <w:szCs w:val="21"/>
                    </w:rPr>
                  </w:pPr>
                  <w:r>
                    <w:rPr>
                      <w:bCs/>
                      <w:szCs w:val="21"/>
                    </w:rPr>
                    <w:t>天然气相对密度</w:t>
                  </w:r>
                </w:p>
              </w:tc>
              <w:tc>
                <w:tcPr>
                  <w:tcW w:w="4749" w:type="dxa"/>
                  <w:gridSpan w:val="7"/>
                  <w:tcBorders>
                    <w:tl2br w:val="nil"/>
                    <w:tr2bl w:val="nil"/>
                  </w:tcBorders>
                  <w:shd w:val="clear" w:color="auto" w:fill="FFFFFF"/>
                  <w:vAlign w:val="center"/>
                </w:tcPr>
                <w:p>
                  <w:pPr>
                    <w:jc w:val="center"/>
                    <w:rPr>
                      <w:bCs/>
                      <w:szCs w:val="21"/>
                    </w:rPr>
                  </w:pPr>
                  <w:r>
                    <w:rPr>
                      <w:bCs/>
                      <w:szCs w:val="21"/>
                    </w:rPr>
                    <w:t>气体组分（摩尔百分比 %）</w:t>
                  </w:r>
                </w:p>
              </w:tc>
              <w:tc>
                <w:tcPr>
                  <w:tcW w:w="1241" w:type="dxa"/>
                  <w:vMerge w:val="restart"/>
                  <w:tcBorders>
                    <w:tl2br w:val="nil"/>
                    <w:tr2bl w:val="nil"/>
                  </w:tcBorders>
                  <w:shd w:val="clear" w:color="auto" w:fill="FFFFFF"/>
                  <w:vAlign w:val="center"/>
                </w:tcPr>
                <w:p>
                  <w:pPr>
                    <w:jc w:val="center"/>
                    <w:rPr>
                      <w:bCs/>
                      <w:szCs w:val="21"/>
                    </w:rPr>
                  </w:pPr>
                  <w:r>
                    <w:rPr>
                      <w:bCs/>
                      <w:szCs w:val="21"/>
                    </w:rPr>
                    <w:t>硫化氢含量(g/m</w:t>
                  </w:r>
                  <w:r>
                    <w:rPr>
                      <w:bCs/>
                      <w:szCs w:val="21"/>
                      <w:vertAlign w:val="superscript"/>
                    </w:rPr>
                    <w:t>3</w:t>
                  </w:r>
                  <w:r>
                    <w:rPr>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02" w:type="dxa"/>
                  <w:vMerge w:val="continue"/>
                  <w:tcBorders>
                    <w:tl2br w:val="nil"/>
                    <w:tr2bl w:val="nil"/>
                  </w:tcBorders>
                  <w:shd w:val="clear" w:color="auto" w:fill="auto"/>
                  <w:vAlign w:val="center"/>
                </w:tcPr>
                <w:p>
                  <w:pPr>
                    <w:jc w:val="center"/>
                    <w:rPr>
                      <w:bCs/>
                      <w:szCs w:val="21"/>
                    </w:rPr>
                  </w:pPr>
                </w:p>
              </w:tc>
              <w:tc>
                <w:tcPr>
                  <w:tcW w:w="981" w:type="dxa"/>
                  <w:vMerge w:val="continue"/>
                  <w:tcBorders>
                    <w:tl2br w:val="nil"/>
                    <w:tr2bl w:val="nil"/>
                  </w:tcBorders>
                  <w:shd w:val="clear" w:color="auto" w:fill="auto"/>
                  <w:vAlign w:val="center"/>
                </w:tcPr>
                <w:p>
                  <w:pPr>
                    <w:jc w:val="center"/>
                    <w:rPr>
                      <w:bCs/>
                      <w:szCs w:val="21"/>
                    </w:rPr>
                  </w:pPr>
                </w:p>
              </w:tc>
              <w:tc>
                <w:tcPr>
                  <w:tcW w:w="883" w:type="dxa"/>
                  <w:vMerge w:val="continue"/>
                  <w:tcBorders>
                    <w:tl2br w:val="nil"/>
                    <w:tr2bl w:val="nil"/>
                  </w:tcBorders>
                  <w:shd w:val="clear" w:color="auto" w:fill="auto"/>
                  <w:vAlign w:val="center"/>
                </w:tcPr>
                <w:p>
                  <w:pPr>
                    <w:jc w:val="center"/>
                    <w:rPr>
                      <w:bCs/>
                      <w:szCs w:val="21"/>
                    </w:rPr>
                  </w:pPr>
                </w:p>
              </w:tc>
              <w:tc>
                <w:tcPr>
                  <w:tcW w:w="746" w:type="dxa"/>
                  <w:tcBorders>
                    <w:tl2br w:val="nil"/>
                    <w:tr2bl w:val="nil"/>
                  </w:tcBorders>
                  <w:shd w:val="clear" w:color="auto" w:fill="FFFFFF"/>
                  <w:vAlign w:val="center"/>
                </w:tcPr>
                <w:p>
                  <w:pPr>
                    <w:jc w:val="center"/>
                    <w:rPr>
                      <w:bCs/>
                      <w:szCs w:val="21"/>
                    </w:rPr>
                  </w:pPr>
                  <w:r>
                    <w:rPr>
                      <w:bCs/>
                      <w:szCs w:val="21"/>
                    </w:rPr>
                    <w:t>甲烷</w:t>
                  </w:r>
                </w:p>
              </w:tc>
              <w:tc>
                <w:tcPr>
                  <w:tcW w:w="638" w:type="dxa"/>
                  <w:tcBorders>
                    <w:tl2br w:val="nil"/>
                    <w:tr2bl w:val="nil"/>
                  </w:tcBorders>
                  <w:shd w:val="clear" w:color="auto" w:fill="FFFFFF"/>
                  <w:vAlign w:val="center"/>
                </w:tcPr>
                <w:p>
                  <w:pPr>
                    <w:jc w:val="center"/>
                    <w:rPr>
                      <w:bCs/>
                      <w:szCs w:val="21"/>
                    </w:rPr>
                  </w:pPr>
                  <w:r>
                    <w:rPr>
                      <w:bCs/>
                      <w:szCs w:val="21"/>
                    </w:rPr>
                    <w:t>乙烷</w:t>
                  </w:r>
                </w:p>
              </w:tc>
              <w:tc>
                <w:tcPr>
                  <w:tcW w:w="693" w:type="dxa"/>
                  <w:tcBorders>
                    <w:tl2br w:val="nil"/>
                    <w:tr2bl w:val="nil"/>
                  </w:tcBorders>
                  <w:shd w:val="clear" w:color="auto" w:fill="FFFFFF"/>
                  <w:vAlign w:val="center"/>
                </w:tcPr>
                <w:p>
                  <w:pPr>
                    <w:jc w:val="center"/>
                    <w:rPr>
                      <w:bCs/>
                      <w:szCs w:val="21"/>
                    </w:rPr>
                  </w:pPr>
                  <w:r>
                    <w:rPr>
                      <w:bCs/>
                      <w:szCs w:val="21"/>
                    </w:rPr>
                    <w:t>氢</w:t>
                  </w:r>
                </w:p>
              </w:tc>
              <w:tc>
                <w:tcPr>
                  <w:tcW w:w="638" w:type="dxa"/>
                  <w:tcBorders>
                    <w:tl2br w:val="nil"/>
                    <w:tr2bl w:val="nil"/>
                  </w:tcBorders>
                  <w:shd w:val="clear" w:color="auto" w:fill="FFFFFF"/>
                  <w:vAlign w:val="center"/>
                </w:tcPr>
                <w:p>
                  <w:pPr>
                    <w:jc w:val="center"/>
                    <w:rPr>
                      <w:bCs/>
                      <w:szCs w:val="21"/>
                    </w:rPr>
                  </w:pPr>
                  <w:r>
                    <w:rPr>
                      <w:bCs/>
                      <w:szCs w:val="21"/>
                    </w:rPr>
                    <w:t>氮</w:t>
                  </w:r>
                </w:p>
              </w:tc>
              <w:tc>
                <w:tcPr>
                  <w:tcW w:w="693" w:type="dxa"/>
                  <w:tcBorders>
                    <w:tl2br w:val="nil"/>
                    <w:tr2bl w:val="nil"/>
                  </w:tcBorders>
                  <w:shd w:val="clear" w:color="auto" w:fill="FFFFFF"/>
                  <w:vAlign w:val="center"/>
                </w:tcPr>
                <w:p>
                  <w:pPr>
                    <w:jc w:val="center"/>
                    <w:rPr>
                      <w:bCs/>
                      <w:szCs w:val="21"/>
                    </w:rPr>
                  </w:pPr>
                  <w:r>
                    <w:rPr>
                      <w:bCs/>
                      <w:szCs w:val="21"/>
                    </w:rPr>
                    <w:t>氦</w:t>
                  </w:r>
                </w:p>
              </w:tc>
              <w:tc>
                <w:tcPr>
                  <w:tcW w:w="619" w:type="dxa"/>
                  <w:tcBorders>
                    <w:tl2br w:val="nil"/>
                    <w:tr2bl w:val="nil"/>
                  </w:tcBorders>
                  <w:shd w:val="clear" w:color="auto" w:fill="FFFFFF"/>
                  <w:vAlign w:val="center"/>
                </w:tcPr>
                <w:p>
                  <w:pPr>
                    <w:jc w:val="center"/>
                    <w:rPr>
                      <w:bCs/>
                      <w:szCs w:val="21"/>
                    </w:rPr>
                  </w:pPr>
                  <w:r>
                    <w:rPr>
                      <w:bCs/>
                      <w:szCs w:val="21"/>
                    </w:rPr>
                    <w:t>二氧化碳</w:t>
                  </w:r>
                </w:p>
              </w:tc>
              <w:tc>
                <w:tcPr>
                  <w:tcW w:w="722" w:type="dxa"/>
                  <w:tcBorders>
                    <w:tl2br w:val="nil"/>
                    <w:tr2bl w:val="nil"/>
                  </w:tcBorders>
                  <w:shd w:val="clear" w:color="auto" w:fill="FFFFFF"/>
                  <w:vAlign w:val="center"/>
                </w:tcPr>
                <w:p>
                  <w:pPr>
                    <w:jc w:val="center"/>
                    <w:rPr>
                      <w:bCs/>
                      <w:szCs w:val="21"/>
                    </w:rPr>
                  </w:pPr>
                  <w:r>
                    <w:rPr>
                      <w:bCs/>
                      <w:szCs w:val="21"/>
                    </w:rPr>
                    <w:t>硫化氢</w:t>
                  </w:r>
                </w:p>
              </w:tc>
              <w:tc>
                <w:tcPr>
                  <w:tcW w:w="1241" w:type="dxa"/>
                  <w:vMerge w:val="continue"/>
                  <w:tcBorders>
                    <w:tl2br w:val="nil"/>
                    <w:tr2bl w:val="nil"/>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02" w:type="dxa"/>
                  <w:vMerge w:val="restart"/>
                  <w:tcBorders>
                    <w:tl2br w:val="nil"/>
                    <w:tr2bl w:val="nil"/>
                  </w:tcBorders>
                  <w:shd w:val="clear" w:color="auto" w:fill="FFFFFF"/>
                  <w:vAlign w:val="center"/>
                </w:tcPr>
                <w:p>
                  <w:pPr>
                    <w:jc w:val="center"/>
                    <w:rPr>
                      <w:bCs/>
                      <w:szCs w:val="21"/>
                    </w:rPr>
                  </w:pPr>
                  <w:r>
                    <w:rPr>
                      <w:bCs/>
                      <w:szCs w:val="21"/>
                    </w:rPr>
                    <w:t>明1</w:t>
                  </w:r>
                </w:p>
              </w:tc>
              <w:tc>
                <w:tcPr>
                  <w:tcW w:w="981" w:type="dxa"/>
                  <w:tcBorders>
                    <w:tl2br w:val="nil"/>
                    <w:tr2bl w:val="nil"/>
                  </w:tcBorders>
                  <w:shd w:val="clear" w:color="auto" w:fill="FFFFFF"/>
                  <w:vAlign w:val="center"/>
                </w:tcPr>
                <w:p>
                  <w:pPr>
                    <w:jc w:val="center"/>
                    <w:rPr>
                      <w:bCs/>
                      <w:szCs w:val="21"/>
                    </w:rPr>
                  </w:pPr>
                  <w:r>
                    <w:rPr>
                      <w:rFonts w:hint="eastAsia"/>
                      <w:bCs/>
                      <w:szCs w:val="21"/>
                    </w:rPr>
                    <w:t>长兴组</w:t>
                  </w:r>
                </w:p>
              </w:tc>
              <w:tc>
                <w:tcPr>
                  <w:tcW w:w="883"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.629</w:t>
                  </w:r>
                </w:p>
              </w:tc>
              <w:tc>
                <w:tcPr>
                  <w:tcW w:w="746"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91.81</w:t>
                  </w:r>
                </w:p>
              </w:tc>
              <w:tc>
                <w:tcPr>
                  <w:tcW w:w="638"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0.39</w:t>
                  </w:r>
                </w:p>
              </w:tc>
              <w:tc>
                <w:tcPr>
                  <w:tcW w:w="693"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0.004</w:t>
                  </w:r>
                </w:p>
              </w:tc>
              <w:tc>
                <w:tcPr>
                  <w:tcW w:w="638"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0.46</w:t>
                  </w:r>
                </w:p>
              </w:tc>
              <w:tc>
                <w:tcPr>
                  <w:tcW w:w="693"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0.027</w:t>
                  </w:r>
                </w:p>
              </w:tc>
              <w:tc>
                <w:tcPr>
                  <w:tcW w:w="619"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7.29</w:t>
                  </w:r>
                </w:p>
              </w:tc>
              <w:tc>
                <w:tcPr>
                  <w:tcW w:w="722"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0.02</w:t>
                  </w:r>
                </w:p>
              </w:tc>
              <w:tc>
                <w:tcPr>
                  <w:tcW w:w="1241" w:type="dxa"/>
                  <w:tcBorders>
                    <w:tl2br w:val="nil"/>
                    <w:tr2bl w:val="nil"/>
                  </w:tcBorders>
                  <w:shd w:val="clear" w:color="auto" w:fill="FFFFFF"/>
                  <w:vAlign w:val="center"/>
                </w:tcPr>
                <w:p>
                  <w:pPr>
                    <w:jc w:val="center"/>
                    <w:rPr>
                      <w:sz w:val="18"/>
                      <w:szCs w:val="18"/>
                    </w:rPr>
                  </w:pPr>
                  <w:r>
                    <w:rPr>
                      <w:rFonts w:hint="eastAsia"/>
                      <w:sz w:val="18"/>
                      <w:szCs w:val="18"/>
                    </w:rPr>
                    <w:t>0</w:t>
                  </w:r>
                  <w:r>
                    <w:rPr>
                      <w:sz w:val="18"/>
                      <w:szCs w:val="18"/>
                    </w:rPr>
                    <w:t>.289</w:t>
                  </w:r>
                </w:p>
                <w:p>
                  <w:pPr>
                    <w:jc w:val="center"/>
                  </w:pPr>
                  <w:r>
                    <w:rPr>
                      <w:color w:val="000000" w:themeColor="text1"/>
                      <w:sz w:val="18"/>
                      <w:szCs w:val="18"/>
                      <w14:textFill>
                        <w14:solidFill>
                          <w14:schemeClr w14:val="tx1"/>
                        </w14:solidFill>
                      </w14:textFill>
                    </w:rPr>
                    <w:t>(190.5ppm)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02" w:type="dxa"/>
                  <w:vMerge w:val="continue"/>
                  <w:tcBorders>
                    <w:tl2br w:val="nil"/>
                    <w:tr2bl w:val="nil"/>
                  </w:tcBorders>
                  <w:shd w:val="clear" w:color="auto" w:fill="auto"/>
                  <w:vAlign w:val="center"/>
                </w:tcPr>
                <w:p>
                  <w:pPr>
                    <w:jc w:val="center"/>
                    <w:rPr>
                      <w:bCs/>
                      <w:szCs w:val="21"/>
                    </w:rPr>
                  </w:pPr>
                </w:p>
              </w:tc>
              <w:tc>
                <w:tcPr>
                  <w:tcW w:w="981" w:type="dxa"/>
                  <w:tcBorders>
                    <w:tl2br w:val="nil"/>
                    <w:tr2bl w:val="nil"/>
                  </w:tcBorders>
                  <w:shd w:val="clear" w:color="auto" w:fill="FFFFFF"/>
                  <w:vAlign w:val="center"/>
                </w:tcPr>
                <w:p>
                  <w:pPr>
                    <w:jc w:val="center"/>
                    <w:rPr>
                      <w:bCs/>
                      <w:szCs w:val="21"/>
                    </w:rPr>
                  </w:pPr>
                  <w:r>
                    <w:rPr>
                      <w:rFonts w:hint="eastAsia"/>
                      <w:bCs/>
                      <w:szCs w:val="21"/>
                    </w:rPr>
                    <w:t>龙潭组</w:t>
                  </w:r>
                </w:p>
              </w:tc>
              <w:tc>
                <w:tcPr>
                  <w:tcW w:w="883"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0.56</w:t>
                  </w:r>
                  <w:r>
                    <w:rPr>
                      <w:color w:val="000000" w:themeColor="text1"/>
                      <w:sz w:val="18"/>
                      <w:szCs w:val="18"/>
                      <w14:textFill>
                        <w14:solidFill>
                          <w14:schemeClr w14:val="tx1"/>
                        </w14:solidFill>
                      </w14:textFill>
                    </w:rPr>
                    <w:t>0</w:t>
                  </w:r>
                </w:p>
              </w:tc>
              <w:tc>
                <w:tcPr>
                  <w:tcW w:w="746"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98.91</w:t>
                  </w:r>
                </w:p>
              </w:tc>
              <w:tc>
                <w:tcPr>
                  <w:tcW w:w="638"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0.32</w:t>
                  </w:r>
                </w:p>
              </w:tc>
              <w:tc>
                <w:tcPr>
                  <w:tcW w:w="693"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0.06</w:t>
                  </w:r>
                </w:p>
              </w:tc>
              <w:tc>
                <w:tcPr>
                  <w:tcW w:w="638"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0.48</w:t>
                  </w:r>
                </w:p>
              </w:tc>
              <w:tc>
                <w:tcPr>
                  <w:tcW w:w="693"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0.031</w:t>
                  </w:r>
                </w:p>
              </w:tc>
              <w:tc>
                <w:tcPr>
                  <w:tcW w:w="619"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0.2</w:t>
                  </w:r>
                </w:p>
              </w:tc>
              <w:tc>
                <w:tcPr>
                  <w:tcW w:w="722" w:type="dxa"/>
                  <w:tcBorders>
                    <w:tl2br w:val="nil"/>
                    <w:tr2bl w:val="nil"/>
                  </w:tcBorders>
                  <w:shd w:val="clear" w:color="auto" w:fill="FFFFFF"/>
                  <w:vAlign w:val="center"/>
                </w:tcPr>
                <w:p>
                  <w:pPr>
                    <w:jc w:val="center"/>
                    <w:rPr>
                      <w:bCs/>
                      <w:szCs w:val="21"/>
                    </w:rPr>
                  </w:pPr>
                  <w:r>
                    <w:rPr>
                      <w:color w:val="000000" w:themeColor="text1"/>
                      <w:sz w:val="18"/>
                      <w:szCs w:val="18"/>
                      <w14:textFill>
                        <w14:solidFill>
                          <w14:schemeClr w14:val="tx1"/>
                        </w14:solidFill>
                      </w14:textFill>
                    </w:rPr>
                    <w:t>/</w:t>
                  </w:r>
                </w:p>
              </w:tc>
              <w:tc>
                <w:tcPr>
                  <w:tcW w:w="1241"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02" w:type="dxa"/>
                  <w:vMerge w:val="continue"/>
                  <w:tcBorders>
                    <w:tl2br w:val="nil"/>
                    <w:tr2bl w:val="nil"/>
                  </w:tcBorders>
                  <w:shd w:val="clear" w:color="auto" w:fill="auto"/>
                  <w:vAlign w:val="center"/>
                </w:tcPr>
                <w:p>
                  <w:pPr>
                    <w:jc w:val="center"/>
                    <w:rPr>
                      <w:bCs/>
                      <w:szCs w:val="21"/>
                    </w:rPr>
                  </w:pPr>
                </w:p>
              </w:tc>
              <w:tc>
                <w:tcPr>
                  <w:tcW w:w="981" w:type="dxa"/>
                  <w:tcBorders>
                    <w:tl2br w:val="nil"/>
                    <w:tr2bl w:val="nil"/>
                  </w:tcBorders>
                  <w:shd w:val="clear" w:color="auto" w:fill="FFFFFF"/>
                  <w:vAlign w:val="center"/>
                </w:tcPr>
                <w:p>
                  <w:pPr>
                    <w:jc w:val="center"/>
                    <w:rPr>
                      <w:bCs/>
                      <w:szCs w:val="21"/>
                    </w:rPr>
                  </w:pPr>
                  <w:r>
                    <w:rPr>
                      <w:rFonts w:hint="eastAsia"/>
                      <w:bCs/>
                      <w:szCs w:val="21"/>
                    </w:rPr>
                    <w:t>茅口组</w:t>
                  </w:r>
                </w:p>
              </w:tc>
              <w:tc>
                <w:tcPr>
                  <w:tcW w:w="883"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0.583</w:t>
                  </w:r>
                </w:p>
              </w:tc>
              <w:tc>
                <w:tcPr>
                  <w:tcW w:w="746"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95.65</w:t>
                  </w:r>
                </w:p>
              </w:tc>
              <w:tc>
                <w:tcPr>
                  <w:tcW w:w="638"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0.09</w:t>
                  </w:r>
                </w:p>
              </w:tc>
              <w:tc>
                <w:tcPr>
                  <w:tcW w:w="693"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0.029</w:t>
                  </w:r>
                </w:p>
              </w:tc>
              <w:tc>
                <w:tcPr>
                  <w:tcW w:w="638"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0.52</w:t>
                  </w:r>
                </w:p>
              </w:tc>
              <w:tc>
                <w:tcPr>
                  <w:tcW w:w="693"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0.089</w:t>
                  </w:r>
                </w:p>
              </w:tc>
              <w:tc>
                <w:tcPr>
                  <w:tcW w:w="619"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0.99</w:t>
                  </w:r>
                </w:p>
              </w:tc>
              <w:tc>
                <w:tcPr>
                  <w:tcW w:w="722" w:type="dxa"/>
                  <w:tcBorders>
                    <w:tl2br w:val="nil"/>
                    <w:tr2bl w:val="nil"/>
                  </w:tcBorders>
                  <w:shd w:val="clear" w:color="auto" w:fill="FFFFFF"/>
                  <w:vAlign w:val="center"/>
                </w:tcPr>
                <w:p>
                  <w:pPr>
                    <w:jc w:val="center"/>
                    <w:rPr>
                      <w:bCs/>
                      <w:szCs w:val="21"/>
                    </w:rPr>
                  </w:pPr>
                  <w:r>
                    <w:rPr>
                      <w:rFonts w:hint="eastAsia"/>
                      <w:color w:val="000000" w:themeColor="text1"/>
                      <w:sz w:val="18"/>
                      <w:szCs w:val="18"/>
                      <w14:textFill>
                        <w14:solidFill>
                          <w14:schemeClr w14:val="tx1"/>
                        </w14:solidFill>
                      </w14:textFill>
                    </w:rPr>
                    <w:t>2.63</w:t>
                  </w:r>
                </w:p>
              </w:tc>
              <w:tc>
                <w:tcPr>
                  <w:tcW w:w="1241"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7.78</w:t>
                  </w: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(24904.4ppm)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02" w:type="dxa"/>
                  <w:tcBorders>
                    <w:tl2br w:val="nil"/>
                    <w:tr2bl w:val="nil"/>
                  </w:tcBorders>
                  <w:shd w:val="clear" w:color="auto" w:fill="auto"/>
                  <w:vAlign w:val="center"/>
                </w:tcPr>
                <w:p>
                  <w:pPr>
                    <w:jc w:val="center"/>
                    <w:rPr>
                      <w:bCs/>
                      <w:szCs w:val="21"/>
                    </w:rPr>
                  </w:pPr>
                  <w:r>
                    <w:rPr>
                      <w:rFonts w:hint="eastAsia"/>
                      <w:bCs/>
                      <w:szCs w:val="21"/>
                    </w:rPr>
                    <w:t>雷页1HF</w:t>
                  </w:r>
                </w:p>
              </w:tc>
              <w:tc>
                <w:tcPr>
                  <w:tcW w:w="981" w:type="dxa"/>
                  <w:tcBorders>
                    <w:tl2br w:val="nil"/>
                    <w:tr2bl w:val="nil"/>
                  </w:tcBorders>
                  <w:shd w:val="clear" w:color="auto" w:fill="FFFFFF"/>
                  <w:vAlign w:val="center"/>
                </w:tcPr>
                <w:p>
                  <w:pPr>
                    <w:jc w:val="center"/>
                    <w:rPr>
                      <w:bCs/>
                      <w:szCs w:val="21"/>
                    </w:rPr>
                  </w:pPr>
                  <w:r>
                    <w:rPr>
                      <w:rFonts w:hint="eastAsia"/>
                      <w:bCs/>
                      <w:szCs w:val="21"/>
                    </w:rPr>
                    <w:t>吴家坪组</w:t>
                  </w:r>
                </w:p>
              </w:tc>
              <w:tc>
                <w:tcPr>
                  <w:tcW w:w="883"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.5806</w:t>
                  </w:r>
                </w:p>
              </w:tc>
              <w:tc>
                <w:tcPr>
                  <w:tcW w:w="746"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w:t>
                  </w:r>
                  <w:r>
                    <w:rPr>
                      <w:color w:val="000000" w:themeColor="text1"/>
                      <w:sz w:val="18"/>
                      <w:szCs w:val="18"/>
                      <w14:textFill>
                        <w14:solidFill>
                          <w14:schemeClr w14:val="tx1"/>
                        </w14:solidFill>
                      </w14:textFill>
                    </w:rPr>
                    <w:t>6.643</w:t>
                  </w:r>
                </w:p>
              </w:tc>
              <w:tc>
                <w:tcPr>
                  <w:tcW w:w="638"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0.549</w:t>
                  </w:r>
                </w:p>
              </w:tc>
              <w:tc>
                <w:tcPr>
                  <w:tcW w:w="693"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0.008</w:t>
                  </w:r>
                </w:p>
              </w:tc>
              <w:tc>
                <w:tcPr>
                  <w:tcW w:w="638"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.632</w:t>
                  </w:r>
                </w:p>
              </w:tc>
              <w:tc>
                <w:tcPr>
                  <w:tcW w:w="693"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.022</w:t>
                  </w:r>
                </w:p>
              </w:tc>
              <w:tc>
                <w:tcPr>
                  <w:tcW w:w="619"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2.12</w:t>
                  </w:r>
                </w:p>
              </w:tc>
              <w:tc>
                <w:tcPr>
                  <w:tcW w:w="722"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1241" w:type="dxa"/>
                  <w:tcBorders>
                    <w:tl2br w:val="nil"/>
                    <w:tr2bl w:val="nil"/>
                  </w:tcBorders>
                  <w:shd w:val="clear" w:color="auto" w:fill="FFFFFF"/>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bookmarkEnd w:id="20"/>
            <w:bookmarkEnd w:id="21"/>
          </w:tbl>
          <w:p>
            <w:pPr>
              <w:pStyle w:val="159"/>
              <w:spacing w:line="360" w:lineRule="auto"/>
              <w:ind w:firstLine="0"/>
              <w:rPr>
                <w:rFonts w:ascii="Times New Roman" w:hAnsi="Times New Roman"/>
                <w:bCs/>
                <w:sz w:val="21"/>
                <w:szCs w:val="21"/>
              </w:rPr>
            </w:pPr>
          </w:p>
        </w:tc>
      </w:tr>
    </w:tbl>
    <w:p>
      <w:pPr>
        <w:pStyle w:val="38"/>
        <w:jc w:val="center"/>
        <w:outlineLvl w:val="0"/>
        <w:rPr>
          <w:rFonts w:ascii="Times New Roman" w:hAnsi="Times New Roman" w:eastAsia="仿宋_GB2312"/>
          <w:b/>
          <w:bCs/>
          <w:sz w:val="21"/>
          <w:szCs w:val="21"/>
        </w:rPr>
        <w:sectPr>
          <w:pgSz w:w="11906" w:h="16838"/>
          <w:pgMar w:top="1417" w:right="1417" w:bottom="1417" w:left="1701" w:header="851" w:footer="1077" w:gutter="0"/>
          <w:cols w:space="720" w:num="1"/>
          <w:docGrid w:linePitch="312" w:charSpace="0"/>
        </w:sectPr>
      </w:pPr>
    </w:p>
    <w:p>
      <w:pPr>
        <w:pStyle w:val="38"/>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三、生态环境现状、保护目标及评价标准</w:t>
      </w:r>
    </w:p>
    <w:tbl>
      <w:tblPr>
        <w:tblStyle w:val="4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4"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生态环境现状</w:t>
            </w:r>
          </w:p>
        </w:tc>
        <w:tc>
          <w:tcPr>
            <w:tcW w:w="8253" w:type="dxa"/>
            <w:vAlign w:val="center"/>
          </w:tcPr>
          <w:p>
            <w:pPr>
              <w:adjustRightInd w:val="0"/>
              <w:snapToGrid w:val="0"/>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3.1生态功能区划</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根据《四川省生态功能区划》，项目位于I四川盆地亚热带湿润气候生态区，Ⅰ-2盆中丘陵农林复合生态还区，Ⅰ-2-1盆北深丘农林业与土壤保持生态功能区。</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调查踏勘，工程所在地属于农村生态环境，属于农业生态系统，在既有井场内钻井，周边主要为耕地、林地及荒地。生态系统较稳定，承受干扰的能力较强，目前受人类活动影响明显，生态系统单一，结构简单，环境异质性差。区域内以人工生境为主，易于恢复，项目不在自然保护区、风景名胜区等环境敏感区域范围内。项目所在地动物较少，主要有少量人工饲养的猪、牛、兔、鸡、鹅等家畜和少量野生鼠类、鸟类动物，未见大型野生哺乳动物，未见珍稀濒危保护野生动物分布。区域内无天然珍稀野生动植物分布，该区域缺少生物物种的种群源，自然组分的调控能力弱。本项目评价范围内无其他自然遗产、自然保护区以及风景名胜区等，区域内未发现珍稀动植物、名木古树等，无国家和地方保护性动植物和珍稀濒危动物分布，无特殊生境及特有物种。本项目不占用生态红线区，符合《关于印发四川省生态保护红线方案的通知》（川府发〔2018〕24号）管控要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四川省达州市宣汉县大成镇大地村，主体生态区划属于重点开发区，主体功能区划属于农村区域，不属于优先保护单元和重点管控单元，为一般管控单元，土地利用类型为旱地、水田，不涉及基本农田和林地，植被类型主要为草本植物等。本项目评价范围内无其他自然遗产、自然保护区以及风景名胜区等，区域内未发现珍稀动植物、名木古树等，无国家和地方保护性动植物和珍稀濒危动物分布，无特殊生境及特有物种。</w:t>
            </w:r>
            <w:bookmarkStart w:id="22" w:name="OLE_LINK64"/>
            <w:bookmarkStart w:id="23" w:name="OLE_LINK72"/>
            <w:bookmarkStart w:id="24" w:name="OLE_LINK65"/>
            <w:bookmarkStart w:id="25" w:name="OLE_LINK9"/>
            <w:bookmarkStart w:id="26" w:name="OLE_LINK69"/>
            <w:bookmarkStart w:id="27" w:name="OLE_LINK68"/>
            <w:bookmarkStart w:id="28" w:name="OLE_LINK70"/>
            <w:bookmarkStart w:id="29" w:name="OLE_LINK11"/>
            <w:bookmarkStart w:id="30" w:name="OLE_LINK66"/>
            <w:bookmarkStart w:id="31" w:name="OLE_LINK12"/>
            <w:bookmarkStart w:id="32" w:name="OLE_LINK71"/>
            <w:r>
              <w:rPr>
                <w:rFonts w:hint="default" w:ascii="Times New Roman" w:hAnsi="Times New Roman" w:cs="Times New Roman"/>
                <w:sz w:val="24"/>
              </w:rPr>
              <w:t>本项目不占用生态红线区，符合《关于印发四川省生态保护红线方案的通知》（川府发〔2018〕24号）及《达州市人民政府关于落实生态保护红线、环境质量底线、资源利用上线制定生态环境准入清单实施生态分区管控的通知》（达市府发〔2021〕17号）管控要求</w:t>
            </w:r>
            <w:bookmarkEnd w:id="22"/>
            <w:bookmarkEnd w:id="23"/>
            <w:bookmarkEnd w:id="24"/>
            <w:bookmarkEnd w:id="25"/>
            <w:bookmarkEnd w:id="26"/>
            <w:bookmarkEnd w:id="27"/>
            <w:bookmarkEnd w:id="28"/>
            <w:bookmarkEnd w:id="29"/>
            <w:bookmarkEnd w:id="30"/>
            <w:bookmarkEnd w:id="31"/>
            <w:bookmarkEnd w:id="32"/>
            <w:r>
              <w:rPr>
                <w:rFonts w:hint="default" w:ascii="Times New Roman" w:hAnsi="Times New Roman" w:cs="Times New Roman"/>
                <w:sz w:val="24"/>
              </w:rPr>
              <w:t>。</w:t>
            </w:r>
          </w:p>
          <w:p>
            <w:pPr>
              <w:adjustRightInd w:val="0"/>
              <w:snapToGrid w:val="0"/>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3.2环境质量现状</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（1）环境质量达标区判定</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本项目位于达州市宣汉县，项目所在区环境空气功能分区为二类区。根据《环境影响评价技术导则 总纲》（HJ2.1-2016）与《环境影响评价技术导则 大气环境》（HJ2.2-2018）的要求，评价采用达州市生态环境局发布（http://sthjj.dazhou.gov.cn/news-list-hjzl.html）的《达州市2022年环境空气质量状况》中的数据进行评价：</w:t>
            </w:r>
          </w:p>
          <w:p>
            <w:pPr>
              <w:pStyle w:val="332"/>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xml:space="preserve"> 2022年宣汉县环境空气质量状况统计表</w:t>
            </w:r>
          </w:p>
          <w:tbl>
            <w:tblPr>
              <w:tblStyle w:val="44"/>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887"/>
              <w:gridCol w:w="1056"/>
              <w:gridCol w:w="1016"/>
              <w:gridCol w:w="1000"/>
              <w:gridCol w:w="10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0"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污染物</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年评价指标</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评价标准</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现状浓度</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占标率</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年平均质量浓度</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70</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50</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71.4%</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年平均质量浓度</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35</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27</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77.1%</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年平均质量浓度</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60</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5</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8.3%</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年平均质量浓度</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40</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19</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47.5%</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CO</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95%百分位数24小时平均</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4mg/m³</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1.1mg/m³</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27.5%</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1857"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90%百分位数日最大8小时滑动平均</w:t>
                  </w:r>
                </w:p>
              </w:tc>
              <w:tc>
                <w:tcPr>
                  <w:tcW w:w="679"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160</w:t>
                  </w:r>
                </w:p>
              </w:tc>
              <w:tc>
                <w:tcPr>
                  <w:tcW w:w="65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99</w:t>
                  </w:r>
                </w:p>
              </w:tc>
              <w:tc>
                <w:tcPr>
                  <w:tcW w:w="644" w:type="pct"/>
                  <w:tcBorders>
                    <w:left w:val="single" w:color="auto" w:sz="4" w:space="0"/>
                    <w:right w:val="single" w:color="auto" w:sz="4" w:space="0"/>
                  </w:tcBorders>
                  <w:vAlign w:val="center"/>
                </w:tcPr>
                <w:p>
                  <w:pPr>
                    <w:pStyle w:val="398"/>
                    <w:rPr>
                      <w:rFonts w:hint="default" w:ascii="Times New Roman" w:hAnsi="Times New Roman" w:cs="Times New Roman"/>
                    </w:rPr>
                  </w:pPr>
                  <w:r>
                    <w:rPr>
                      <w:rFonts w:hint="default" w:ascii="Times New Roman" w:hAnsi="Times New Roman" w:cs="Times New Roman"/>
                    </w:rPr>
                    <w:t>61.9%</w:t>
                  </w:r>
                </w:p>
              </w:tc>
              <w:tc>
                <w:tcPr>
                  <w:tcW w:w="644" w:type="pct"/>
                  <w:tcBorders>
                    <w:left w:val="single" w:color="auto" w:sz="4" w:space="0"/>
                    <w:right w:val="single" w:color="auto" w:sz="12" w:space="0"/>
                  </w:tcBorders>
                  <w:vAlign w:val="center"/>
                </w:tcPr>
                <w:p>
                  <w:pPr>
                    <w:pStyle w:val="398"/>
                    <w:rPr>
                      <w:rFonts w:hint="default" w:ascii="Times New Roman" w:hAnsi="Times New Roman" w:cs="Times New Roman"/>
                    </w:rPr>
                  </w:pPr>
                  <w:r>
                    <w:rPr>
                      <w:rFonts w:hint="default" w:ascii="Times New Roman" w:hAnsi="Times New Roman" w:cs="Times New Roman"/>
                    </w:rPr>
                    <w:t>达标</w:t>
                  </w:r>
                </w:p>
              </w:tc>
            </w:tr>
          </w:tbl>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根据公告内容，宣汉县2022年度主要污染物SO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、CO、O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均满足《环境空气质量标准》（GB3095-2012）二级标准要求，按《环境影响评价技术导则 大气环境》（HJ2.2-2018）区域达标判断标准，宣汉县2022年度区域环境空气质量为达标区。</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（2）补充监测</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①监测点位</w:t>
            </w:r>
          </w:p>
          <w:p>
            <w:pPr>
              <w:pStyle w:val="332"/>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xml:space="preserve">  其他污染物环境质量现状监测内容</w:t>
            </w:r>
          </w:p>
          <w:tbl>
            <w:tblPr>
              <w:tblStyle w:val="44"/>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编号</w:t>
                  </w:r>
                </w:p>
              </w:tc>
              <w:tc>
                <w:tcPr>
                  <w:tcW w:w="2060"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监测点位</w:t>
                  </w:r>
                </w:p>
              </w:tc>
              <w:tc>
                <w:tcPr>
                  <w:tcW w:w="1372"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监测因子</w:t>
                  </w:r>
                </w:p>
              </w:tc>
              <w:tc>
                <w:tcPr>
                  <w:tcW w:w="1923"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监测频次</w:t>
                  </w:r>
                </w:p>
              </w:tc>
              <w:tc>
                <w:tcPr>
                  <w:tcW w:w="1308"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监测时间</w:t>
                  </w:r>
                </w:p>
              </w:tc>
              <w:tc>
                <w:tcPr>
                  <w:tcW w:w="826"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G1</w:t>
                  </w:r>
                </w:p>
              </w:tc>
              <w:tc>
                <w:tcPr>
                  <w:tcW w:w="2060"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井场所在地下风向位置</w:t>
                  </w:r>
                </w:p>
              </w:tc>
              <w:tc>
                <w:tcPr>
                  <w:tcW w:w="1372"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S、非甲烷总烃</w:t>
                  </w:r>
                </w:p>
              </w:tc>
              <w:tc>
                <w:tcPr>
                  <w:tcW w:w="1923"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连续监测3d，每天等时间段采样4次，取小时均值</w:t>
                  </w:r>
                </w:p>
              </w:tc>
              <w:tc>
                <w:tcPr>
                  <w:tcW w:w="1308"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2023.11.10~11.12</w:t>
                  </w:r>
                </w:p>
              </w:tc>
              <w:tc>
                <w:tcPr>
                  <w:tcW w:w="826" w:type="dxa"/>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实测</w:t>
                  </w:r>
                </w:p>
              </w:tc>
            </w:tr>
          </w:tbl>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②评价标准</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本次非甲烷总烃环境质量现状评价，执行标准采用《大气污染物综合排放标准详解》浓度限值2.0mg/m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；硫化氢环境质量现状评价，执行标准采用《环境影响评价技术导则大气环境》（HJ2.2-2018）中附录D浓度限值10μg/m3。</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③评价方法</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环境空气质量现状评价方法采用最大占标率法，当取值时间最大浓度值占相应标准浓度限值的百分比大于或等于100％时，表明环境空气质量超标。计算公式如下：</w:t>
            </w:r>
          </w:p>
          <w:p>
            <w:pPr>
              <w:pStyle w:val="340"/>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INCLUDEPICTURE "C:\\Users\\73603\\AppData\\Local\\Temp\\ksohtml5344\\wps3.png" \* MERGEFORMATINET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2"/>
                          <a:stretch>
                            <a:fillRect/>
                          </a:stretch>
                        </pic:blipFill>
                        <pic:spPr>
                          <a:xfrm>
                            <a:off x="0" y="0"/>
                            <a:ext cx="1036955" cy="447040"/>
                          </a:xfrm>
                          <a:prstGeom prst="rect">
                            <a:avLst/>
                          </a:prstGeom>
                          <a:noFill/>
                          <a:ln>
                            <a:noFill/>
                          </a:ln>
                        </pic:spPr>
                      </pic:pic>
                    </a:graphicData>
                  </a:graphic>
                </wp:inline>
              </w:drawing>
            </w:r>
            <w:r>
              <w:rPr>
                <w:rFonts w:hint="default" w:ascii="Times New Roman" w:hAnsi="Times New Roman" w:cs="Times New Roman"/>
                <w:sz w:val="24"/>
                <w:szCs w:val="24"/>
              </w:rPr>
              <w:fldChar w:fldCharType="end"/>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式中：Pi——某污染物i的占标率；</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Ci——i污染物的监测浓度值，mg/m3；</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C0i——i污染物相应的环境质量标准，mg/m3。</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⑤监测结果</w:t>
            </w:r>
          </w:p>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环境空气质量现状监测数据统计及评价结果见表3-3。</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环境空气质量现状监测数据统计及评价结果   单位：mg/m</w:t>
            </w:r>
            <w:r>
              <w:rPr>
                <w:rFonts w:hint="default" w:ascii="Times New Roman" w:hAnsi="Times New Roman" w:cs="Times New Roman"/>
                <w:b/>
                <w:bCs/>
                <w:sz w:val="24"/>
                <w:szCs w:val="24"/>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37" w:type="dxa"/>
                  <w:tcBorders>
                    <w:top w:val="single" w:color="auto" w:sz="4" w:space="0"/>
                    <w:left w:val="single" w:color="auto" w:sz="4"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276" w:type="dxa"/>
                  <w:tcBorders>
                    <w:top w:val="single" w:color="auto" w:sz="4"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276" w:type="dxa"/>
                  <w:tcBorders>
                    <w:top w:val="single" w:color="auto" w:sz="4"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监测值</w:t>
                  </w:r>
                </w:p>
              </w:tc>
              <w:tc>
                <w:tcPr>
                  <w:tcW w:w="1275" w:type="dxa"/>
                  <w:tcBorders>
                    <w:top w:val="single" w:color="auto" w:sz="4"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超标率(%)</w:t>
                  </w:r>
                </w:p>
              </w:tc>
              <w:tc>
                <w:tcPr>
                  <w:tcW w:w="1524" w:type="dxa"/>
                  <w:tcBorders>
                    <w:top w:val="single" w:color="auto" w:sz="4"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最大超标倍数</w:t>
                  </w:r>
                </w:p>
              </w:tc>
              <w:tc>
                <w:tcPr>
                  <w:tcW w:w="1257" w:type="dxa"/>
                  <w:tcBorders>
                    <w:top w:val="single" w:color="auto" w:sz="4" w:space="0"/>
                    <w:left w:val="single" w:color="auto" w:sz="6" w:space="0"/>
                    <w:bottom w:val="single" w:color="auto" w:sz="6" w:space="0"/>
                    <w:right w:val="single" w:color="auto" w:sz="4"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37" w:type="dxa"/>
                  <w:tcBorders>
                    <w:top w:val="single" w:color="auto" w:sz="6" w:space="0"/>
                    <w:left w:val="single" w:color="auto" w:sz="4"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1276" w:type="dxa"/>
                  <w:tcBorders>
                    <w:top w:val="single" w:color="auto" w:sz="6"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0.01</w:t>
                  </w:r>
                </w:p>
              </w:tc>
              <w:tc>
                <w:tcPr>
                  <w:tcW w:w="1276" w:type="dxa"/>
                  <w:tcBorders>
                    <w:top w:val="single" w:color="auto" w:sz="6"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0.001-0.006</w:t>
                  </w:r>
                </w:p>
              </w:tc>
              <w:tc>
                <w:tcPr>
                  <w:tcW w:w="1275" w:type="dxa"/>
                  <w:tcBorders>
                    <w:top w:val="single" w:color="auto" w:sz="6"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0</w:t>
                  </w:r>
                </w:p>
              </w:tc>
              <w:tc>
                <w:tcPr>
                  <w:tcW w:w="1524" w:type="dxa"/>
                  <w:tcBorders>
                    <w:top w:val="single" w:color="auto" w:sz="6" w:space="0"/>
                    <w:left w:val="single" w:color="auto" w:sz="6" w:space="0"/>
                    <w:bottom w:val="single" w:color="auto" w:sz="6"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w:t>
                  </w:r>
                </w:p>
              </w:tc>
              <w:tc>
                <w:tcPr>
                  <w:tcW w:w="1257" w:type="dxa"/>
                  <w:tcBorders>
                    <w:top w:val="single" w:color="auto" w:sz="6" w:space="0"/>
                    <w:left w:val="single" w:color="auto" w:sz="6" w:space="0"/>
                    <w:bottom w:val="single" w:color="auto" w:sz="6" w:space="0"/>
                    <w:right w:val="single" w:color="auto" w:sz="4"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37" w:type="dxa"/>
                  <w:tcBorders>
                    <w:top w:val="single" w:color="auto" w:sz="6" w:space="0"/>
                    <w:left w:val="single" w:color="auto" w:sz="4" w:space="0"/>
                    <w:bottom w:val="single" w:color="auto" w:sz="4"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1276" w:type="dxa"/>
                  <w:tcBorders>
                    <w:top w:val="single" w:color="auto" w:sz="6" w:space="0"/>
                    <w:left w:val="single" w:color="auto" w:sz="6" w:space="0"/>
                    <w:bottom w:val="single" w:color="auto" w:sz="4"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2</w:t>
                  </w:r>
                </w:p>
              </w:tc>
              <w:tc>
                <w:tcPr>
                  <w:tcW w:w="1276" w:type="dxa"/>
                  <w:tcBorders>
                    <w:top w:val="single" w:color="auto" w:sz="6" w:space="0"/>
                    <w:left w:val="single" w:color="auto" w:sz="6" w:space="0"/>
                    <w:bottom w:val="single" w:color="auto" w:sz="4"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1.69~1.87</w:t>
                  </w:r>
                </w:p>
              </w:tc>
              <w:tc>
                <w:tcPr>
                  <w:tcW w:w="1275" w:type="dxa"/>
                  <w:tcBorders>
                    <w:top w:val="single" w:color="auto" w:sz="6" w:space="0"/>
                    <w:left w:val="single" w:color="auto" w:sz="6" w:space="0"/>
                    <w:bottom w:val="single" w:color="auto" w:sz="4"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0</w:t>
                  </w:r>
                </w:p>
              </w:tc>
              <w:tc>
                <w:tcPr>
                  <w:tcW w:w="1524" w:type="dxa"/>
                  <w:tcBorders>
                    <w:top w:val="single" w:color="auto" w:sz="6" w:space="0"/>
                    <w:left w:val="single" w:color="auto" w:sz="6" w:space="0"/>
                    <w:bottom w:val="single" w:color="auto" w:sz="4" w:space="0"/>
                    <w:right w:val="single" w:color="auto" w:sz="6"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w:t>
                  </w:r>
                </w:p>
              </w:tc>
              <w:tc>
                <w:tcPr>
                  <w:tcW w:w="1257" w:type="dxa"/>
                  <w:tcBorders>
                    <w:top w:val="single" w:color="auto" w:sz="6" w:space="0"/>
                    <w:left w:val="single" w:color="auto" w:sz="6" w:space="0"/>
                    <w:bottom w:val="single" w:color="auto" w:sz="4" w:space="0"/>
                    <w:right w:val="single" w:color="auto" w:sz="4"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93.5</w:t>
                  </w:r>
                </w:p>
              </w:tc>
            </w:tr>
          </w:tbl>
          <w:p>
            <w:pPr>
              <w:pStyle w:val="340"/>
              <w:ind w:firstLine="480"/>
              <w:rPr>
                <w:rFonts w:hint="default" w:ascii="Times New Roman" w:hAnsi="Times New Roman" w:cs="Times New Roman"/>
                <w:sz w:val="24"/>
                <w:szCs w:val="24"/>
              </w:rPr>
            </w:pPr>
            <w:r>
              <w:rPr>
                <w:rFonts w:hint="default" w:ascii="Times New Roman" w:hAnsi="Times New Roman" w:cs="Times New Roman"/>
                <w:sz w:val="24"/>
                <w:szCs w:val="24"/>
              </w:rPr>
              <w:t>本项目拟建地环境空气中特征污染物非甲烷总烃现状监测值均低于《大气污染物综合排放标准详解》浓度限值；硫化氢现状监测值均低于《环境影响评价技术导则大气环境》（HJ2.2-2018）中附录D标准限值。</w:t>
            </w:r>
          </w:p>
          <w:p>
            <w:pPr>
              <w:adjustRightInd w:val="0"/>
              <w:snapToGrid w:val="0"/>
              <w:spacing w:line="360" w:lineRule="auto"/>
              <w:ind w:firstLine="482" w:firstLineChars="200"/>
              <w:rPr>
                <w:rFonts w:hint="default" w:ascii="Times New Roman" w:hAnsi="Times New Roman" w:cs="Times New Roman"/>
                <w:b/>
                <w:bCs/>
                <w:sz w:val="24"/>
                <w:lang w:bidi="ar"/>
              </w:rPr>
            </w:pPr>
            <w:r>
              <w:rPr>
                <w:rFonts w:hint="default" w:ascii="Times New Roman" w:hAnsi="Times New Roman" w:cs="Times New Roman"/>
                <w:b/>
                <w:bCs/>
                <w:sz w:val="24"/>
                <w:lang w:bidi="ar"/>
              </w:rPr>
              <w:t>2、地表水环境</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根据《2023年</w:t>
            </w:r>
            <w:r>
              <w:rPr>
                <w:rFonts w:hint="default" w:ascii="Times New Roman" w:hAnsi="Times New Roman" w:cs="Times New Roman"/>
                <w:kern w:val="0"/>
                <w:sz w:val="24"/>
                <w:lang w:val="en-US" w:eastAsia="zh-CN"/>
              </w:rPr>
              <w:t>10</w:t>
            </w:r>
            <w:r>
              <w:rPr>
                <w:rFonts w:hint="default" w:ascii="Times New Roman" w:hAnsi="Times New Roman" w:cs="Times New Roman"/>
                <w:kern w:val="0"/>
                <w:sz w:val="24"/>
              </w:rPr>
              <w:t>月达州市地表水水质月报》：2023年9月全市37个河流断面均为优（Ⅰ~Ⅱ类）良（Ⅲ类）水质断面，占比100%。</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kern w:val="0"/>
                <w:sz w:val="24"/>
              </w:rPr>
            </w:pPr>
            <w:r>
              <w:rPr>
                <w:rFonts w:hint="default" w:ascii="Times New Roman" w:hAnsi="Times New Roman" w:cs="Times New Roman"/>
                <w:kern w:val="0"/>
                <w:sz w:val="24"/>
              </w:rPr>
              <w:t xml:space="preserve"> 202</w:t>
            </w:r>
            <w:r>
              <w:rPr>
                <w:rFonts w:hint="default" w:ascii="Times New Roman" w:hAnsi="Times New Roman" w:cs="Times New Roman"/>
                <w:kern w:val="0"/>
                <w:sz w:val="24"/>
                <w:lang w:val="en-US" w:eastAsia="zh-CN"/>
              </w:rPr>
              <w:t>3</w:t>
            </w:r>
            <w:r>
              <w:rPr>
                <w:rFonts w:hint="default" w:ascii="Times New Roman" w:hAnsi="Times New Roman" w:cs="Times New Roman"/>
                <w:kern w:val="0"/>
                <w:sz w:val="24"/>
              </w:rPr>
              <w:t>年10月达州市河流水质评价结果表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32"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序号</w:t>
                  </w:r>
                </w:p>
              </w:tc>
              <w:tc>
                <w:tcPr>
                  <w:tcW w:w="1478" w:type="dxa"/>
                  <w:gridSpan w:val="2"/>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河流</w:t>
                  </w:r>
                </w:p>
              </w:tc>
              <w:tc>
                <w:tcPr>
                  <w:tcW w:w="926"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断面名称</w:t>
                  </w:r>
                </w:p>
              </w:tc>
              <w:tc>
                <w:tcPr>
                  <w:tcW w:w="1542"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断面属性</w:t>
                  </w:r>
                </w:p>
              </w:tc>
              <w:tc>
                <w:tcPr>
                  <w:tcW w:w="926"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断面性质</w:t>
                  </w:r>
                </w:p>
              </w:tc>
              <w:tc>
                <w:tcPr>
                  <w:tcW w:w="546"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上年</w:t>
                  </w:r>
                </w:p>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同期</w:t>
                  </w:r>
                </w:p>
              </w:tc>
              <w:tc>
                <w:tcPr>
                  <w:tcW w:w="546"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上月</w:t>
                  </w:r>
                </w:p>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类别</w:t>
                  </w:r>
                </w:p>
              </w:tc>
              <w:tc>
                <w:tcPr>
                  <w:tcW w:w="544" w:type="dxa"/>
                  <w:tcBorders>
                    <w:top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本月</w:t>
                  </w:r>
                </w:p>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类别</w:t>
                  </w:r>
                </w:p>
              </w:tc>
              <w:tc>
                <w:tcPr>
                  <w:tcW w:w="1223" w:type="dxa"/>
                  <w:tcBorders>
                    <w:top w:val="single" w:color="auto" w:sz="12" w:space="0"/>
                    <w:right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32" w:type="dxa"/>
                  <w:tcBorders>
                    <w:left w:val="single" w:color="auto" w:sz="4" w:space="0"/>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1</w:t>
                  </w:r>
                </w:p>
              </w:tc>
              <w:tc>
                <w:tcPr>
                  <w:tcW w:w="914"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州河水系</w:t>
                  </w:r>
                </w:p>
              </w:tc>
              <w:tc>
                <w:tcPr>
                  <w:tcW w:w="564"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干流</w:t>
                  </w:r>
                </w:p>
              </w:tc>
              <w:tc>
                <w:tcPr>
                  <w:tcW w:w="926"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张鼓坪</w:t>
                  </w:r>
                </w:p>
              </w:tc>
              <w:tc>
                <w:tcPr>
                  <w:tcW w:w="1542"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县界</w:t>
                  </w:r>
                </w:p>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宣汉县→通川区</w:t>
                  </w:r>
                </w:p>
              </w:tc>
              <w:tc>
                <w:tcPr>
                  <w:tcW w:w="926"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省控考核评价</w:t>
                  </w:r>
                </w:p>
              </w:tc>
              <w:tc>
                <w:tcPr>
                  <w:tcW w:w="546"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eastAsia="微软雅黑" w:cs="Times New Roman"/>
                      <w:szCs w:val="21"/>
                    </w:rPr>
                    <w:t>Ⅲ</w:t>
                  </w:r>
                </w:p>
              </w:tc>
              <w:tc>
                <w:tcPr>
                  <w:tcW w:w="546"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II</w:t>
                  </w:r>
                </w:p>
              </w:tc>
              <w:tc>
                <w:tcPr>
                  <w:tcW w:w="544" w:type="dxa"/>
                  <w:tcBorders>
                    <w:bottom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II</w:t>
                  </w:r>
                </w:p>
              </w:tc>
              <w:tc>
                <w:tcPr>
                  <w:tcW w:w="1223" w:type="dxa"/>
                  <w:tcBorders>
                    <w:bottom w:val="single" w:color="auto" w:sz="12" w:space="0"/>
                    <w:right w:val="single" w:color="auto" w:sz="12" w:space="0"/>
                  </w:tcBorders>
                  <w:vAlign w:val="center"/>
                </w:tcPr>
                <w:p>
                  <w:pPr>
                    <w:pStyle w:val="340"/>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Cs w:val="21"/>
                    </w:rPr>
                    <w:t>/</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根据现场调查本项目最近</w:t>
            </w:r>
            <w:r>
              <w:rPr>
                <w:rFonts w:hint="default" w:ascii="Times New Roman" w:hAnsi="Times New Roman" w:cs="Times New Roman"/>
                <w:kern w:val="0"/>
                <w:sz w:val="24"/>
                <w:lang w:val="en-US" w:eastAsia="zh-CN"/>
              </w:rPr>
              <w:t>河流</w:t>
            </w:r>
            <w:r>
              <w:rPr>
                <w:rFonts w:hint="default" w:ascii="Times New Roman" w:hAnsi="Times New Roman" w:cs="Times New Roman"/>
                <w:kern w:val="0"/>
                <w:sz w:val="24"/>
              </w:rPr>
              <w:t>地表水为州河，距离约为</w:t>
            </w:r>
            <w:r>
              <w:rPr>
                <w:rFonts w:hint="default" w:ascii="Times New Roman" w:hAnsi="Times New Roman" w:cs="Times New Roman"/>
                <w:kern w:val="0"/>
                <w:sz w:val="24"/>
                <w:lang w:val="en-US" w:eastAsia="zh-CN"/>
              </w:rPr>
              <w:t>11.45</w:t>
            </w:r>
            <w:r>
              <w:rPr>
                <w:rFonts w:hint="default" w:ascii="Times New Roman" w:hAnsi="Times New Roman" w:cs="Times New Roman"/>
                <w:kern w:val="0"/>
                <w:sz w:val="24"/>
              </w:rPr>
              <w:t>km，与项目区相距较近的监测断面为州河张鼓坪断面。根据上表例行监测数据表明：项目区域地表水体州河水系的州河张鼓坪监测断面的水质能够满足《地表水环境质量标准》（GB3838-2002）Ⅲ类水域水质标准。</w:t>
            </w:r>
          </w:p>
          <w:p>
            <w:pPr>
              <w:adjustRightInd w:val="0"/>
              <w:snapToGrid w:val="0"/>
              <w:spacing w:line="360" w:lineRule="auto"/>
              <w:ind w:firstLine="480" w:firstLineChars="200"/>
              <w:rPr>
                <w:rFonts w:hint="default" w:ascii="Times New Roman" w:hAnsi="Times New Roman" w:cs="Times New Roman"/>
                <w:kern w:val="0"/>
                <w:sz w:val="24"/>
              </w:rPr>
            </w:pPr>
            <w:bookmarkStart w:id="33" w:name="_Hlk79335615"/>
            <w:r>
              <w:rPr>
                <w:rFonts w:hint="default" w:ascii="Times New Roman" w:hAnsi="Times New Roman" w:cs="Times New Roman"/>
                <w:kern w:val="0"/>
                <w:sz w:val="24"/>
              </w:rPr>
              <w:t>本项目钻井期间剩余钻井废水、洗井废水、压裂返排液用密闭罐车定期拉运至大湾403污水站处理达标后管输至毛开1井回注站回注；生活污水经生态厕所收集后，用作农肥，不外排。</w:t>
            </w:r>
            <w:bookmarkEnd w:id="33"/>
            <w:r>
              <w:rPr>
                <w:rFonts w:hint="default" w:ascii="Times New Roman" w:hAnsi="Times New Roman" w:cs="Times New Roman"/>
                <w:kern w:val="0"/>
                <w:sz w:val="24"/>
              </w:rPr>
              <w:t>项目钻井期间无废水外排，对周边地表水环境影响较小。</w:t>
            </w:r>
          </w:p>
          <w:p>
            <w:pPr>
              <w:adjustRightInd w:val="0"/>
              <w:snapToGrid w:val="0"/>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kern w:val="0"/>
                <w:sz w:val="24"/>
              </w:rPr>
              <w:t>本项目生活污水和钻井废水均不排入外环境，不会影响区域地表水水质</w:t>
            </w:r>
            <w:r>
              <w:rPr>
                <w:rFonts w:hint="default" w:ascii="Times New Roman" w:hAnsi="Times New Roman" w:cs="Times New Roman"/>
                <w:sz w:val="24"/>
                <w:lang w:bidi="ar"/>
              </w:rPr>
              <w:t>。</w:t>
            </w:r>
          </w:p>
          <w:p>
            <w:pPr>
              <w:adjustRightInd w:val="0"/>
              <w:snapToGrid w:val="0"/>
              <w:spacing w:line="360" w:lineRule="auto"/>
              <w:ind w:firstLine="482" w:firstLineChars="200"/>
              <w:rPr>
                <w:rFonts w:hint="default" w:ascii="Times New Roman" w:hAnsi="Times New Roman" w:cs="Times New Roman"/>
                <w:b/>
                <w:bCs/>
                <w:sz w:val="24"/>
                <w:lang w:bidi="ar"/>
              </w:rPr>
            </w:pPr>
            <w:r>
              <w:rPr>
                <w:rFonts w:hint="default" w:ascii="Times New Roman" w:hAnsi="Times New Roman" w:cs="Times New Roman"/>
                <w:b/>
                <w:bCs/>
                <w:sz w:val="24"/>
                <w:lang w:bidi="ar"/>
              </w:rPr>
              <w:t>3、声环境质量</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为了解当地声环境质量现状，2023年1月28至2023年1月29日，四川华皓检测技术有限公司对铁北1侧HF井所在地声环境质量现状进行监测。</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监测项目：等效连续A声级</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监测布点：设3个点，N1点位于项目占地范围外东侧处；</w:t>
            </w:r>
            <w:r>
              <w:rPr>
                <w:rFonts w:hint="default" w:ascii="Times New Roman" w:hAnsi="Times New Roman" w:cs="Times New Roman"/>
                <w:bCs/>
                <w:sz w:val="24"/>
              </w:rPr>
              <w:t>N2</w:t>
            </w:r>
            <w:r>
              <w:rPr>
                <w:rFonts w:hint="default" w:ascii="Times New Roman" w:hAnsi="Times New Roman" w:cs="Times New Roman"/>
                <w:sz w:val="24"/>
              </w:rPr>
              <w:t>点位于项南侧；N3点位于项目北侧厂界。</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监测频次：2天，2次/天，昼夜各一次。</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监测结果统计于下表。</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表3-5  噪声监测结果一览表</w:t>
            </w:r>
          </w:p>
          <w:tbl>
            <w:tblPr>
              <w:tblStyle w:val="4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restart"/>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监测点位</w:t>
                  </w:r>
                </w:p>
              </w:tc>
              <w:tc>
                <w:tcPr>
                  <w:tcW w:w="6078" w:type="dxa"/>
                  <w:gridSpan w:val="4"/>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监测结果（dB）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widowControl/>
                    <w:jc w:val="center"/>
                    <w:rPr>
                      <w:rFonts w:hint="default" w:ascii="Times New Roman" w:hAnsi="Times New Roman" w:cs="Times New Roman"/>
                      <w:szCs w:val="21"/>
                    </w:rPr>
                  </w:pPr>
                </w:p>
              </w:tc>
              <w:tc>
                <w:tcPr>
                  <w:tcW w:w="3038" w:type="dxa"/>
                  <w:gridSpan w:val="2"/>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2023.11.10</w:t>
                  </w:r>
                </w:p>
              </w:tc>
              <w:tc>
                <w:tcPr>
                  <w:tcW w:w="3040" w:type="dxa"/>
                  <w:gridSpan w:val="2"/>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2023.11.11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widowControl/>
                    <w:jc w:val="center"/>
                    <w:rPr>
                      <w:rFonts w:hint="default" w:ascii="Times New Roman" w:hAnsi="Times New Roman" w:cs="Times New Roman"/>
                      <w:szCs w:val="21"/>
                    </w:rPr>
                  </w:pPr>
                </w:p>
              </w:tc>
              <w:tc>
                <w:tcPr>
                  <w:tcW w:w="1518"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昼间</w:t>
                  </w:r>
                </w:p>
              </w:tc>
              <w:tc>
                <w:tcPr>
                  <w:tcW w:w="1520"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夜间</w:t>
                  </w:r>
                </w:p>
              </w:tc>
              <w:tc>
                <w:tcPr>
                  <w:tcW w:w="1518"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昼间</w:t>
                  </w:r>
                </w:p>
              </w:tc>
              <w:tc>
                <w:tcPr>
                  <w:tcW w:w="1522"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N1</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56</w:t>
                  </w:r>
                </w:p>
              </w:tc>
              <w:tc>
                <w:tcPr>
                  <w:tcW w:w="152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45</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c>
                <w:tcPr>
                  <w:tcW w:w="152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N2</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c>
                <w:tcPr>
                  <w:tcW w:w="152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44</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56</w:t>
                  </w:r>
                </w:p>
              </w:tc>
              <w:tc>
                <w:tcPr>
                  <w:tcW w:w="152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N3</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c>
                <w:tcPr>
                  <w:tcW w:w="152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44</w:t>
                  </w:r>
                </w:p>
              </w:tc>
              <w:tc>
                <w:tcPr>
                  <w:tcW w:w="151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54</w:t>
                  </w:r>
                </w:p>
              </w:tc>
              <w:tc>
                <w:tcPr>
                  <w:tcW w:w="152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518"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60</w:t>
                  </w:r>
                </w:p>
              </w:tc>
              <w:tc>
                <w:tcPr>
                  <w:tcW w:w="1520"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50</w:t>
                  </w:r>
                </w:p>
              </w:tc>
              <w:tc>
                <w:tcPr>
                  <w:tcW w:w="1518"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60</w:t>
                  </w:r>
                </w:p>
              </w:tc>
              <w:tc>
                <w:tcPr>
                  <w:tcW w:w="1522" w:type="dxa"/>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50</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bCs/>
                <w:sz w:val="24"/>
              </w:rPr>
              <w:t>由上表可知，</w:t>
            </w:r>
            <w:r>
              <w:rPr>
                <w:rFonts w:hint="default" w:ascii="Times New Roman" w:hAnsi="Times New Roman" w:cs="Times New Roman"/>
                <w:kern w:val="0"/>
                <w:sz w:val="24"/>
              </w:rPr>
              <w:t>项目区域环境噪声昼、夜间等效声级值均达到《声环境质量标准》（GB3096-2008）中的2类声环境功能区环境标准。声环境质量现状良好。</w:t>
            </w:r>
          </w:p>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rPr>
              <w:t>4、地下水环境质量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为了解项目所在地地下水现状，2023年11月10日，四川华皓检测技术有限公司对铁北1侧HF井所在地地下水质量现状进行监测。</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（1）监测点布设：设5个监测点</w:t>
            </w:r>
            <w:r>
              <w:rPr>
                <w:rFonts w:hint="default" w:ascii="Times New Roman" w:hAnsi="Times New Roman" w:cs="Times New Roman"/>
                <w:bCs/>
                <w:sz w:val="24"/>
              </w:rPr>
              <w:t>。其中D1、D2位于井场上游，D3、D4分别位于井场两侧，D5位于井场下游。监测布点符合《环境影响评价技术导则 地下水环境》中地下水环境现状监测布设原则。</w:t>
            </w:r>
          </w:p>
          <w:p>
            <w:pPr>
              <w:pStyle w:val="332"/>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lang w:val="en-US" w:eastAsia="zh-CN"/>
              </w:rPr>
              <w:t xml:space="preserve"> </w:t>
            </w:r>
            <w:r>
              <w:rPr>
                <w:rFonts w:hint="default" w:ascii="Times New Roman" w:hAnsi="Times New Roman" w:eastAsia="宋体" w:cs="Times New Roman"/>
                <w:b/>
                <w:bCs/>
                <w:kern w:val="0"/>
                <w:sz w:val="24"/>
              </w:rPr>
              <w:t xml:space="preserve"> 地下水水位监测布点表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75"/>
              <w:gridCol w:w="1000"/>
              <w:gridCol w:w="821"/>
              <w:gridCol w:w="821"/>
              <w:gridCol w:w="879"/>
              <w:gridCol w:w="25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点位</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Cs w:val="21"/>
                    </w:rPr>
                  </w:pPr>
                  <w:r>
                    <w:rPr>
                      <w:rFonts w:hint="default" w:ascii="Times New Roman" w:hAnsi="Times New Roman" w:cs="Times New Roman"/>
                      <w:color w:val="000000"/>
                      <w:spacing w:val="0"/>
                      <w:sz w:val="21"/>
                      <w:szCs w:val="21"/>
                      <w:highlight w:val="none"/>
                      <w:lang w:val="en-US" w:eastAsia="zh-CN"/>
                    </w:rPr>
                    <w:t>海拔</w:t>
                  </w:r>
                  <w:r>
                    <w:rPr>
                      <w:rFonts w:hint="default" w:ascii="Times New Roman" w:hAnsi="Times New Roman" w:cs="Times New Roman"/>
                      <w:spacing w:val="0"/>
                      <w:sz w:val="21"/>
                      <w:szCs w:val="21"/>
                      <w:highlight w:val="none"/>
                      <w:vertAlign w:val="baseline"/>
                      <w:lang w:val="en-US" w:eastAsia="zh-CN"/>
                    </w:rPr>
                    <w:t>（m）</w:t>
                  </w:r>
                </w:p>
              </w:tc>
              <w:tc>
                <w:tcPr>
                  <w:tcW w:w="1003"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Cs w:val="21"/>
                    </w:rPr>
                  </w:pPr>
                  <w:r>
                    <w:rPr>
                      <w:rFonts w:hint="default" w:ascii="Times New Roman" w:hAnsi="Times New Roman" w:cs="Times New Roman"/>
                      <w:spacing w:val="0"/>
                      <w:sz w:val="21"/>
                      <w:szCs w:val="21"/>
                      <w:highlight w:val="none"/>
                      <w:vertAlign w:val="baseline"/>
                      <w:lang w:val="en-US" w:eastAsia="zh-CN"/>
                    </w:rPr>
                    <w:t>水面至井口（m）</w:t>
                  </w:r>
                </w:p>
              </w:tc>
              <w:tc>
                <w:tcPr>
                  <w:tcW w:w="1003"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Cs w:val="21"/>
                    </w:rPr>
                  </w:pPr>
                  <w:r>
                    <w:rPr>
                      <w:rFonts w:hint="default" w:ascii="Times New Roman" w:hAnsi="Times New Roman" w:cs="Times New Roman"/>
                      <w:spacing w:val="0"/>
                      <w:sz w:val="21"/>
                      <w:szCs w:val="21"/>
                      <w:highlight w:val="none"/>
                      <w:vertAlign w:val="baseline"/>
                      <w:lang w:val="en-US" w:eastAsia="zh-CN"/>
                    </w:rPr>
                    <w:t>水位（m）</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类型</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经纬度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W1（D1）</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588</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2.07</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585.93</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E107.512245°</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N31.414677°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W2（D2）</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547</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2.02</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544.08</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E107.515572°</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N31.411077°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W3（D3）</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553</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1.98</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551.02</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E107.514612°</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N31.408287°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W4（D4）</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551</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1.95</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549.05</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E107.517347°</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N31.407035°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W5（D5）</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514</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2.05</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511.95</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E107.518294°</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N31.411789°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W6</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438</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2.01</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435.99</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E107.525446°</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N31.406279°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W7</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474</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1.93</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472.07</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E107.520075°</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N31.408229°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W8</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450</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1.96</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448.04</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E107.521997°</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N31.408166°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W9</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473</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2.05</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470.95</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E107.520825°</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N31.410421°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233"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W10</w:t>
                  </w:r>
                </w:p>
              </w:tc>
              <w:tc>
                <w:tcPr>
                  <w:tcW w:w="1000" w:type="dxa"/>
                  <w:shd w:val="clear" w:color="auto" w:fill="auto"/>
                  <w:noWrap/>
                  <w:tcMar>
                    <w:top w:w="15" w:type="dxa"/>
                    <w:left w:w="15" w:type="dxa"/>
                    <w:bottom w:w="0" w:type="dxa"/>
                    <w:right w:w="15" w:type="dxa"/>
                  </w:tcMar>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457</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2.09</w:t>
                  </w:r>
                </w:p>
              </w:tc>
              <w:tc>
                <w:tcPr>
                  <w:tcW w:w="1003" w:type="dxa"/>
                  <w:vAlign w:val="center"/>
                </w:tcPr>
                <w:p>
                  <w:pPr>
                    <w:keepNext w:val="0"/>
                    <w:keepLines w:val="0"/>
                    <w:pageBreakBefore w:val="0"/>
                    <w:widowControl w:val="0"/>
                    <w:kinsoku/>
                    <w:wordWrap/>
                    <w:overflowPunct/>
                    <w:topLinePunct w:val="0"/>
                    <w:bidi w:val="0"/>
                    <w:adjustRightInd w:val="0"/>
                    <w:snapToGrid/>
                    <w:spacing w:before="157" w:beforeLines="50" w:line="36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b w:val="0"/>
                      <w:bCs/>
                      <w:color w:val="auto"/>
                      <w:spacing w:val="0"/>
                      <w:kern w:val="2"/>
                      <w:sz w:val="21"/>
                      <w:szCs w:val="21"/>
                      <w:highlight w:val="none"/>
                      <w:lang w:val="en-US" w:eastAsia="zh-CN" w:bidi="ar-SA"/>
                    </w:rPr>
                    <w:t>454.91</w:t>
                  </w:r>
                </w:p>
              </w:tc>
              <w:tc>
                <w:tcPr>
                  <w:tcW w:w="549"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水井</w:t>
                  </w:r>
                </w:p>
              </w:tc>
              <w:tc>
                <w:tcPr>
                  <w:tcW w:w="1568" w:type="pct"/>
                  <w:shd w:val="clear" w:color="auto" w:fill="auto"/>
                  <w:noWrap/>
                  <w:tcMar>
                    <w:top w:w="15" w:type="dxa"/>
                    <w:left w:w="15" w:type="dxa"/>
                    <w:bottom w:w="0" w:type="dxa"/>
                    <w:right w:w="15" w:type="dxa"/>
                  </w:tcMar>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E107.525396°</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N31.408994°</w:t>
                  </w:r>
                </w:p>
              </w:tc>
            </w:tr>
          </w:tbl>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（2）监测因子：</w:t>
            </w:r>
          </w:p>
          <w:p>
            <w:pPr>
              <w:widowControl/>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本项目监测因子如下：</w:t>
            </w:r>
          </w:p>
          <w:p>
            <w:pPr>
              <w:widowControl/>
              <w:spacing w:line="360" w:lineRule="auto"/>
              <w:ind w:firstLine="480" w:firstLineChars="200"/>
              <w:rPr>
                <w:rFonts w:hint="default" w:ascii="Times New Roman" w:hAnsi="Times New Roman" w:eastAsia="附件" w:cs="Times New Roman"/>
                <w:bCs/>
                <w:sz w:val="24"/>
              </w:rPr>
            </w:pPr>
            <w:r>
              <w:rPr>
                <w:rFonts w:hint="default" w:ascii="Times New Roman" w:hAnsi="Times New Roman" w:cs="Times New Roman"/>
                <w:bCs/>
                <w:sz w:val="24"/>
              </w:rPr>
              <w:t>基本水质因子：</w:t>
            </w:r>
            <w:r>
              <w:rPr>
                <w:rFonts w:hint="default" w:ascii="Times New Roman" w:hAnsi="Times New Roman" w:eastAsia="附件" w:cs="Times New Roman"/>
                <w:bCs/>
                <w:sz w:val="24"/>
              </w:rPr>
              <w:t>pH、总硬度、溶解性总固体、硫酸盐、氯化物、铁、锰、挥发性酚类、耗氧量、氨氮、硫化物、硝酸盐、亚硝酸盐、氰化物、氟化物、汞、砷、镉、铬（六价）、铅、石油类、总大肠菌群。</w:t>
            </w:r>
          </w:p>
          <w:p>
            <w:pPr>
              <w:widowControl/>
              <w:spacing w:line="360" w:lineRule="auto"/>
              <w:ind w:firstLine="480" w:firstLineChars="200"/>
              <w:rPr>
                <w:rFonts w:hint="default" w:ascii="Times New Roman" w:hAnsi="Times New Roman" w:eastAsia="附件" w:cs="Times New Roman"/>
                <w:bCs/>
                <w:sz w:val="24"/>
              </w:rPr>
            </w:pPr>
            <w:r>
              <w:rPr>
                <w:rFonts w:hint="default" w:ascii="Times New Roman" w:hAnsi="Times New Roman" w:eastAsia="附件" w:cs="Times New Roman"/>
                <w:sz w:val="24"/>
              </w:rPr>
              <w:t>八大离子：Na</w:t>
            </w:r>
            <w:r>
              <w:rPr>
                <w:rFonts w:hint="default" w:ascii="Times New Roman" w:hAnsi="Times New Roman" w:eastAsia="附件" w:cs="Times New Roman"/>
                <w:sz w:val="24"/>
                <w:vertAlign w:val="superscript"/>
              </w:rPr>
              <w:t>+</w:t>
            </w:r>
            <w:r>
              <w:rPr>
                <w:rFonts w:hint="default" w:ascii="Times New Roman" w:hAnsi="Times New Roman" w:eastAsia="附件" w:cs="Times New Roman"/>
                <w:sz w:val="24"/>
              </w:rPr>
              <w:t>、K</w:t>
            </w:r>
            <w:r>
              <w:rPr>
                <w:rFonts w:hint="default" w:ascii="Times New Roman" w:hAnsi="Times New Roman" w:eastAsia="附件" w:cs="Times New Roman"/>
                <w:sz w:val="24"/>
                <w:vertAlign w:val="superscript"/>
              </w:rPr>
              <w:t>+</w:t>
            </w:r>
            <w:r>
              <w:rPr>
                <w:rFonts w:hint="default" w:ascii="Times New Roman" w:hAnsi="Times New Roman" w:eastAsia="附件" w:cs="Times New Roman"/>
                <w:sz w:val="24"/>
              </w:rPr>
              <w:t>、Ca</w:t>
            </w:r>
            <w:r>
              <w:rPr>
                <w:rFonts w:hint="default" w:ascii="Times New Roman" w:hAnsi="Times New Roman" w:eastAsia="附件" w:cs="Times New Roman"/>
                <w:sz w:val="24"/>
                <w:vertAlign w:val="superscript"/>
              </w:rPr>
              <w:t>2+</w:t>
            </w:r>
            <w:r>
              <w:rPr>
                <w:rFonts w:hint="default" w:ascii="Times New Roman" w:hAnsi="Times New Roman" w:eastAsia="附件" w:cs="Times New Roman"/>
                <w:sz w:val="24"/>
              </w:rPr>
              <w:t>、Mg</w:t>
            </w:r>
            <w:r>
              <w:rPr>
                <w:rFonts w:hint="default" w:ascii="Times New Roman" w:hAnsi="Times New Roman" w:eastAsia="附件" w:cs="Times New Roman"/>
                <w:sz w:val="24"/>
                <w:vertAlign w:val="superscript"/>
              </w:rPr>
              <w:t>2+</w:t>
            </w:r>
            <w:r>
              <w:rPr>
                <w:rFonts w:hint="default" w:ascii="Times New Roman" w:hAnsi="Times New Roman" w:eastAsia="附件" w:cs="Times New Roman"/>
                <w:sz w:val="24"/>
              </w:rPr>
              <w:t>、CO</w:t>
            </w:r>
            <w:r>
              <w:rPr>
                <w:rFonts w:hint="default" w:ascii="Times New Roman" w:hAnsi="Times New Roman" w:eastAsia="附件" w:cs="Times New Roman"/>
                <w:sz w:val="24"/>
                <w:vertAlign w:val="subscript"/>
              </w:rPr>
              <w:t>3</w:t>
            </w:r>
            <w:r>
              <w:rPr>
                <w:rFonts w:hint="default" w:ascii="Times New Roman" w:hAnsi="Times New Roman" w:eastAsia="附件" w:cs="Times New Roman"/>
                <w:sz w:val="24"/>
                <w:vertAlign w:val="superscript"/>
              </w:rPr>
              <w:t>2-</w:t>
            </w:r>
            <w:r>
              <w:rPr>
                <w:rFonts w:hint="default" w:ascii="Times New Roman" w:hAnsi="Times New Roman" w:eastAsia="附件" w:cs="Times New Roman"/>
                <w:sz w:val="24"/>
              </w:rPr>
              <w:t>、HCO</w:t>
            </w:r>
            <w:r>
              <w:rPr>
                <w:rFonts w:hint="default" w:ascii="Times New Roman" w:hAnsi="Times New Roman" w:eastAsia="附件" w:cs="Times New Roman"/>
                <w:sz w:val="24"/>
                <w:vertAlign w:val="subscript"/>
              </w:rPr>
              <w:t>3</w:t>
            </w:r>
            <w:r>
              <w:rPr>
                <w:rFonts w:hint="default" w:ascii="Times New Roman" w:hAnsi="Times New Roman" w:eastAsia="附件" w:cs="Times New Roman"/>
                <w:sz w:val="24"/>
                <w:vertAlign w:val="superscript"/>
              </w:rPr>
              <w:t>-</w:t>
            </w:r>
            <w:r>
              <w:rPr>
                <w:rFonts w:hint="default" w:ascii="Times New Roman" w:hAnsi="Times New Roman" w:eastAsia="附件" w:cs="Times New Roman"/>
                <w:sz w:val="24"/>
              </w:rPr>
              <w:t>、Cl</w:t>
            </w:r>
            <w:r>
              <w:rPr>
                <w:rFonts w:hint="default" w:ascii="Times New Roman" w:hAnsi="Times New Roman" w:eastAsia="附件" w:cs="Times New Roman"/>
                <w:sz w:val="24"/>
                <w:vertAlign w:val="superscript"/>
              </w:rPr>
              <w:t>-</w:t>
            </w:r>
            <w:r>
              <w:rPr>
                <w:rFonts w:hint="default" w:ascii="Times New Roman" w:hAnsi="Times New Roman" w:eastAsia="附件" w:cs="Times New Roman"/>
                <w:sz w:val="24"/>
              </w:rPr>
              <w:t>、SO</w:t>
            </w:r>
            <w:r>
              <w:rPr>
                <w:rFonts w:hint="default" w:ascii="Times New Roman" w:hAnsi="Times New Roman" w:eastAsia="附件" w:cs="Times New Roman"/>
                <w:sz w:val="24"/>
                <w:vertAlign w:val="subscript"/>
              </w:rPr>
              <w:t>4</w:t>
            </w:r>
            <w:r>
              <w:rPr>
                <w:rFonts w:hint="default" w:ascii="Times New Roman" w:hAnsi="Times New Roman" w:eastAsia="附件" w:cs="Times New Roman"/>
                <w:sz w:val="24"/>
                <w:vertAlign w:val="superscript"/>
              </w:rPr>
              <w:t>2-</w:t>
            </w:r>
            <w:r>
              <w:rPr>
                <w:rFonts w:hint="default" w:ascii="Times New Roman" w:hAnsi="Times New Roman" w:eastAsia="附件" w:cs="Times New Roman"/>
                <w:sz w:val="24"/>
              </w:rPr>
              <w:t>。</w:t>
            </w:r>
          </w:p>
          <w:p>
            <w:pPr>
              <w:autoSpaceDE w:val="0"/>
              <w:autoSpaceDN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特征因子：石油类、硫化物、氯化物。</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（3）监测频次：监测1天，每天采样1次。</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（4）评价标准：《地下水质量标准》(GB/T 14848—2017)中Ⅲ类标准。</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（5）评价方法：根据《环境影响评价技术导则 地下水环境》（HJ610-2016），地下水环境质量现状评价方法采用标准指数法，除pH值外，其它水质参数的单项标准指数S</w:t>
            </w:r>
            <w:r>
              <w:rPr>
                <w:rFonts w:hint="default" w:ascii="Times New Roman" w:hAnsi="Times New Roman" w:cs="Times New Roman"/>
                <w:kern w:val="0"/>
                <w:sz w:val="24"/>
                <w:vertAlign w:val="subscript"/>
              </w:rPr>
              <w:t>i</w:t>
            </w:r>
            <w:r>
              <w:rPr>
                <w:rFonts w:hint="default" w:ascii="Times New Roman" w:hAnsi="Times New Roman" w:cs="Times New Roman"/>
                <w:kern w:val="0"/>
                <w:sz w:val="24"/>
              </w:rPr>
              <w:t>为：</w:t>
            </w:r>
          </w:p>
          <w:p>
            <w:pPr>
              <w:autoSpaceDE w:val="0"/>
              <w:autoSpaceDN w:val="0"/>
              <w:adjustRightInd w:val="0"/>
              <w:spacing w:line="360" w:lineRule="auto"/>
              <w:ind w:firstLine="200"/>
              <w:jc w:val="center"/>
              <w:rPr>
                <w:rFonts w:hint="default" w:ascii="Times New Roman" w:hAnsi="Times New Roman" w:cs="Times New Roman"/>
                <w:kern w:val="0"/>
                <w:sz w:val="24"/>
              </w:rPr>
            </w:pPr>
            <w:r>
              <w:rPr>
                <w:rFonts w:hint="default" w:ascii="Times New Roman" w:hAnsi="Times New Roman" w:cs="Times New Roman"/>
                <w:kern w:val="0"/>
                <w:sz w:val="24"/>
              </w:rPr>
              <w:t>S</w:t>
            </w:r>
            <w:r>
              <w:rPr>
                <w:rFonts w:hint="default" w:ascii="Times New Roman" w:hAnsi="Times New Roman" w:cs="Times New Roman"/>
                <w:kern w:val="0"/>
                <w:sz w:val="24"/>
                <w:vertAlign w:val="subscript"/>
              </w:rPr>
              <w:t>i</w:t>
            </w:r>
            <w:r>
              <w:rPr>
                <w:rFonts w:hint="default" w:ascii="Times New Roman" w:hAnsi="Times New Roman" w:cs="Times New Roman"/>
                <w:kern w:val="0"/>
                <w:sz w:val="24"/>
              </w:rPr>
              <w:t>=C</w:t>
            </w:r>
            <w:r>
              <w:rPr>
                <w:rFonts w:hint="default" w:ascii="Times New Roman" w:hAnsi="Times New Roman" w:cs="Times New Roman"/>
                <w:kern w:val="0"/>
                <w:sz w:val="24"/>
                <w:vertAlign w:val="subscript"/>
              </w:rPr>
              <w:t>i</w:t>
            </w:r>
            <w:r>
              <w:rPr>
                <w:rFonts w:hint="default" w:ascii="Times New Roman" w:hAnsi="Times New Roman" w:cs="Times New Roman"/>
                <w:kern w:val="0"/>
                <w:sz w:val="24"/>
              </w:rPr>
              <w:t>/C</w:t>
            </w:r>
            <w:r>
              <w:rPr>
                <w:rFonts w:hint="default" w:ascii="Times New Roman" w:hAnsi="Times New Roman" w:cs="Times New Roman"/>
                <w:kern w:val="0"/>
                <w:sz w:val="24"/>
                <w:vertAlign w:val="subscript"/>
              </w:rPr>
              <w:t>0i</w:t>
            </w:r>
          </w:p>
          <w:p>
            <w:pPr>
              <w:autoSpaceDE w:val="0"/>
              <w:autoSpaceDN w:val="0"/>
              <w:adjustRightIn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式中：C</w:t>
            </w:r>
            <w:r>
              <w:rPr>
                <w:rFonts w:hint="default" w:ascii="Times New Roman" w:hAnsi="Times New Roman" w:cs="Times New Roman"/>
                <w:kern w:val="0"/>
                <w:sz w:val="24"/>
                <w:vertAlign w:val="subscript"/>
              </w:rPr>
              <w:t>i</w:t>
            </w:r>
            <w:r>
              <w:rPr>
                <w:rFonts w:hint="default" w:ascii="Times New Roman" w:hAnsi="Times New Roman" w:cs="Times New Roman"/>
                <w:kern w:val="0"/>
                <w:sz w:val="24"/>
              </w:rPr>
              <w:t>——第i种污染物实测浓度值，mg/L；</w:t>
            </w:r>
          </w:p>
          <w:p>
            <w:pPr>
              <w:autoSpaceDE w:val="0"/>
              <w:autoSpaceDN w:val="0"/>
              <w:adjustRightInd w:val="0"/>
              <w:spacing w:line="360" w:lineRule="auto"/>
              <w:ind w:firstLine="1200" w:firstLineChars="500"/>
              <w:rPr>
                <w:rFonts w:hint="default" w:ascii="Times New Roman" w:hAnsi="Times New Roman" w:cs="Times New Roman"/>
                <w:kern w:val="0"/>
                <w:sz w:val="24"/>
              </w:rPr>
            </w:pPr>
            <w:r>
              <w:rPr>
                <w:rFonts w:hint="default" w:ascii="Times New Roman" w:hAnsi="Times New Roman" w:cs="Times New Roman"/>
                <w:kern w:val="0"/>
                <w:sz w:val="24"/>
              </w:rPr>
              <w:t>C</w:t>
            </w:r>
            <w:r>
              <w:rPr>
                <w:rFonts w:hint="default" w:ascii="Times New Roman" w:hAnsi="Times New Roman" w:cs="Times New Roman"/>
                <w:kern w:val="0"/>
                <w:sz w:val="24"/>
                <w:vertAlign w:val="subscript"/>
              </w:rPr>
              <w:t>0i</w:t>
            </w:r>
            <w:r>
              <w:rPr>
                <w:rFonts w:hint="default" w:ascii="Times New Roman" w:hAnsi="Times New Roman" w:cs="Times New Roman"/>
                <w:kern w:val="0"/>
                <w:sz w:val="24"/>
              </w:rPr>
              <w:t>——第i种污染物在GB3838-2002中III类标准值，mg/L；</w:t>
            </w:r>
          </w:p>
          <w:p>
            <w:pPr>
              <w:autoSpaceDE w:val="0"/>
              <w:autoSpaceDN w:val="0"/>
              <w:adjustRightIn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pH的标准指数S</w:t>
            </w:r>
            <w:r>
              <w:rPr>
                <w:rFonts w:hint="default" w:ascii="Times New Roman" w:hAnsi="Times New Roman" w:cs="Times New Roman"/>
                <w:kern w:val="0"/>
                <w:sz w:val="24"/>
                <w:vertAlign w:val="subscript"/>
              </w:rPr>
              <w:t>pH</w:t>
            </w:r>
            <w:r>
              <w:rPr>
                <w:rFonts w:hint="default" w:ascii="Times New Roman" w:hAnsi="Times New Roman" w:cs="Times New Roman"/>
                <w:kern w:val="0"/>
                <w:sz w:val="24"/>
              </w:rPr>
              <w:t>为：</w:t>
            </w:r>
          </w:p>
          <w:p>
            <w:pPr>
              <w:autoSpaceDE w:val="0"/>
              <w:autoSpaceDN w:val="0"/>
              <w:adjustRightInd w:val="0"/>
              <w:spacing w:line="360" w:lineRule="auto"/>
              <w:jc w:val="center"/>
              <w:rPr>
                <w:rFonts w:hint="default" w:ascii="Times New Roman" w:hAnsi="Times New Roman" w:cs="Times New Roman"/>
                <w:kern w:val="0"/>
                <w:sz w:val="24"/>
              </w:rPr>
            </w:pPr>
            <w:r>
              <w:rPr>
                <w:rFonts w:hint="default" w:ascii="Times New Roman" w:hAnsi="Times New Roman" w:cs="Times New Roman"/>
                <w:kern w:val="0"/>
                <w:sz w:val="24"/>
              </w:rPr>
              <w:t>当pH≤7.0  SpH=（7.0-pH）/（7.0-pH</w:t>
            </w:r>
            <w:r>
              <w:rPr>
                <w:rFonts w:hint="default" w:ascii="Times New Roman" w:hAnsi="Times New Roman" w:cs="Times New Roman"/>
                <w:kern w:val="0"/>
                <w:sz w:val="24"/>
                <w:vertAlign w:val="subscript"/>
              </w:rPr>
              <w:t>sd</w:t>
            </w:r>
            <w:r>
              <w:rPr>
                <w:rFonts w:hint="default" w:ascii="Times New Roman" w:hAnsi="Times New Roman" w:cs="Times New Roman"/>
                <w:kern w:val="0"/>
                <w:sz w:val="24"/>
              </w:rPr>
              <w:t>）</w:t>
            </w:r>
          </w:p>
          <w:p>
            <w:pPr>
              <w:autoSpaceDE w:val="0"/>
              <w:autoSpaceDN w:val="0"/>
              <w:adjustRightInd w:val="0"/>
              <w:spacing w:line="360" w:lineRule="auto"/>
              <w:jc w:val="center"/>
              <w:rPr>
                <w:rFonts w:hint="default" w:ascii="Times New Roman" w:hAnsi="Times New Roman" w:cs="Times New Roman"/>
                <w:kern w:val="0"/>
                <w:sz w:val="24"/>
              </w:rPr>
            </w:pPr>
            <w:r>
              <w:rPr>
                <w:rFonts w:hint="default" w:ascii="Times New Roman" w:hAnsi="Times New Roman" w:cs="Times New Roman"/>
                <w:kern w:val="0"/>
                <w:sz w:val="24"/>
              </w:rPr>
              <w:t>当pH≥7.0  SpH=（pH-7.0）/（pH</w:t>
            </w:r>
            <w:r>
              <w:rPr>
                <w:rFonts w:hint="default" w:ascii="Times New Roman" w:hAnsi="Times New Roman" w:cs="Times New Roman"/>
                <w:kern w:val="0"/>
                <w:sz w:val="24"/>
                <w:vertAlign w:val="subscript"/>
              </w:rPr>
              <w:t>sw</w:t>
            </w:r>
            <w:r>
              <w:rPr>
                <w:rFonts w:hint="default" w:ascii="Times New Roman" w:hAnsi="Times New Roman" w:cs="Times New Roman"/>
                <w:kern w:val="0"/>
                <w:sz w:val="24"/>
              </w:rPr>
              <w:t>-7.0）</w:t>
            </w:r>
          </w:p>
          <w:p>
            <w:pPr>
              <w:overflowPunct w:val="0"/>
              <w:autoSpaceDE w:val="0"/>
              <w:autoSpaceDN w:val="0"/>
              <w:adjustRightIn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式中：pH——实测的pH值；</w:t>
            </w:r>
          </w:p>
          <w:p>
            <w:pPr>
              <w:autoSpaceDE w:val="0"/>
              <w:autoSpaceDN w:val="0"/>
              <w:adjustRightInd w:val="0"/>
              <w:spacing w:line="360" w:lineRule="auto"/>
              <w:ind w:firstLine="1200" w:firstLineChars="500"/>
              <w:rPr>
                <w:rFonts w:hint="default" w:ascii="Times New Roman" w:hAnsi="Times New Roman" w:cs="Times New Roman"/>
                <w:kern w:val="0"/>
                <w:sz w:val="24"/>
              </w:rPr>
            </w:pPr>
            <w:r>
              <w:rPr>
                <w:rFonts w:hint="default" w:ascii="Times New Roman" w:hAnsi="Times New Roman" w:cs="Times New Roman"/>
                <w:kern w:val="0"/>
                <w:sz w:val="24"/>
              </w:rPr>
              <w:t>pH</w:t>
            </w:r>
            <w:r>
              <w:rPr>
                <w:rFonts w:hint="default" w:ascii="Times New Roman" w:hAnsi="Times New Roman" w:cs="Times New Roman"/>
                <w:kern w:val="0"/>
                <w:sz w:val="24"/>
                <w:vertAlign w:val="subscript"/>
              </w:rPr>
              <w:t>sd</w:t>
            </w:r>
            <w:r>
              <w:rPr>
                <w:rFonts w:hint="default" w:ascii="Times New Roman" w:hAnsi="Times New Roman" w:cs="Times New Roman"/>
                <w:kern w:val="0"/>
                <w:sz w:val="24"/>
              </w:rPr>
              <w:t>——地表水质量标准中规定的pH值下限；</w:t>
            </w:r>
          </w:p>
          <w:p>
            <w:pPr>
              <w:autoSpaceDE w:val="0"/>
              <w:autoSpaceDN w:val="0"/>
              <w:adjustRightInd w:val="0"/>
              <w:spacing w:line="360" w:lineRule="auto"/>
              <w:ind w:firstLine="1200" w:firstLineChars="500"/>
              <w:rPr>
                <w:rFonts w:hint="default" w:ascii="Times New Roman" w:hAnsi="Times New Roman" w:cs="Times New Roman"/>
                <w:kern w:val="0"/>
                <w:sz w:val="24"/>
              </w:rPr>
            </w:pPr>
            <w:r>
              <w:rPr>
                <w:rFonts w:hint="default" w:ascii="Times New Roman" w:hAnsi="Times New Roman" w:cs="Times New Roman"/>
                <w:kern w:val="0"/>
                <w:sz w:val="24"/>
              </w:rPr>
              <w:t>pH</w:t>
            </w:r>
            <w:r>
              <w:rPr>
                <w:rFonts w:hint="default" w:ascii="Times New Roman" w:hAnsi="Times New Roman" w:cs="Times New Roman"/>
                <w:kern w:val="0"/>
                <w:sz w:val="24"/>
                <w:vertAlign w:val="subscript"/>
              </w:rPr>
              <w:t>sw</w:t>
            </w:r>
            <w:r>
              <w:rPr>
                <w:rFonts w:hint="default" w:ascii="Times New Roman" w:hAnsi="Times New Roman" w:cs="Times New Roman"/>
                <w:kern w:val="0"/>
                <w:sz w:val="24"/>
              </w:rPr>
              <w:t>——地表水质量标准中规定的pH值上限。</w:t>
            </w:r>
          </w:p>
          <w:p>
            <w:pPr>
              <w:autoSpaceDE w:val="0"/>
              <w:autoSpaceDN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地下水环境质量监测结果及评价结果见下表。</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表3-</w:t>
            </w:r>
            <w:r>
              <w:rPr>
                <w:rFonts w:hint="default" w:ascii="Times New Roman" w:hAnsi="Times New Roman" w:cs="Times New Roman"/>
                <w:b/>
                <w:bCs/>
                <w:kern w:val="0"/>
                <w:sz w:val="24"/>
                <w:lang w:val="en-US" w:eastAsia="zh-CN"/>
              </w:rPr>
              <w:t>7</w:t>
            </w:r>
            <w:r>
              <w:rPr>
                <w:rFonts w:hint="default" w:ascii="Times New Roman" w:hAnsi="Times New Roman" w:cs="Times New Roman"/>
                <w:b/>
                <w:bCs/>
                <w:kern w:val="0"/>
                <w:sz w:val="24"/>
              </w:rPr>
              <w:t xml:space="preserve">  </w:t>
            </w:r>
            <w:r>
              <w:rPr>
                <w:rFonts w:hint="default" w:ascii="Times New Roman" w:hAnsi="Times New Roman" w:eastAsia="宋体" w:cs="Times New Roman"/>
                <w:b/>
                <w:bCs/>
                <w:kern w:val="0"/>
                <w:sz w:val="24"/>
              </w:rPr>
              <w:t>地下水</w:t>
            </w:r>
            <w:r>
              <w:rPr>
                <w:rFonts w:hint="default" w:ascii="Times New Roman" w:hAnsi="Times New Roman" w:cs="Times New Roman"/>
                <w:b/>
                <w:bCs/>
                <w:kern w:val="0"/>
                <w:sz w:val="24"/>
              </w:rPr>
              <w:t>环境现状监测及评价结果（单位：mg/L，pH无量纲）</w:t>
            </w:r>
          </w:p>
          <w:tbl>
            <w:tblPr>
              <w:tblStyle w:val="44"/>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bCs/>
                      <w:szCs w:val="21"/>
                    </w:rPr>
                    <w:t>监测时间</w:t>
                  </w:r>
                </w:p>
              </w:tc>
              <w:tc>
                <w:tcPr>
                  <w:tcW w:w="805" w:type="dxa"/>
                  <w:vMerge w:val="restart"/>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bCs/>
                      <w:szCs w:val="21"/>
                    </w:rPr>
                    <w:t>监测项目</w:t>
                  </w:r>
                </w:p>
              </w:tc>
              <w:tc>
                <w:tcPr>
                  <w:tcW w:w="740" w:type="dxa"/>
                  <w:vMerge w:val="restart"/>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单位</w:t>
                  </w:r>
                </w:p>
              </w:tc>
              <w:tc>
                <w:tcPr>
                  <w:tcW w:w="3663" w:type="dxa"/>
                  <w:gridSpan w:val="5"/>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Cs/>
                      <w:szCs w:val="21"/>
                    </w:rPr>
                    <w:t>监测点位</w:t>
                  </w:r>
                </w:p>
              </w:tc>
              <w:tc>
                <w:tcPr>
                  <w:tcW w:w="789" w:type="dxa"/>
                  <w:vMerge w:val="restar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Ⅲ类</w:t>
                  </w:r>
                </w:p>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
                      <w:bCs/>
                      <w:szCs w:val="21"/>
                    </w:rPr>
                    <w:t>标准值</w:t>
                  </w:r>
                </w:p>
              </w:tc>
              <w:tc>
                <w:tcPr>
                  <w:tcW w:w="790" w:type="dxa"/>
                  <w:vMerge w:val="restart"/>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最大标准指数值</w:t>
                  </w:r>
                </w:p>
              </w:tc>
              <w:tc>
                <w:tcPr>
                  <w:tcW w:w="673" w:type="dxa"/>
                  <w:vMerge w:val="restar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超标率</w:t>
                  </w:r>
                </w:p>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740"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726"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D1</w:t>
                  </w:r>
                </w:p>
              </w:tc>
              <w:tc>
                <w:tcPr>
                  <w:tcW w:w="677"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D2</w:t>
                  </w:r>
                </w:p>
              </w:tc>
              <w:tc>
                <w:tcPr>
                  <w:tcW w:w="677"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D3</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D4</w:t>
                  </w:r>
                </w:p>
              </w:tc>
              <w:tc>
                <w:tcPr>
                  <w:tcW w:w="794"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D5</w:t>
                  </w:r>
                </w:p>
              </w:tc>
              <w:tc>
                <w:tcPr>
                  <w:tcW w:w="789"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790"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673"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2023.11.10</w:t>
                  </w:r>
                </w:p>
              </w:tc>
              <w:tc>
                <w:tcPr>
                  <w:tcW w:w="805"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pH</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无量纲</w:t>
                  </w:r>
                </w:p>
              </w:tc>
              <w:tc>
                <w:tcPr>
                  <w:tcW w:w="726"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7.4</w:t>
                  </w:r>
                </w:p>
              </w:tc>
              <w:tc>
                <w:tcPr>
                  <w:tcW w:w="67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rPr>
                    <w:t>7.4</w:t>
                  </w:r>
                </w:p>
              </w:tc>
              <w:tc>
                <w:tcPr>
                  <w:tcW w:w="67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7.3</w:t>
                  </w:r>
                </w:p>
              </w:tc>
              <w:tc>
                <w:tcPr>
                  <w:tcW w:w="78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7.5</w:t>
                  </w:r>
                </w:p>
              </w:tc>
              <w:tc>
                <w:tcPr>
                  <w:tcW w:w="794"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7.6</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6.5-8.5</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0.13</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溶解性总固体</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282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222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215</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219</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212</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1000mg/L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0.94 </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耗氧量</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jc w:val="center"/>
                    <w:rPr>
                      <w:rFonts w:hint="default" w:ascii="Times New Roman" w:hAnsi="Times New Roman" w:cs="Times New Roman"/>
                      <w:bCs/>
                      <w:kern w:val="0"/>
                      <w:szCs w:val="21"/>
                    </w:rPr>
                  </w:pPr>
                  <w:r>
                    <w:rPr>
                      <w:rFonts w:hint="default" w:ascii="Times New Roman" w:hAnsi="Times New Roman" w:cs="Times New Roman"/>
                      <w:kern w:val="0"/>
                      <w:szCs w:val="21"/>
                      <w:lang w:bidi="ar"/>
                    </w:rPr>
                    <w:t>0.74</w:t>
                  </w:r>
                </w:p>
              </w:tc>
              <w:tc>
                <w:tcPr>
                  <w:tcW w:w="677" w:type="dxa"/>
                  <w:tcBorders>
                    <w:tl2br w:val="nil"/>
                    <w:tr2bl w:val="nil"/>
                  </w:tcBorders>
                  <w:vAlign w:val="center"/>
                </w:tcPr>
                <w:p>
                  <w:pPr>
                    <w:jc w:val="center"/>
                    <w:rPr>
                      <w:rFonts w:hint="default" w:ascii="Times New Roman" w:hAnsi="Times New Roman" w:cs="Times New Roman"/>
                      <w:bCs/>
                      <w:kern w:val="0"/>
                      <w:szCs w:val="21"/>
                    </w:rPr>
                  </w:pPr>
                  <w:r>
                    <w:rPr>
                      <w:rFonts w:hint="default" w:ascii="Times New Roman" w:hAnsi="Times New Roman" w:cs="Times New Roman"/>
                      <w:bCs/>
                      <w:szCs w:val="21"/>
                    </w:rPr>
                    <w:t>0.66</w:t>
                  </w:r>
                </w:p>
              </w:tc>
              <w:tc>
                <w:tcPr>
                  <w:tcW w:w="677" w:type="dxa"/>
                  <w:tcBorders>
                    <w:tl2br w:val="nil"/>
                    <w:tr2bl w:val="nil"/>
                  </w:tcBorders>
                  <w:vAlign w:val="center"/>
                </w:tcPr>
                <w:p>
                  <w:pPr>
                    <w:jc w:val="center"/>
                    <w:rPr>
                      <w:rFonts w:hint="default" w:ascii="Times New Roman" w:hAnsi="Times New Roman" w:cs="Times New Roman"/>
                      <w:bCs/>
                      <w:kern w:val="0"/>
                      <w:szCs w:val="21"/>
                    </w:rPr>
                  </w:pPr>
                  <w:r>
                    <w:rPr>
                      <w:rFonts w:hint="default" w:ascii="Times New Roman" w:hAnsi="Times New Roman" w:cs="Times New Roman"/>
                      <w:bCs/>
                      <w:szCs w:val="21"/>
                    </w:rPr>
                    <w:t>0.56</w:t>
                  </w:r>
                </w:p>
              </w:tc>
              <w:tc>
                <w:tcPr>
                  <w:tcW w:w="789" w:type="dxa"/>
                  <w:tcBorders>
                    <w:tl2br w:val="nil"/>
                    <w:tr2bl w:val="nil"/>
                  </w:tcBorders>
                  <w:vAlign w:val="center"/>
                </w:tcPr>
                <w:p>
                  <w:pPr>
                    <w:jc w:val="center"/>
                    <w:rPr>
                      <w:rFonts w:hint="default" w:ascii="Times New Roman" w:hAnsi="Times New Roman" w:cs="Times New Roman"/>
                      <w:bCs/>
                      <w:kern w:val="0"/>
                      <w:szCs w:val="21"/>
                    </w:rPr>
                  </w:pPr>
                  <w:r>
                    <w:rPr>
                      <w:rFonts w:hint="default" w:ascii="Times New Roman" w:hAnsi="Times New Roman" w:cs="Times New Roman"/>
                      <w:bCs/>
                      <w:szCs w:val="21"/>
                    </w:rPr>
                    <w:t>0.45</w:t>
                  </w:r>
                </w:p>
              </w:tc>
              <w:tc>
                <w:tcPr>
                  <w:tcW w:w="794" w:type="dxa"/>
                  <w:tcBorders>
                    <w:tl2br w:val="nil"/>
                    <w:tr2bl w:val="nil"/>
                  </w:tcBorders>
                  <w:vAlign w:val="center"/>
                </w:tcPr>
                <w:p>
                  <w:pPr>
                    <w:jc w:val="center"/>
                    <w:rPr>
                      <w:rFonts w:hint="default" w:ascii="Times New Roman" w:hAnsi="Times New Roman" w:cs="Times New Roman"/>
                      <w:bCs/>
                      <w:kern w:val="0"/>
                      <w:szCs w:val="21"/>
                    </w:rPr>
                  </w:pPr>
                  <w:r>
                    <w:rPr>
                      <w:rFonts w:hint="default" w:ascii="Times New Roman" w:hAnsi="Times New Roman" w:cs="Times New Roman"/>
                      <w:bCs/>
                      <w:szCs w:val="21"/>
                    </w:rPr>
                    <w:t>0.78</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3.0mg/L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0.26 </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总硬度</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198</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175</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178</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169</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165</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450mg/L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0.99 </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碳酸根</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bCs/>
                      <w:szCs w:val="21"/>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重碳酸根</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151</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102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166</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126</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112</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bCs/>
                      <w:szCs w:val="21"/>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铬（六价）</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0.05mg/L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氰化物</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0.05mg/L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挥发酚</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0.002mg/L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Cs/>
                      <w:szCs w:val="21"/>
                    </w:rPr>
                  </w:pPr>
                </w:p>
              </w:tc>
              <w:tc>
                <w:tcPr>
                  <w:tcW w:w="805" w:type="dxa"/>
                  <w:tcBorders>
                    <w:tl2br w:val="nil"/>
                    <w:tr2bl w:val="nil"/>
                  </w:tcBorders>
                  <w:vAlign w:val="center"/>
                </w:tcPr>
                <w:p>
                  <w:pPr>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氨氮</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0.194</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0.277</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0.163</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0.212</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0.235</w:t>
                  </w:r>
                </w:p>
              </w:tc>
              <w:tc>
                <w:tcPr>
                  <w:tcW w:w="789"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0.50mg/L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硫化物</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0.02mg/L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石油类</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bidi="ar"/>
                    </w:rPr>
                    <w:t>氟化物（氟离子）</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0.21</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0.24</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0.30</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0.37</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0.45</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1.0</w:t>
                  </w:r>
                  <w:r>
                    <w:rPr>
                      <w:rFonts w:hint="default" w:ascii="Times New Roman" w:hAnsi="Times New Roman" w:cs="Times New Roman"/>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0.33 </w:t>
                  </w:r>
                </w:p>
              </w:tc>
              <w:tc>
                <w:tcPr>
                  <w:tcW w:w="673" w:type="dxa"/>
                  <w:tcBorders>
                    <w:tl2br w:val="nil"/>
                    <w:tr2bl w:val="nil"/>
                  </w:tcBorders>
                  <w:vAlign w:val="center"/>
                </w:tcPr>
                <w:p>
                  <w:pPr>
                    <w:snapToGrid w:val="0"/>
                    <w:jc w:val="center"/>
                    <w:rPr>
                      <w:rFonts w:hint="default" w:ascii="Times New Roman" w:hAnsi="Times New Roman" w:cs="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亚硝酸盐氮（亚硝酸根）</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1.00</w:t>
                  </w:r>
                  <w:r>
                    <w:rPr>
                      <w:rFonts w:hint="default" w:ascii="Times New Roman" w:hAnsi="Times New Roman" w:cs="Times New Roman"/>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0.00 </w:t>
                  </w:r>
                </w:p>
              </w:tc>
              <w:tc>
                <w:tcPr>
                  <w:tcW w:w="673" w:type="dxa"/>
                  <w:tcBorders>
                    <w:tl2br w:val="nil"/>
                    <w:tr2bl w:val="nil"/>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硝酸盐氮（硝酸根）</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6.48</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7.26</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3.38</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5.27</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6.26</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20.0mg/L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0.99 </w:t>
                  </w:r>
                </w:p>
              </w:tc>
              <w:tc>
                <w:tcPr>
                  <w:tcW w:w="673" w:type="dxa"/>
                  <w:tcBorders>
                    <w:tl2br w:val="nil"/>
                    <w:tr2bl w:val="nil"/>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sz w:val="18"/>
                      <w:szCs w:val="18"/>
                      <w:shd w:val="clear" w:color="auto" w:fill="FFFFFF"/>
                    </w:rPr>
                    <w:t>硫酸盐（硫酸根）</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40.2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26.1</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30.1</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27.4</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32.9</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250mg/L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0.26 </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 w:val="18"/>
                      <w:szCs w:val="18"/>
                    </w:rPr>
                  </w:pPr>
                  <w:r>
                    <w:rPr>
                      <w:rFonts w:hint="default" w:ascii="Times New Roman" w:hAnsi="Times New Roman" w:cs="Times New Roman"/>
                      <w:sz w:val="18"/>
                      <w:szCs w:val="18"/>
                      <w:shd w:val="clear" w:color="auto" w:fill="FFFFFF"/>
                    </w:rPr>
                    <w:t>氯化物（氯离子）</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40.3</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43.2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10.5</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32.0</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29.0</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250mg/L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0.30 </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bidi="ar"/>
                    </w:rPr>
                    <w:t>K</w:t>
                  </w:r>
                  <w:r>
                    <w:rPr>
                      <w:rFonts w:hint="default" w:ascii="Times New Roman" w:hAnsi="Times New Roman" w:cs="Times New Roman"/>
                      <w:kern w:val="0"/>
                      <w:szCs w:val="21"/>
                      <w:vertAlign w:val="superscript"/>
                      <w:lang w:bidi="ar"/>
                    </w:rPr>
                    <w:t>+</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1.40</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2.40</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2.05</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2.40</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2.40</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bidi="ar"/>
                    </w:rPr>
                    <w:t>Na</w:t>
                  </w:r>
                  <w:r>
                    <w:rPr>
                      <w:rFonts w:hint="default" w:ascii="Times New Roman" w:hAnsi="Times New Roman" w:cs="Times New Roman"/>
                      <w:kern w:val="0"/>
                      <w:szCs w:val="21"/>
                      <w:vertAlign w:val="superscript"/>
                      <w:lang w:bidi="ar"/>
                    </w:rPr>
                    <w:t>+</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rPr>
                    <w:t>16.2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5.85</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18.3</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5.85</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5.85</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bidi="ar"/>
                    </w:rPr>
                    <w:t>Ca</w:t>
                  </w:r>
                  <w:r>
                    <w:rPr>
                      <w:rFonts w:hint="default" w:ascii="Times New Roman" w:hAnsi="Times New Roman" w:cs="Times New Roman"/>
                      <w:kern w:val="0"/>
                      <w:szCs w:val="21"/>
                      <w:vertAlign w:val="superscript"/>
                      <w:lang w:bidi="ar"/>
                    </w:rPr>
                    <w:t>2+</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43.0</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36.2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36.4</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36.3</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36.4</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bidi="ar"/>
                    </w:rPr>
                    <w:t>Mg</w:t>
                  </w:r>
                  <w:r>
                    <w:rPr>
                      <w:rFonts w:hint="default" w:ascii="Times New Roman" w:hAnsi="Times New Roman" w:cs="Times New Roman"/>
                      <w:kern w:val="0"/>
                      <w:szCs w:val="21"/>
                      <w:vertAlign w:val="superscript"/>
                      <w:lang w:bidi="ar"/>
                    </w:rPr>
                    <w:t>2+</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23.0</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19.8</w:t>
                  </w:r>
                </w:p>
              </w:tc>
              <w:tc>
                <w:tcPr>
                  <w:tcW w:w="677" w:type="dxa"/>
                  <w:tcBorders>
                    <w:tl2br w:val="nil"/>
                    <w:tr2bl w:val="nil"/>
                  </w:tcBorders>
                  <w:vAlign w:val="center"/>
                </w:tcPr>
                <w:p>
                  <w:pPr>
                    <w:spacing w:line="240" w:lineRule="exact"/>
                    <w:jc w:val="center"/>
                    <w:rPr>
                      <w:rFonts w:hint="default" w:ascii="Times New Roman" w:hAnsi="Times New Roman" w:cs="Times New Roman"/>
                      <w:bCs/>
                      <w:kern w:val="0"/>
                      <w:szCs w:val="21"/>
                    </w:rPr>
                  </w:pPr>
                  <w:r>
                    <w:rPr>
                      <w:rFonts w:hint="default" w:ascii="Times New Roman" w:hAnsi="Times New Roman" w:cs="Times New Roman"/>
                      <w:szCs w:val="21"/>
                    </w:rPr>
                    <w:t>21.6</w:t>
                  </w:r>
                </w:p>
              </w:tc>
              <w:tc>
                <w:tcPr>
                  <w:tcW w:w="789" w:type="dxa"/>
                  <w:tcBorders>
                    <w:tl2br w:val="nil"/>
                    <w:tr2bl w:val="nil"/>
                  </w:tcBorders>
                  <w:vAlign w:val="center"/>
                </w:tcPr>
                <w:p>
                  <w:pPr>
                    <w:spacing w:line="240" w:lineRule="exact"/>
                    <w:jc w:val="center"/>
                    <w:rPr>
                      <w:rFonts w:hint="default" w:ascii="Times New Roman" w:hAnsi="Times New Roman" w:cs="Times New Roman"/>
                      <w:bCs/>
                      <w:kern w:val="0"/>
                      <w:szCs w:val="21"/>
                    </w:rPr>
                  </w:pPr>
                  <w:r>
                    <w:rPr>
                      <w:rFonts w:hint="default" w:ascii="Times New Roman" w:hAnsi="Times New Roman" w:cs="Times New Roman"/>
                      <w:szCs w:val="21"/>
                    </w:rPr>
                    <w:t>20.0</w:t>
                  </w:r>
                </w:p>
              </w:tc>
              <w:tc>
                <w:tcPr>
                  <w:tcW w:w="794" w:type="dxa"/>
                  <w:tcBorders>
                    <w:tl2br w:val="nil"/>
                    <w:tr2bl w:val="nil"/>
                  </w:tcBorders>
                  <w:vAlign w:val="center"/>
                </w:tcPr>
                <w:p>
                  <w:pPr>
                    <w:spacing w:line="240" w:lineRule="exact"/>
                    <w:jc w:val="center"/>
                    <w:rPr>
                      <w:rFonts w:hint="default" w:ascii="Times New Roman" w:hAnsi="Times New Roman" w:cs="Times New Roman"/>
                      <w:bCs/>
                      <w:kern w:val="0"/>
                      <w:szCs w:val="21"/>
                    </w:rPr>
                  </w:pPr>
                  <w:r>
                    <w:rPr>
                      <w:rFonts w:hint="default" w:ascii="Times New Roman" w:hAnsi="Times New Roman" w:cs="Times New Roman"/>
                      <w:szCs w:val="21"/>
                    </w:rPr>
                    <w:t>19.9</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lang w:bidi="ar"/>
                    </w:rPr>
                    <w:t>汞</w:t>
                  </w:r>
                </w:p>
              </w:tc>
              <w:tc>
                <w:tcPr>
                  <w:tcW w:w="74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μg/L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0.001mg/L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lang w:bidi="ar"/>
                    </w:rPr>
                    <w:t>砷</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
                      <w:szCs w:val="21"/>
                    </w:rPr>
                  </w:pPr>
                  <w:r>
                    <w:rPr>
                      <w:rFonts w:hint="default" w:ascii="Times New Roman" w:hAnsi="Times New Roman" w:cs="Times New Roman"/>
                      <w:kern w:val="0"/>
                      <w:szCs w:val="21"/>
                      <w:lang w:bidi="ar"/>
                    </w:rPr>
                    <w:t>μg/L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0.01mg/L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kern w:val="0"/>
                      <w:szCs w:val="21"/>
                      <w:lang w:bidi="ar"/>
                    </w:rPr>
                    <w:t>铅</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μg/L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0.01mg/L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kern w:val="0"/>
                      <w:szCs w:val="21"/>
                      <w:lang w:bidi="ar"/>
                    </w:rPr>
                    <w:t>镉</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μg/L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kern w:val="0"/>
                      <w:szCs w:val="21"/>
                      <w:lang w:bidi="ar"/>
                    </w:rPr>
                    <w:t>0.005mg/L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kern w:val="0"/>
                      <w:szCs w:val="21"/>
                      <w:lang w:bidi="ar"/>
                    </w:rPr>
                    <w:t>铁</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0.158</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0.3</w:t>
                  </w:r>
                  <w:r>
                    <w:rPr>
                      <w:rFonts w:hint="default" w:ascii="Times New Roman" w:hAnsi="Times New Roman" w:cs="Times New Roman"/>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kern w:val="0"/>
                      <w:szCs w:val="21"/>
                      <w:lang w:bidi="ar"/>
                    </w:rPr>
                    <w:t>锰</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kern w:val="0"/>
                      <w:szCs w:val="21"/>
                      <w:lang w:bidi="ar"/>
                    </w:rPr>
                    <w:t>mg/L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bCs/>
                      <w:szCs w:val="21"/>
                    </w:rPr>
                    <w:t>ND</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0.10</w:t>
                  </w:r>
                  <w:r>
                    <w:rPr>
                      <w:rFonts w:hint="default" w:ascii="Times New Roman" w:hAnsi="Times New Roman" w:cs="Times New Roman"/>
                      <w:kern w:val="0"/>
                      <w:szCs w:val="21"/>
                      <w:lang w:bidi="ar"/>
                    </w:rPr>
                    <w:t>mg/L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szCs w:val="21"/>
                    </w:rPr>
                    <w:t>总大肠菌群</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MPN/100mL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&lt;2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&lt;2</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&lt;2</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&lt;2</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&lt;2</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3.0MPN/100mL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0.00 </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tabs>
                      <w:tab w:val="left" w:pos="735"/>
                    </w:tabs>
                    <w:snapToGrid w:val="0"/>
                    <w:jc w:val="center"/>
                    <w:rPr>
                      <w:rFonts w:hint="default" w:ascii="Times New Roman" w:hAnsi="Times New Roman" w:cs="Times New Roman"/>
                      <w:b/>
                      <w:szCs w:val="21"/>
                    </w:rPr>
                  </w:pPr>
                </w:p>
              </w:tc>
              <w:tc>
                <w:tcPr>
                  <w:tcW w:w="80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szCs w:val="21"/>
                    </w:rPr>
                    <w:t>细菌总数</w:t>
                  </w:r>
                </w:p>
              </w:tc>
              <w:tc>
                <w:tcPr>
                  <w:tcW w:w="740"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CFU/mL</w:t>
                  </w:r>
                </w:p>
              </w:tc>
              <w:tc>
                <w:tcPr>
                  <w:tcW w:w="726"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11</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9</w:t>
                  </w:r>
                </w:p>
              </w:tc>
              <w:tc>
                <w:tcPr>
                  <w:tcW w:w="677"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15</w:t>
                  </w:r>
                </w:p>
              </w:tc>
              <w:tc>
                <w:tcPr>
                  <w:tcW w:w="789"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17</w:t>
                  </w:r>
                </w:p>
              </w:tc>
              <w:tc>
                <w:tcPr>
                  <w:tcW w:w="794" w:type="dxa"/>
                  <w:tcBorders>
                    <w:tl2br w:val="nil"/>
                    <w:tr2bl w:val="nil"/>
                  </w:tcBorders>
                  <w:vAlign w:val="center"/>
                </w:tcPr>
                <w:p>
                  <w:pPr>
                    <w:snapToGrid w:val="0"/>
                    <w:jc w:val="center"/>
                    <w:rPr>
                      <w:rFonts w:hint="default" w:ascii="Times New Roman" w:hAnsi="Times New Roman" w:cs="Times New Roman"/>
                      <w:bCs/>
                      <w:kern w:val="0"/>
                      <w:szCs w:val="21"/>
                    </w:rPr>
                  </w:pPr>
                  <w:r>
                    <w:rPr>
                      <w:rFonts w:hint="default" w:ascii="Times New Roman" w:hAnsi="Times New Roman" w:cs="Times New Roman"/>
                      <w:szCs w:val="21"/>
                    </w:rPr>
                    <w:t>10</w:t>
                  </w:r>
                </w:p>
              </w:tc>
              <w:tc>
                <w:tcPr>
                  <w:tcW w:w="789" w:type="dxa"/>
                  <w:tcBorders>
                    <w:tl2br w:val="nil"/>
                    <w:tr2bl w:val="nil"/>
                  </w:tcBorders>
                  <w:vAlign w:val="center"/>
                </w:tcPr>
                <w:p>
                  <w:pPr>
                    <w:tabs>
                      <w:tab w:val="left" w:pos="735"/>
                    </w:tabs>
                    <w:snapToGrid w:val="0"/>
                    <w:jc w:val="center"/>
                    <w:rPr>
                      <w:rFonts w:hint="default" w:ascii="Times New Roman" w:hAnsi="Times New Roman" w:cs="Times New Roman"/>
                      <w:szCs w:val="21"/>
                    </w:rPr>
                  </w:pPr>
                  <w:r>
                    <w:rPr>
                      <w:rFonts w:hint="default" w:ascii="Times New Roman" w:hAnsi="Times New Roman" w:cs="Times New Roman"/>
                      <w:bCs/>
                      <w:szCs w:val="21"/>
                    </w:rPr>
                    <w:t>100CFU/mL</w:t>
                  </w:r>
                </w:p>
              </w:tc>
              <w:tc>
                <w:tcPr>
                  <w:tcW w:w="790"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eastAsia="等线" w:cs="Times New Roman"/>
                      <w:szCs w:val="21"/>
                    </w:rPr>
                    <w:t xml:space="preserve">0.60 </w:t>
                  </w:r>
                </w:p>
              </w:tc>
              <w:tc>
                <w:tcPr>
                  <w:tcW w:w="673"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pPr>
                    <w:tabs>
                      <w:tab w:val="left" w:pos="735"/>
                    </w:tabs>
                    <w:snapToGrid w:val="0"/>
                    <w:jc w:val="center"/>
                    <w:rPr>
                      <w:rFonts w:hint="default" w:ascii="Times New Roman" w:hAnsi="Times New Roman" w:cs="Times New Roman"/>
                      <w:bCs/>
                      <w:szCs w:val="21"/>
                    </w:rPr>
                  </w:pPr>
                  <w:r>
                    <w:rPr>
                      <w:rFonts w:hint="default" w:ascii="Times New Roman" w:hAnsi="Times New Roman" w:cs="Times New Roman"/>
                      <w:bCs/>
                      <w:szCs w:val="21"/>
                    </w:rPr>
                    <w:t>备注</w:t>
                  </w:r>
                </w:p>
              </w:tc>
              <w:tc>
                <w:tcPr>
                  <w:tcW w:w="7460" w:type="dxa"/>
                  <w:gridSpan w:val="10"/>
                  <w:tcBorders>
                    <w:tl2br w:val="nil"/>
                    <w:tr2bl w:val="nil"/>
                  </w:tcBorders>
                  <w:vAlign w:val="center"/>
                </w:tcPr>
                <w:p>
                  <w:pPr>
                    <w:tabs>
                      <w:tab w:val="left" w:pos="735"/>
                    </w:tabs>
                    <w:snapToGrid w:val="0"/>
                    <w:rPr>
                      <w:rFonts w:hint="default" w:ascii="Times New Roman" w:hAnsi="Times New Roman" w:cs="Times New Roman"/>
                      <w:bCs/>
                      <w:szCs w:val="21"/>
                    </w:rPr>
                  </w:pPr>
                  <w:r>
                    <w:rPr>
                      <w:rFonts w:hint="default" w:ascii="Times New Roman" w:hAnsi="Times New Roman" w:cs="Times New Roman"/>
                      <w:bCs/>
                      <w:szCs w:val="21"/>
                    </w:rPr>
                    <w:t>“L”表示监测值低于方法检出限值，报出值为检出限值。石油类参照地表水环境质量标准</w:t>
                  </w: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3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III</w:t>
                  </w:r>
                  <w:r>
                    <w:rPr>
                      <w:rFonts w:hint="default" w:ascii="Times New Roman" w:hAnsi="Times New Roman" w:cs="Times New Roman"/>
                      <w:b/>
                      <w:bCs/>
                      <w:szCs w:val="21"/>
                    </w:rPr>
                    <w:fldChar w:fldCharType="end"/>
                  </w:r>
                  <w:r>
                    <w:rPr>
                      <w:rFonts w:hint="default" w:ascii="Times New Roman" w:hAnsi="Times New Roman" w:cs="Times New Roman"/>
                      <w:b/>
                      <w:bCs/>
                      <w:szCs w:val="21"/>
                    </w:rPr>
                    <w:t>类标准值。</w:t>
                  </w:r>
                </w:p>
              </w:tc>
            </w:tr>
          </w:tbl>
          <w:p>
            <w:pPr>
              <w:spacing w:line="360" w:lineRule="auto"/>
              <w:ind w:firstLine="480" w:firstLineChars="200"/>
              <w:rPr>
                <w:rFonts w:hint="default" w:ascii="Times New Roman" w:hAnsi="Times New Roman" w:eastAsia="附件" w:cs="Times New Roman"/>
                <w:kern w:val="0"/>
                <w:sz w:val="24"/>
              </w:rPr>
            </w:pPr>
            <w:r>
              <w:rPr>
                <w:rFonts w:hint="default" w:ascii="Times New Roman" w:hAnsi="Times New Roman" w:cs="Times New Roman"/>
                <w:bCs/>
                <w:sz w:val="24"/>
              </w:rPr>
              <w:t>由上表统计分析可知，各监测点水质良好，各项监测指标均可达到</w:t>
            </w: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3 \* ROMAN </w:instrText>
            </w:r>
            <w:r>
              <w:rPr>
                <w:rFonts w:hint="default" w:ascii="Times New Roman" w:hAnsi="Times New Roman" w:cs="Times New Roman"/>
                <w:bCs/>
                <w:sz w:val="24"/>
              </w:rPr>
              <w:fldChar w:fldCharType="separate"/>
            </w:r>
            <w:r>
              <w:rPr>
                <w:rFonts w:hint="default" w:ascii="Times New Roman" w:hAnsi="Times New Roman" w:cs="Times New Roman"/>
                <w:bCs/>
                <w:sz w:val="24"/>
              </w:rPr>
              <w:t>《地下水质量标准》（GB/T14848—2017）</w:t>
            </w: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3 \* ROMAN </w:instrText>
            </w:r>
            <w:r>
              <w:rPr>
                <w:rFonts w:hint="default" w:ascii="Times New Roman" w:hAnsi="Times New Roman" w:cs="Times New Roman"/>
                <w:bCs/>
                <w:sz w:val="24"/>
              </w:rPr>
              <w:fldChar w:fldCharType="separate"/>
            </w:r>
            <w:r>
              <w:rPr>
                <w:rFonts w:hint="default" w:ascii="Times New Roman" w:hAnsi="Times New Roman" w:cs="Times New Roman"/>
                <w:bCs/>
                <w:sz w:val="24"/>
              </w:rPr>
              <w:t>III</w:t>
            </w:r>
            <w:r>
              <w:rPr>
                <w:rFonts w:hint="default" w:ascii="Times New Roman" w:hAnsi="Times New Roman" w:cs="Times New Roman"/>
                <w:bCs/>
                <w:sz w:val="24"/>
              </w:rPr>
              <w:fldChar w:fldCharType="end"/>
            </w:r>
            <w:r>
              <w:rPr>
                <w:rFonts w:hint="default" w:ascii="Times New Roman" w:hAnsi="Times New Roman" w:cs="Times New Roman"/>
                <w:bCs/>
                <w:sz w:val="24"/>
              </w:rPr>
              <w:fldChar w:fldCharType="end"/>
            </w:r>
            <w:r>
              <w:rPr>
                <w:rFonts w:hint="default" w:ascii="Times New Roman" w:hAnsi="Times New Roman" w:cs="Times New Roman"/>
                <w:bCs/>
                <w:sz w:val="24"/>
              </w:rPr>
              <w:t>类水质标准。根据监测结果</w:t>
            </w:r>
            <w:r>
              <w:rPr>
                <w:rFonts w:hint="default" w:ascii="Times New Roman" w:hAnsi="Times New Roman" w:eastAsia="附件" w:cs="Times New Roman"/>
                <w:bCs/>
                <w:sz w:val="24"/>
              </w:rPr>
              <w:t>，阳离子以钙离子为主，阴离子以碳酸氢根离子为主，因此，项目区地下水化学类型为</w:t>
            </w:r>
            <w:r>
              <w:rPr>
                <w:rFonts w:hint="default" w:ascii="Times New Roman" w:hAnsi="Times New Roman" w:eastAsia="附件" w:cs="Times New Roman"/>
                <w:kern w:val="0"/>
                <w:sz w:val="24"/>
              </w:rPr>
              <w:t>HCO</w:t>
            </w:r>
            <w:r>
              <w:rPr>
                <w:rFonts w:hint="default" w:ascii="Times New Roman" w:hAnsi="Times New Roman" w:eastAsia="附件" w:cs="Times New Roman"/>
                <w:bCs/>
                <w:kern w:val="0"/>
                <w:sz w:val="24"/>
                <w:vertAlign w:val="subscript"/>
              </w:rPr>
              <w:t>3</w:t>
            </w:r>
            <w:r>
              <w:rPr>
                <w:rFonts w:hint="default" w:ascii="Times New Roman" w:hAnsi="Times New Roman" w:eastAsia="附件" w:cs="Times New Roman"/>
                <w:bCs/>
                <w:sz w:val="24"/>
              </w:rPr>
              <w:t>-</w:t>
            </w:r>
            <w:r>
              <w:rPr>
                <w:rFonts w:hint="default" w:ascii="Times New Roman" w:hAnsi="Times New Roman" w:eastAsia="附件" w:cs="Times New Roman"/>
                <w:b/>
                <w:kern w:val="0"/>
                <w:sz w:val="24"/>
              </w:rPr>
              <w:t>Ca</w:t>
            </w:r>
            <w:r>
              <w:rPr>
                <w:rFonts w:hint="default" w:ascii="Times New Roman" w:hAnsi="Times New Roman" w:eastAsia="附件" w:cs="Times New Roman"/>
                <w:b/>
                <w:kern w:val="0"/>
                <w:sz w:val="24"/>
                <w:vertAlign w:val="superscript"/>
              </w:rPr>
              <w:t>2+</w:t>
            </w:r>
            <w:r>
              <w:rPr>
                <w:rFonts w:hint="default" w:ascii="Times New Roman" w:hAnsi="Times New Roman" w:eastAsia="附件" w:cs="Times New Roman"/>
                <w:b/>
                <w:kern w:val="0"/>
                <w:sz w:val="24"/>
              </w:rPr>
              <w:t>、</w:t>
            </w:r>
            <w:r>
              <w:rPr>
                <w:rFonts w:hint="default" w:ascii="Times New Roman" w:hAnsi="Times New Roman" w:cs="Times New Roman"/>
                <w:sz w:val="24"/>
              </w:rPr>
              <w:t>Mg</w:t>
            </w:r>
            <w:r>
              <w:rPr>
                <w:rFonts w:hint="default" w:ascii="Times New Roman" w:hAnsi="Times New Roman" w:cs="Times New Roman"/>
                <w:sz w:val="24"/>
                <w:vertAlign w:val="superscript"/>
              </w:rPr>
              <w:t>2+</w:t>
            </w:r>
            <w:r>
              <w:rPr>
                <w:rFonts w:hint="default" w:ascii="Times New Roman" w:hAnsi="Times New Roman" w:eastAsia="附件" w:cs="Times New Roman"/>
                <w:kern w:val="0"/>
                <w:sz w:val="24"/>
              </w:rPr>
              <w:t>型水。</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5、包气带监测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为了解本项目所在区域包气带污染现状，本次评价委托四川华皓检测技术有限公司对平台包气带现状进行了监测。监测布点见附图5。</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default" w:ascii="Times New Roman" w:hAnsi="Times New Roman" w:cs="Times New Roman"/>
                <w:sz w:val="24"/>
              </w:rPr>
              <w:t>监测布点</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共布设2个监测点，平台外上游设1个背景样对照点、平台内设1个监测点，开展包气带污染现状调查，20cm埋深范围取一个样品，进行浸溶试验，测试分析浸溶液成分。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2 \* GB3 </w:instrText>
            </w:r>
            <w:r>
              <w:rPr>
                <w:rFonts w:hint="default" w:ascii="Times New Roman" w:hAnsi="Times New Roman" w:cs="Times New Roman"/>
                <w:sz w:val="24"/>
              </w:rPr>
              <w:fldChar w:fldCharType="separate"/>
            </w:r>
            <w:r>
              <w:rPr>
                <w:rFonts w:hint="default" w:ascii="Times New Roman" w:hAnsi="Times New Roman" w:cs="Times New Roman"/>
                <w:sz w:val="24"/>
              </w:rPr>
              <w:t>②</w:t>
            </w:r>
            <w:r>
              <w:rPr>
                <w:rFonts w:hint="default" w:ascii="Times New Roman" w:hAnsi="Times New Roman" w:cs="Times New Roman"/>
                <w:sz w:val="24"/>
              </w:rPr>
              <w:fldChar w:fldCharType="end"/>
            </w:r>
            <w:r>
              <w:rPr>
                <w:rFonts w:hint="default" w:ascii="Times New Roman" w:hAnsi="Times New Roman" w:cs="Times New Roman"/>
                <w:sz w:val="24"/>
              </w:rPr>
              <w:t>监测因子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pH、氯化物、氨氮、挥发性酚类、石油类、六价铬、硫化物。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w:instrText>
            </w:r>
            <w:r>
              <w:rPr>
                <w:rFonts w:hint="default" w:ascii="Times New Roman" w:hAnsi="Times New Roman" w:cs="Times New Roman"/>
                <w:sz w:val="24"/>
              </w:rPr>
              <w:fldChar w:fldCharType="separate"/>
            </w:r>
            <w:r>
              <w:rPr>
                <w:rFonts w:hint="default" w:ascii="Times New Roman" w:hAnsi="Times New Roman" w:cs="Times New Roman"/>
                <w:sz w:val="24"/>
              </w:rPr>
              <w:t>③</w:t>
            </w:r>
            <w:r>
              <w:rPr>
                <w:rFonts w:hint="default" w:ascii="Times New Roman" w:hAnsi="Times New Roman" w:cs="Times New Roman"/>
                <w:sz w:val="24"/>
              </w:rPr>
              <w:fldChar w:fldCharType="end"/>
            </w:r>
            <w:r>
              <w:rPr>
                <w:rFonts w:hint="default" w:ascii="Times New Roman" w:hAnsi="Times New Roman" w:cs="Times New Roman"/>
                <w:sz w:val="24"/>
              </w:rPr>
              <w:t>监测时间与频率</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202</w:t>
            </w:r>
            <w:r>
              <w:rPr>
                <w:rFonts w:hint="default" w:ascii="Times New Roman" w:hAnsi="Times New Roman" w:cs="Times New Roman"/>
                <w:sz w:val="24"/>
                <w:lang w:val="en-US" w:eastAsia="zh-CN"/>
              </w:rPr>
              <w:t>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10</w:t>
            </w:r>
            <w:r>
              <w:rPr>
                <w:rFonts w:hint="default" w:ascii="Times New Roman" w:hAnsi="Times New Roman" w:cs="Times New Roman"/>
                <w:sz w:val="24"/>
              </w:rPr>
              <w:t>日，监测一次。</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4 \* GB3 </w:instrText>
            </w:r>
            <w:r>
              <w:rPr>
                <w:rFonts w:hint="default" w:ascii="Times New Roman" w:hAnsi="Times New Roman" w:cs="Times New Roman"/>
                <w:sz w:val="24"/>
              </w:rPr>
              <w:fldChar w:fldCharType="separate"/>
            </w:r>
            <w:r>
              <w:rPr>
                <w:rFonts w:hint="default" w:ascii="Times New Roman" w:hAnsi="Times New Roman" w:cs="Times New Roman"/>
                <w:sz w:val="24"/>
              </w:rPr>
              <w:t>④</w:t>
            </w:r>
            <w:r>
              <w:rPr>
                <w:rFonts w:hint="default" w:ascii="Times New Roman" w:hAnsi="Times New Roman" w:cs="Times New Roman"/>
                <w:sz w:val="24"/>
              </w:rPr>
              <w:fldChar w:fldCharType="end"/>
            </w:r>
            <w:r>
              <w:rPr>
                <w:rFonts w:hint="default" w:ascii="Times New Roman" w:hAnsi="Times New Roman" w:cs="Times New Roman"/>
                <w:sz w:val="24"/>
              </w:rPr>
              <w:t>监测结果及评价</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本项目所在地周边包气带监测及评价结果见表3-</w:t>
            </w:r>
            <w:r>
              <w:rPr>
                <w:rFonts w:hint="default" w:ascii="Times New Roman" w:hAnsi="Times New Roman" w:cs="Times New Roman"/>
                <w:sz w:val="24"/>
                <w:lang w:val="en-US" w:eastAsia="zh-CN"/>
              </w:rPr>
              <w:t>8</w:t>
            </w:r>
            <w:r>
              <w:rPr>
                <w:rFonts w:hint="default" w:ascii="Times New Roman" w:hAnsi="Times New Roman" w:cs="Times New Roman"/>
                <w:sz w:val="24"/>
              </w:rPr>
              <w:t>。</w:t>
            </w:r>
          </w:p>
          <w:p>
            <w:pPr>
              <w:pStyle w:val="332"/>
              <w:numPr>
                <w:ilvl w:val="0"/>
                <w:numId w:val="6"/>
              </w:numPr>
              <w:adjustRightInd w:val="0"/>
              <w:snapToGrid w:val="0"/>
              <w:spacing w:line="360" w:lineRule="auto"/>
              <w:ind w:left="0" w:firstLine="0" w:firstLineChars="0"/>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表3-</w:t>
            </w:r>
            <w:r>
              <w:rPr>
                <w:rFonts w:hint="default" w:ascii="Times New Roman" w:hAnsi="Times New Roman" w:eastAsia="宋体" w:cs="Times New Roman"/>
                <w:b/>
                <w:bCs/>
                <w:kern w:val="0"/>
                <w:sz w:val="24"/>
                <w:lang w:val="en-US" w:eastAsia="zh-CN"/>
              </w:rPr>
              <w:t>8</w:t>
            </w:r>
            <w:r>
              <w:rPr>
                <w:rFonts w:hint="default" w:ascii="Times New Roman" w:hAnsi="Times New Roman" w:eastAsia="宋体" w:cs="Times New Roman"/>
                <w:b/>
                <w:bCs/>
                <w:kern w:val="0"/>
                <w:sz w:val="24"/>
              </w:rPr>
              <w:t xml:space="preserve">  包气带现状监测与评价表</w:t>
            </w:r>
          </w:p>
          <w:tbl>
            <w:tblPr>
              <w:tblStyle w:val="44"/>
              <w:tblW w:w="503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31"/>
              <w:gridCol w:w="1481"/>
              <w:gridCol w:w="1847"/>
              <w:gridCol w:w="1461"/>
              <w:gridCol w:w="16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12" w:space="0"/>
                    <w:bottom w:val="single" w:color="auto" w:sz="6" w:space="0"/>
                    <w:tl2br w:val="single" w:color="auto" w:sz="12" w:space="0"/>
                  </w:tcBorders>
                  <w:shd w:val="clear" w:color="auto" w:fill="auto"/>
                  <w:vAlign w:val="center"/>
                </w:tcPr>
                <w:p>
                  <w:pPr>
                    <w:snapToGrid w:val="0"/>
                    <w:jc w:val="right"/>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点位</w:t>
                  </w:r>
                </w:p>
                <w:p>
                  <w:pPr>
                    <w:snapToGrid w:val="0"/>
                    <w:jc w:val="left"/>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监测项目</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单位</w:t>
                  </w:r>
                </w:p>
              </w:tc>
              <w:tc>
                <w:tcPr>
                  <w:tcW w:w="1145"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rPr>
                    <w:t>平台外</w:t>
                  </w:r>
                  <w:r>
                    <w:rPr>
                      <w:rFonts w:hint="default" w:ascii="Times New Roman" w:hAnsi="Times New Roman" w:eastAsia="宋体" w:cs="Times New Roman"/>
                      <w:bCs/>
                      <w:kern w:val="0"/>
                      <w:szCs w:val="21"/>
                      <w:lang w:val="en-US" w:eastAsia="zh-CN"/>
                    </w:rPr>
                    <w:t>北侧</w:t>
                  </w:r>
                </w:p>
              </w:tc>
              <w:tc>
                <w:tcPr>
                  <w:tcW w:w="905" w:type="pct"/>
                  <w:shd w:val="clear" w:color="auto" w:fill="auto"/>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平台内</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widowControl/>
                    <w:spacing w:line="240" w:lineRule="exact"/>
                    <w:jc w:val="center"/>
                    <w:rPr>
                      <w:rFonts w:hint="default" w:ascii="Times New Roman" w:hAnsi="Times New Roman" w:eastAsia="宋体" w:cs="Times New Roman"/>
                      <w:color w:val="000000"/>
                      <w:spacing w:val="-6"/>
                      <w:kern w:val="0"/>
                      <w:sz w:val="21"/>
                      <w:szCs w:val="21"/>
                      <w:highlight w:val="none"/>
                      <w:lang w:val="en-US" w:eastAsia="zh-CN" w:bidi="ar-SA"/>
                    </w:rPr>
                  </w:pPr>
                  <w:r>
                    <w:rPr>
                      <w:rFonts w:hint="default" w:ascii="Times New Roman" w:hAnsi="Times New Roman" w:cs="Times New Roman"/>
                      <w:spacing w:val="-6"/>
                      <w:kern w:val="0"/>
                      <w:sz w:val="21"/>
                      <w:szCs w:val="21"/>
                      <w:highlight w:val="none"/>
                    </w:rPr>
                    <w:t>pH值</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无量纲</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7.3</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7.5</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2"/>
                    <w:keepNext w:val="0"/>
                    <w:keepLines w:val="0"/>
                    <w:pageBreakBefore w:val="0"/>
                    <w:numPr>
                      <w:ilvl w:val="0"/>
                      <w:numId w:val="0"/>
                    </w:numPr>
                    <w:kinsoku/>
                    <w:wordWrap/>
                    <w:overflowPunct/>
                    <w:topLinePunct w:val="0"/>
                    <w:bidi w:val="0"/>
                    <w:spacing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rPr>
                    <w:t>氨氮</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0.265</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0.217</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snapToGrid w:val="0"/>
                    <w:spacing w:before="0" w:beforeAutospacing="0" w:after="0" w:afterAutospacing="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氯化物</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16</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21</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snapToGrid w:val="0"/>
                    <w:spacing w:before="0" w:beforeAutospacing="0" w:after="0" w:afterAutospacing="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铬（六价）</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snapToGrid w:val="0"/>
                    <w:spacing w:before="0" w:beforeAutospacing="0" w:after="0" w:afterAutospacing="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rPr>
                    <w:t>挥发酚</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tcBorders>
                    <w:top w:val="single" w:color="auto" w:sz="6" w:space="0"/>
                  </w:tcBorders>
                  <w:shd w:val="clear" w:color="auto" w:fill="auto"/>
                  <w:vAlign w:val="center"/>
                </w:tcPr>
                <w:p>
                  <w:pPr>
                    <w:pStyle w:val="38"/>
                    <w:snapToGrid w:val="0"/>
                    <w:spacing w:before="0" w:beforeAutospacing="0" w:after="0" w:afterAutospacing="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硫化物</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011" w:type="pct"/>
                  <w:shd w:val="clear" w:color="auto" w:fill="auto"/>
                  <w:vAlign w:val="center"/>
                </w:tcPr>
                <w:p>
                  <w:pPr>
                    <w:pStyle w:val="38"/>
                    <w:snapToGrid w:val="0"/>
                    <w:spacing w:before="0" w:beforeAutospacing="0" w:after="0" w:afterAutospacing="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lang w:val="en-US" w:eastAsia="zh-CN" w:bidi="ar-SA"/>
                    </w:rPr>
                    <w:t>石油类</w:t>
                  </w:r>
                </w:p>
              </w:tc>
              <w:tc>
                <w:tcPr>
                  <w:tcW w:w="918" w:type="pct"/>
                  <w:vAlign w:val="center"/>
                </w:tcPr>
                <w:p>
                  <w:pPr>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mg/L</w:t>
                  </w:r>
                </w:p>
              </w:tc>
              <w:tc>
                <w:tcPr>
                  <w:tcW w:w="114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905" w:type="pct"/>
                  <w:shd w:val="clear" w:color="auto" w:fill="auto"/>
                  <w:vAlign w:val="center"/>
                </w:tcPr>
                <w:p>
                  <w:pPr>
                    <w:adjustRightInd w:val="0"/>
                    <w:snapToGrid w:val="0"/>
                    <w:jc w:val="center"/>
                    <w:rPr>
                      <w:rFonts w:hint="default" w:ascii="Times New Roman" w:hAnsi="Times New Roman" w:eastAsia="宋体" w:cs="Times New Roman"/>
                      <w:spacing w:val="0"/>
                      <w:kern w:val="2"/>
                      <w:sz w:val="21"/>
                      <w:szCs w:val="21"/>
                      <w:highlight w:val="none"/>
                      <w:lang w:val="en-US" w:eastAsia="zh-CN" w:bidi="ar-SA"/>
                    </w:rPr>
                  </w:pPr>
                  <w:r>
                    <w:rPr>
                      <w:rFonts w:hint="default" w:ascii="Times New Roman" w:hAnsi="Times New Roman" w:eastAsia="宋体" w:cs="Times New Roman"/>
                      <w:spacing w:val="0"/>
                      <w:kern w:val="2"/>
                      <w:sz w:val="21"/>
                      <w:szCs w:val="21"/>
                      <w:highlight w:val="none"/>
                      <w:lang w:val="en-US" w:eastAsia="zh-CN" w:bidi="ar-SA"/>
                    </w:rPr>
                    <w:t>ND</w:t>
                  </w:r>
                </w:p>
              </w:tc>
              <w:tc>
                <w:tcPr>
                  <w:tcW w:w="1019" w:type="pct"/>
                  <w:shd w:val="clear" w:color="auto" w:fill="auto"/>
                  <w:vAlign w:val="center"/>
                </w:tcPr>
                <w:p>
                  <w:pPr>
                    <w:snapToGrid w:val="0"/>
                    <w:jc w:val="center"/>
                    <w:rPr>
                      <w:rFonts w:hint="default" w:ascii="Times New Roman" w:hAnsi="Times New Roman" w:eastAsia="宋体" w:cs="Times New Roman"/>
                      <w:bCs/>
                      <w:kern w:val="0"/>
                      <w:szCs w:val="21"/>
                      <w:lang w:val="en-US" w:eastAsia="zh-CN"/>
                    </w:rPr>
                  </w:pPr>
                  <w:r>
                    <w:rPr>
                      <w:rFonts w:hint="default" w:ascii="Times New Roman" w:hAnsi="Times New Roman" w:eastAsia="宋体" w:cs="Times New Roman"/>
                      <w:bCs/>
                      <w:kern w:val="0"/>
                      <w:szCs w:val="21"/>
                      <w:lang w:val="en-US" w:eastAsia="zh-CN"/>
                    </w:rPr>
                    <w:t>未出现明显变化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000" w:type="pct"/>
                  <w:gridSpan w:val="5"/>
                  <w:shd w:val="clear" w:color="auto" w:fill="auto"/>
                  <w:vAlign w:val="center"/>
                </w:tcPr>
                <w:p>
                  <w:pPr>
                    <w:snapToGrid w:val="0"/>
                    <w:jc w:val="both"/>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备注：结果低于检出限，检测结果以检出限加“L”标识。</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根据平台内外包气带的监测与评价结果表明，本项目用地内包气带基本无变化，受到污染的影响较小。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6</w:t>
            </w:r>
            <w:r>
              <w:rPr>
                <w:rFonts w:hint="default" w:ascii="Times New Roman" w:hAnsi="Times New Roman" w:cs="Times New Roman"/>
                <w:sz w:val="24"/>
              </w:rPr>
              <w:t>、土壤环境</w:t>
            </w:r>
          </w:p>
          <w:p>
            <w:pPr>
              <w:spacing w:line="360" w:lineRule="auto"/>
              <w:ind w:firstLine="480" w:firstLineChars="200"/>
              <w:rPr>
                <w:rFonts w:hint="default" w:ascii="Times New Roman" w:hAnsi="Times New Roman" w:eastAsia="附件" w:cs="Times New Roman"/>
                <w:sz w:val="24"/>
              </w:rPr>
            </w:pPr>
            <w:r>
              <w:rPr>
                <w:rFonts w:hint="default" w:ascii="Times New Roman" w:hAnsi="Times New Roman" w:eastAsia="附件" w:cs="Times New Roman"/>
                <w:sz w:val="24"/>
              </w:rPr>
              <w:t>为了解项目所在地土壤环境现状，2023年11月10日四川华皓检测技术有限公司对铁北1侧HF井所在地土壤质量现状进行采样监测。</w:t>
            </w:r>
          </w:p>
          <w:p>
            <w:pPr>
              <w:tabs>
                <w:tab w:val="left" w:pos="10395"/>
              </w:tabs>
              <w:spacing w:line="360" w:lineRule="auto"/>
              <w:ind w:firstLine="480" w:firstLineChars="200"/>
              <w:rPr>
                <w:rFonts w:hint="default" w:ascii="Times New Roman" w:hAnsi="Times New Roman" w:eastAsia="附件" w:cs="Times New Roman"/>
                <w:bCs/>
                <w:sz w:val="24"/>
              </w:rPr>
            </w:pPr>
            <w:r>
              <w:rPr>
                <w:rFonts w:hint="default" w:ascii="Times New Roman" w:hAnsi="Times New Roman" w:eastAsia="附件" w:cs="Times New Roman"/>
                <w:bCs/>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pPr>
              <w:tabs>
                <w:tab w:val="left" w:pos="10395"/>
              </w:tabs>
              <w:spacing w:line="360" w:lineRule="auto"/>
              <w:ind w:firstLine="480" w:firstLineChars="200"/>
              <w:rPr>
                <w:rFonts w:hint="default" w:ascii="Times New Roman" w:hAnsi="Times New Roman" w:eastAsia="附件" w:cs="Times New Roman"/>
                <w:bCs/>
                <w:sz w:val="24"/>
              </w:rPr>
            </w:pPr>
            <w:r>
              <w:rPr>
                <w:rFonts w:hint="default" w:ascii="Times New Roman" w:hAnsi="Times New Roman" w:eastAsia="附件" w:cs="Times New Roman"/>
                <w:bCs/>
                <w:sz w:val="24"/>
              </w:rPr>
              <w:t>农用地土壤8项基本因子：镉、汞、砷、铅、铬、铜、镍、锌。</w:t>
            </w:r>
          </w:p>
          <w:p>
            <w:pPr>
              <w:tabs>
                <w:tab w:val="left" w:pos="10395"/>
              </w:tabs>
              <w:spacing w:line="360" w:lineRule="auto"/>
              <w:ind w:firstLine="480" w:firstLineChars="200"/>
              <w:rPr>
                <w:rFonts w:hint="default" w:ascii="Times New Roman" w:hAnsi="Times New Roman" w:eastAsia="附件" w:cs="Times New Roman"/>
                <w:bCs/>
                <w:sz w:val="24"/>
              </w:rPr>
            </w:pPr>
            <w:r>
              <w:rPr>
                <w:rFonts w:hint="default" w:ascii="Times New Roman" w:hAnsi="Times New Roman" w:eastAsia="附件" w:cs="Times New Roman"/>
                <w:bCs/>
                <w:sz w:val="24"/>
              </w:rPr>
              <w:t>特征因子：pH、石油烃、硫化物、钡。</w:t>
            </w:r>
          </w:p>
          <w:p>
            <w:pPr>
              <w:tabs>
                <w:tab w:val="left" w:pos="2730"/>
              </w:tabs>
              <w:spacing w:line="360" w:lineRule="auto"/>
              <w:ind w:firstLine="480" w:firstLineChars="200"/>
              <w:rPr>
                <w:rFonts w:hint="default" w:ascii="Times New Roman" w:hAnsi="Times New Roman" w:cs="Times New Roman"/>
                <w:bCs/>
                <w:sz w:val="24"/>
              </w:rPr>
            </w:pPr>
            <w:r>
              <w:rPr>
                <w:rFonts w:hint="default" w:ascii="Times New Roman" w:hAnsi="Times New Roman" w:eastAsia="附件" w:cs="Times New Roman"/>
                <w:bCs/>
                <w:sz w:val="24"/>
              </w:rPr>
              <w:t>（2）监测布点：设6个监测点，其中</w:t>
            </w:r>
            <w:r>
              <w:rPr>
                <w:rFonts w:hint="default" w:ascii="Times New Roman" w:hAnsi="Times New Roman" w:cs="Times New Roman"/>
                <w:bCs/>
                <w:sz w:val="24"/>
              </w:rPr>
              <w:t>设3个柱状样，S1（放喷池范围）、S2（废水池范围）、S3（清洁生产操作平台旁），取样深度分别为0-0.5m、0.5-1.5m、1.5-3m，测建设项目用地特征因子；设3个表层样S4（泥浆储备罐范围），测建设项目用地土壤45项因子；2个表层样S5（井场占地南侧）、S6（井场占地北侧）仅测农用地基本因子及特征因子；各监测点布设符合《环境影响评价技术导则 土壤环境》中布点原则及布点数量。</w:t>
            </w:r>
          </w:p>
          <w:p>
            <w:pPr>
              <w:autoSpaceDE w:val="0"/>
              <w:autoSpaceDN w:val="0"/>
              <w:spacing w:line="360" w:lineRule="auto"/>
              <w:ind w:firstLine="480" w:firstLineChars="200"/>
              <w:rPr>
                <w:rFonts w:hint="default" w:ascii="Times New Roman" w:hAnsi="Times New Roman" w:eastAsia="附件" w:cs="Times New Roman"/>
                <w:sz w:val="24"/>
              </w:rPr>
            </w:pPr>
            <w:r>
              <w:rPr>
                <w:rFonts w:hint="default" w:ascii="Times New Roman" w:hAnsi="Times New Roman" w:eastAsia="附件" w:cs="Times New Roman"/>
                <w:sz w:val="24"/>
              </w:rPr>
              <w:t>（3）监测频次：取1次样。</w:t>
            </w:r>
          </w:p>
          <w:p>
            <w:pPr>
              <w:autoSpaceDE w:val="0"/>
              <w:autoSpaceDN w:val="0"/>
              <w:spacing w:line="360" w:lineRule="auto"/>
              <w:ind w:firstLine="480" w:firstLineChars="200"/>
              <w:rPr>
                <w:rFonts w:hint="default" w:ascii="Times New Roman" w:hAnsi="Times New Roman" w:eastAsia="附件" w:cs="Times New Roman"/>
                <w:kern w:val="0"/>
                <w:sz w:val="24"/>
              </w:rPr>
            </w:pPr>
            <w:r>
              <w:rPr>
                <w:rFonts w:hint="default" w:ascii="Times New Roman" w:hAnsi="Times New Roman" w:eastAsia="附件" w:cs="Times New Roman"/>
                <w:sz w:val="24"/>
              </w:rPr>
              <w:t>（4）评价标准：基本因子执行《土壤环境质量农用地土壤污染风险管控标准（试行）》（GB15618-2018）筛选值。特征因子石油烃参照执行《土壤环境质量建设用地土壤污染风险管控标准（试行）》（GB36600-2018）第二类用地筛选值。硫化物列出监测值。</w:t>
            </w:r>
          </w:p>
          <w:p>
            <w:pPr>
              <w:autoSpaceDE w:val="0"/>
              <w:autoSpaceDN w:val="0"/>
              <w:spacing w:line="360" w:lineRule="auto"/>
              <w:ind w:firstLine="480" w:firstLineChars="200"/>
              <w:rPr>
                <w:rFonts w:hint="default" w:ascii="Times New Roman" w:hAnsi="Times New Roman" w:eastAsia="附件" w:cs="Times New Roman"/>
                <w:kern w:val="0"/>
                <w:sz w:val="24"/>
              </w:rPr>
            </w:pPr>
            <w:r>
              <w:rPr>
                <w:rFonts w:hint="default" w:ascii="Times New Roman" w:hAnsi="Times New Roman" w:eastAsia="附件" w:cs="Times New Roman"/>
                <w:kern w:val="0"/>
                <w:sz w:val="24"/>
              </w:rPr>
              <w:t>（5）评价方法：土壤环境质量现状评价应采用标准指数法，并进行统计分析，给出样本数量、最大值、最小值、均值等。</w:t>
            </w:r>
          </w:p>
          <w:p>
            <w:pPr>
              <w:autoSpaceDE w:val="0"/>
              <w:autoSpaceDN w:val="0"/>
              <w:spacing w:line="360" w:lineRule="auto"/>
              <w:ind w:firstLine="480" w:firstLineChars="200"/>
              <w:rPr>
                <w:rFonts w:hint="default" w:ascii="Times New Roman" w:hAnsi="Times New Roman" w:eastAsia="附件" w:cs="Times New Roman"/>
                <w:kern w:val="0"/>
                <w:sz w:val="24"/>
              </w:rPr>
            </w:pPr>
            <w:r>
              <w:rPr>
                <w:rFonts w:hint="default" w:ascii="Times New Roman" w:hAnsi="Times New Roman" w:eastAsia="附件" w:cs="Times New Roman"/>
                <w:kern w:val="0"/>
                <w:sz w:val="24"/>
              </w:rPr>
              <w:t>（6）土壤环境质量监测结果及评价结果</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S1~S3土壤环境现状监测及评价结果（单位：mg/kg，pH无量纲）</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编号</w:t>
                  </w:r>
                </w:p>
              </w:tc>
              <w:tc>
                <w:tcPr>
                  <w:tcW w:w="1000"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因子</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（0~0.5）</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（0.5~1.5）</w:t>
                  </w:r>
                </w:p>
              </w:tc>
              <w:tc>
                <w:tcPr>
                  <w:tcW w:w="850" w:type="dxa"/>
                  <w:vMerge w:val="restart"/>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（1.5~3.0）</w:t>
                  </w:r>
                </w:p>
              </w:tc>
              <w:tc>
                <w:tcPr>
                  <w:tcW w:w="993"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kern w:val="0"/>
                      <w:szCs w:val="21"/>
                    </w:rPr>
                    <w:t>标准限值</w:t>
                  </w:r>
                </w:p>
              </w:tc>
              <w:tc>
                <w:tcPr>
                  <w:tcW w:w="2410" w:type="dxa"/>
                  <w:gridSpan w:val="3"/>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最大标准指数值</w:t>
                  </w:r>
                </w:p>
              </w:tc>
              <w:tc>
                <w:tcPr>
                  <w:tcW w:w="520" w:type="dxa"/>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kern w:val="0"/>
                      <w:szCs w:val="21"/>
                    </w:rPr>
                  </w:pPr>
                </w:p>
              </w:tc>
              <w:tc>
                <w:tcPr>
                  <w:tcW w:w="100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5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993"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5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（0~0.5）</w:t>
                  </w:r>
                </w:p>
              </w:tc>
              <w:tc>
                <w:tcPr>
                  <w:tcW w:w="85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（0.5~1.5）</w:t>
                  </w:r>
                </w:p>
              </w:tc>
              <w:tc>
                <w:tcPr>
                  <w:tcW w:w="709"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（1.5~3.0）</w:t>
                  </w:r>
                </w:p>
              </w:tc>
              <w:tc>
                <w:tcPr>
                  <w:tcW w:w="520" w:type="dxa"/>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pH</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7.23</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7.41</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7.29</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6.5~8.5</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709"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硫化物</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0.49</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0.54</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0.56</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709"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eastAsia="zh-CN"/>
                    </w:rPr>
                  </w:pPr>
                  <w:r>
                    <w:rPr>
                      <w:rFonts w:hint="default" w:ascii="Times New Roman" w:hAnsi="Times New Roman" w:eastAsia="附件"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钡</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szCs w:val="21"/>
                    </w:rPr>
                    <w:t>3.16</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szCs w:val="21"/>
                    </w:rPr>
                    <w:t>3.30</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szCs w:val="21"/>
                    </w:rPr>
                    <w:t>3.84</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709"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石油烃</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8</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13</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0.002</w:t>
                  </w:r>
                </w:p>
              </w:tc>
              <w:tc>
                <w:tcPr>
                  <w:tcW w:w="850"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0.003</w:t>
                  </w:r>
                </w:p>
              </w:tc>
              <w:tc>
                <w:tcPr>
                  <w:tcW w:w="709"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0.002</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eastAsia="zh-CN"/>
                    </w:rPr>
                  </w:pPr>
                  <w:r>
                    <w:rPr>
                      <w:rFonts w:hint="default" w:ascii="Times New Roman" w:hAnsi="Times New Roman" w:eastAsia="附件" w:cs="Times New Roman"/>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pH</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7.30</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7.42</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7.44</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6.5~8.5</w:t>
                  </w:r>
                </w:p>
              </w:tc>
              <w:tc>
                <w:tcPr>
                  <w:tcW w:w="8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70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硫化物</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0.50</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0.48</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0.46</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70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eastAsia="zh-CN"/>
                    </w:rPr>
                  </w:pPr>
                  <w:r>
                    <w:rPr>
                      <w:rFonts w:hint="default" w:ascii="Times New Roman" w:hAnsi="Times New Roman" w:eastAsia="附件"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钡</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szCs w:val="21"/>
                    </w:rPr>
                    <w:t>2.52</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lang w:bidi="ar"/>
                    </w:rPr>
                  </w:pPr>
                  <w:r>
                    <w:rPr>
                      <w:rFonts w:hint="default" w:ascii="Times New Roman" w:hAnsi="Times New Roman" w:cs="Times New Roman"/>
                      <w:szCs w:val="21"/>
                    </w:rPr>
                    <w:t>2.25</w:t>
                  </w:r>
                </w:p>
              </w:tc>
              <w:tc>
                <w:tcPr>
                  <w:tcW w:w="850" w:type="dxa"/>
                  <w:tcBorders>
                    <w:tl2br w:val="nil"/>
                    <w:tr2bl w:val="nil"/>
                  </w:tcBorders>
                  <w:vAlign w:val="center"/>
                </w:tcPr>
                <w:p>
                  <w:pPr>
                    <w:spacing w:line="240" w:lineRule="exact"/>
                    <w:jc w:val="center"/>
                    <w:rPr>
                      <w:rFonts w:hint="default" w:ascii="Times New Roman" w:hAnsi="Times New Roman" w:cs="Times New Roman"/>
                      <w:kern w:val="0"/>
                      <w:szCs w:val="21"/>
                      <w:lang w:bidi="ar"/>
                    </w:rPr>
                  </w:pPr>
                  <w:r>
                    <w:rPr>
                      <w:rFonts w:hint="default" w:ascii="Times New Roman" w:hAnsi="Times New Roman" w:cs="Times New Roman"/>
                      <w:szCs w:val="21"/>
                    </w:rPr>
                    <w:t>2.33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w:t>
                  </w:r>
                </w:p>
              </w:tc>
              <w:tc>
                <w:tcPr>
                  <w:tcW w:w="8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70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石油烃</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9</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18</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17</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0.002</w:t>
                  </w:r>
                </w:p>
              </w:tc>
              <w:tc>
                <w:tcPr>
                  <w:tcW w:w="850"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0.003</w:t>
                  </w:r>
                </w:p>
              </w:tc>
              <w:tc>
                <w:tcPr>
                  <w:tcW w:w="709"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default" w:ascii="Times New Roman" w:hAnsi="Times New Roman" w:eastAsia="附件" w:cs="Times New Roman"/>
                      <w:kern w:val="0"/>
                      <w:szCs w:val="21"/>
                      <w:lang w:val="en-US" w:eastAsia="zh-CN"/>
                    </w:rPr>
                    <w:t>0.003</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lang w:eastAsia="zh-CN"/>
                    </w:rPr>
                  </w:pPr>
                  <w:r>
                    <w:rPr>
                      <w:rFonts w:hint="default" w:ascii="Times New Roman" w:hAnsi="Times New Roman" w:eastAsia="附件" w:cs="Times New Roman"/>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pH</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7.40</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7.47</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7.52</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6.5~8.5</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p>
              </w:tc>
              <w:tc>
                <w:tcPr>
                  <w:tcW w:w="709" w:type="dxa"/>
                  <w:tcBorders>
                    <w:tl2br w:val="nil"/>
                    <w:tr2bl w:val="nil"/>
                  </w:tcBorders>
                  <w:vAlign w:val="center"/>
                </w:tcPr>
                <w:p>
                  <w:pPr>
                    <w:jc w:val="center"/>
                    <w:rPr>
                      <w:rFonts w:hint="default" w:ascii="Times New Roman" w:hAnsi="Times New Roman" w:eastAsia="附件" w:cs="Times New Roman"/>
                      <w:kern w:val="0"/>
                      <w:szCs w:val="21"/>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硫化物</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0.56</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0.55</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0.53</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709" w:type="dxa"/>
                  <w:tcBorders>
                    <w:tl2br w:val="nil"/>
                    <w:tr2bl w:val="nil"/>
                  </w:tcBorders>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钡</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szCs w:val="21"/>
                    </w:rPr>
                    <w:t>0.16</w:t>
                  </w:r>
                </w:p>
              </w:tc>
              <w:tc>
                <w:tcPr>
                  <w:tcW w:w="850" w:type="dxa"/>
                  <w:tcBorders>
                    <w:tl2br w:val="nil"/>
                    <w:tr2bl w:val="nil"/>
                  </w:tcBorders>
                  <w:vAlign w:val="center"/>
                </w:tcPr>
                <w:p>
                  <w:pPr>
                    <w:spacing w:line="240" w:lineRule="exact"/>
                    <w:jc w:val="center"/>
                    <w:rPr>
                      <w:rFonts w:hint="default" w:ascii="Times New Roman" w:hAnsi="Times New Roman" w:cs="Times New Roman"/>
                      <w:bCs/>
                      <w:szCs w:val="21"/>
                      <w:lang w:bidi="ar"/>
                    </w:rPr>
                  </w:pPr>
                  <w:r>
                    <w:rPr>
                      <w:rFonts w:hint="default" w:ascii="Times New Roman" w:hAnsi="Times New Roman" w:cs="Times New Roman"/>
                      <w:szCs w:val="21"/>
                    </w:rPr>
                    <w:t>0.14</w:t>
                  </w:r>
                </w:p>
              </w:tc>
              <w:tc>
                <w:tcPr>
                  <w:tcW w:w="850" w:type="dxa"/>
                  <w:tcBorders>
                    <w:tl2br w:val="nil"/>
                    <w:tr2bl w:val="nil"/>
                  </w:tcBorders>
                  <w:vAlign w:val="center"/>
                </w:tcPr>
                <w:p>
                  <w:pPr>
                    <w:spacing w:line="240" w:lineRule="exact"/>
                    <w:jc w:val="center"/>
                    <w:rPr>
                      <w:rFonts w:hint="default" w:ascii="Times New Roman" w:hAnsi="Times New Roman" w:cs="Times New Roman"/>
                      <w:kern w:val="0"/>
                      <w:szCs w:val="21"/>
                      <w:lang w:bidi="ar"/>
                    </w:rPr>
                  </w:pPr>
                  <w:r>
                    <w:rPr>
                      <w:rFonts w:hint="default" w:ascii="Times New Roman" w:hAnsi="Times New Roman" w:cs="Times New Roman"/>
                      <w:szCs w:val="21"/>
                    </w:rPr>
                    <w:t>0.17</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tcPr>
                <w:p>
                  <w:pPr>
                    <w:jc w:val="center"/>
                    <w:rPr>
                      <w:rFonts w:hint="default" w:ascii="Times New Roman" w:hAnsi="Times New Roman" w:eastAsia="附件" w:cs="Times New Roman"/>
                      <w:kern w:val="0"/>
                      <w:szCs w:val="21"/>
                    </w:rPr>
                  </w:pPr>
                </w:p>
              </w:tc>
              <w:tc>
                <w:tcPr>
                  <w:tcW w:w="709" w:type="dxa"/>
                  <w:tcBorders>
                    <w:tl2br w:val="nil"/>
                    <w:tr2bl w:val="nil"/>
                  </w:tcBorders>
                </w:tcPr>
                <w:p>
                  <w:pPr>
                    <w:jc w:val="center"/>
                    <w:rPr>
                      <w:rFonts w:hint="default" w:ascii="Times New Roman" w:hAnsi="Times New Roman" w:eastAsia="附件" w:cs="Times New Roman"/>
                      <w:kern w:val="0"/>
                      <w:szCs w:val="21"/>
                    </w:rPr>
                  </w:pP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w:t>
                  </w:r>
                </w:p>
              </w:tc>
              <w:tc>
                <w:tcPr>
                  <w:tcW w:w="1000"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石油烃</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8</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9</w:t>
                  </w:r>
                </w:p>
              </w:tc>
              <w:tc>
                <w:tcPr>
                  <w:tcW w:w="850" w:type="dxa"/>
                  <w:tcBorders>
                    <w:tl2br w:val="nil"/>
                    <w:tr2bl w:val="nil"/>
                  </w:tcBorders>
                  <w:vAlign w:val="center"/>
                </w:tcPr>
                <w:p>
                  <w:pPr>
                    <w:spacing w:line="240" w:lineRule="exact"/>
                    <w:jc w:val="center"/>
                    <w:rPr>
                      <w:rFonts w:hint="default" w:ascii="Times New Roman" w:hAnsi="Times New Roman" w:eastAsia="附件" w:cs="Times New Roman"/>
                      <w:kern w:val="0"/>
                      <w:szCs w:val="21"/>
                    </w:rPr>
                  </w:pPr>
                  <w:r>
                    <w:rPr>
                      <w:rFonts w:hint="default" w:ascii="Times New Roman" w:hAnsi="Times New Roman" w:cs="Times New Roman"/>
                      <w:szCs w:val="21"/>
                    </w:rPr>
                    <w:t>10</w:t>
                  </w:r>
                </w:p>
              </w:tc>
              <w:tc>
                <w:tcPr>
                  <w:tcW w:w="993"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4500</w:t>
                  </w:r>
                </w:p>
              </w:tc>
              <w:tc>
                <w:tcPr>
                  <w:tcW w:w="85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709"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52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r>
          </w:tbl>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S5、S6土壤环境现状监测及评价结果     单位：mg/kg</w:t>
            </w:r>
          </w:p>
          <w:tbl>
            <w:tblPr>
              <w:tblStyle w:val="44"/>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 w:hRule="atLeast"/>
                <w:tblHeader/>
                <w:jc w:val="center"/>
              </w:trPr>
              <w:tc>
                <w:tcPr>
                  <w:tcW w:w="527" w:type="dxa"/>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编号</w:t>
                  </w:r>
                </w:p>
              </w:tc>
              <w:tc>
                <w:tcPr>
                  <w:tcW w:w="137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因子</w:t>
                  </w:r>
                </w:p>
              </w:tc>
              <w:tc>
                <w:tcPr>
                  <w:tcW w:w="103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S5</w:t>
                  </w:r>
                </w:p>
              </w:tc>
              <w:tc>
                <w:tcPr>
                  <w:tcW w:w="86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S6</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标准值</w:t>
                  </w:r>
                  <w:r>
                    <w:rPr>
                      <w:rFonts w:hint="default" w:ascii="Times New Roman" w:hAnsi="Times New Roman" w:cs="Times New Roman"/>
                      <w:kern w:val="0"/>
                      <w:szCs w:val="21"/>
                      <w:vertAlign w:val="superscript"/>
                    </w:rPr>
                    <w:t>①</w:t>
                  </w:r>
                </w:p>
              </w:tc>
              <w:tc>
                <w:tcPr>
                  <w:tcW w:w="841"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S5</w:t>
                  </w:r>
                </w:p>
              </w:tc>
              <w:tc>
                <w:tcPr>
                  <w:tcW w:w="850" w:type="dxa"/>
                  <w:tcBorders>
                    <w:tl2br w:val="nil"/>
                    <w:tr2bl w:val="nil"/>
                  </w:tcBorders>
                  <w:vAlign w:val="center"/>
                </w:tcPr>
                <w:p>
                  <w:pPr>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S6</w:t>
                  </w: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石油烃（C</w:t>
                  </w:r>
                  <w:r>
                    <w:rPr>
                      <w:rFonts w:hint="default" w:ascii="Times New Roman" w:hAnsi="Times New Roman" w:eastAsia="附件" w:cs="Times New Roman"/>
                      <w:szCs w:val="21"/>
                      <w:vertAlign w:val="subscript"/>
                    </w:rPr>
                    <w:t>10</w:t>
                  </w:r>
                  <w:r>
                    <w:rPr>
                      <w:rFonts w:hint="default" w:ascii="Times New Roman" w:hAnsi="Times New Roman" w:eastAsia="附件" w:cs="Times New Roman"/>
                      <w:szCs w:val="21"/>
                    </w:rPr>
                    <w:t>-C</w:t>
                  </w:r>
                  <w:r>
                    <w:rPr>
                      <w:rFonts w:hint="default" w:ascii="Times New Roman" w:hAnsi="Times New Roman" w:eastAsia="附件" w:cs="Times New Roman"/>
                      <w:szCs w:val="21"/>
                      <w:vertAlign w:val="subscript"/>
                    </w:rPr>
                    <w:t>40</w:t>
                  </w:r>
                  <w:r>
                    <w:rPr>
                      <w:rFonts w:hint="default" w:ascii="Times New Roman" w:hAnsi="Times New Roman" w:eastAsia="附件" w:cs="Times New Roman"/>
                      <w:szCs w:val="21"/>
                    </w:rPr>
                    <w:t>）</w:t>
                  </w:r>
                </w:p>
              </w:tc>
              <w:tc>
                <w:tcPr>
                  <w:tcW w:w="103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8</w:t>
                  </w:r>
                </w:p>
              </w:tc>
              <w:tc>
                <w:tcPr>
                  <w:tcW w:w="86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4500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pH</w:t>
                  </w:r>
                </w:p>
              </w:tc>
              <w:tc>
                <w:tcPr>
                  <w:tcW w:w="103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7.87</w:t>
                  </w:r>
                </w:p>
              </w:tc>
              <w:tc>
                <w:tcPr>
                  <w:tcW w:w="86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7.84</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硫化物</w:t>
                  </w:r>
                </w:p>
              </w:tc>
              <w:tc>
                <w:tcPr>
                  <w:tcW w:w="103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0.47</w:t>
                  </w:r>
                </w:p>
              </w:tc>
              <w:tc>
                <w:tcPr>
                  <w:tcW w:w="860"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0.51</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850" w:type="dxa"/>
                  <w:tcBorders>
                    <w:tl2br w:val="nil"/>
                    <w:tr2bl w:val="nil"/>
                  </w:tcBorders>
                  <w:vAlign w:val="center"/>
                </w:tcPr>
                <w:p>
                  <w:pPr>
                    <w:jc w:val="center"/>
                    <w:rPr>
                      <w:rFonts w:hint="default" w:ascii="Times New Roman" w:hAnsi="Times New Roman" w:eastAsia="附件" w:cs="Times New Roman"/>
                      <w:kern w:val="0"/>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w:t>
                  </w:r>
                </w:p>
              </w:tc>
              <w:tc>
                <w:tcPr>
                  <w:tcW w:w="1376" w:type="dxa"/>
                  <w:tcBorders>
                    <w:tl2br w:val="nil"/>
                    <w:tr2bl w:val="nil"/>
                  </w:tcBorders>
                  <w:vAlign w:val="center"/>
                </w:tcPr>
                <w:p>
                  <w:pPr>
                    <w:widowControl/>
                    <w:jc w:val="center"/>
                    <w:rPr>
                      <w:rFonts w:hint="default" w:ascii="Times New Roman" w:hAnsi="Times New Roman" w:eastAsia="附件" w:cs="Times New Roman"/>
                      <w:szCs w:val="21"/>
                      <w:lang w:bidi="ar"/>
                    </w:rPr>
                  </w:pPr>
                  <w:r>
                    <w:rPr>
                      <w:rStyle w:val="383"/>
                      <w:rFonts w:hint="default" w:ascii="Times New Roman" w:hAnsi="Times New Roman" w:cs="Times New Roman"/>
                      <w:color w:val="auto"/>
                      <w:szCs w:val="21"/>
                      <w:lang w:bidi="ar"/>
                    </w:rPr>
                    <w:t>铅</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15</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20</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170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widowControl/>
                    <w:jc w:val="center"/>
                    <w:rPr>
                      <w:rFonts w:hint="default" w:ascii="Times New Roman" w:hAnsi="Times New Roman" w:eastAsia="等线" w:cs="Times New Roman"/>
                      <w:kern w:val="0"/>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Style w:val="383"/>
                      <w:rFonts w:hint="default" w:ascii="Times New Roman" w:hAnsi="Times New Roman" w:cs="Times New Roman"/>
                      <w:color w:val="auto"/>
                      <w:szCs w:val="21"/>
                      <w:lang w:bidi="ar"/>
                    </w:rPr>
                    <w:t>镉</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0.17</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0.27</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0.6</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Style w:val="383"/>
                      <w:rFonts w:hint="default" w:ascii="Times New Roman" w:hAnsi="Times New Roman" w:cs="Times New Roman"/>
                      <w:color w:val="auto"/>
                      <w:szCs w:val="21"/>
                      <w:lang w:bidi="ar"/>
                    </w:rPr>
                    <w:t>铜</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14</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13</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100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镍</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28</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38</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190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8</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铬</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41</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52</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250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9</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锌</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118</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90</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300</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10</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Style w:val="383"/>
                      <w:rFonts w:hint="default" w:ascii="Times New Roman" w:hAnsi="Times New Roman" w:cs="Times New Roman"/>
                      <w:color w:val="auto"/>
                      <w:szCs w:val="21"/>
                      <w:lang w:bidi="ar"/>
                    </w:rPr>
                    <w:t>汞</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0.091</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0.094</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3.4</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11</w:t>
                  </w:r>
                </w:p>
              </w:tc>
              <w:tc>
                <w:tcPr>
                  <w:tcW w:w="1376" w:type="dxa"/>
                  <w:tcBorders>
                    <w:tl2br w:val="nil"/>
                    <w:tr2bl w:val="nil"/>
                  </w:tcBorders>
                  <w:vAlign w:val="center"/>
                </w:tcPr>
                <w:p>
                  <w:pPr>
                    <w:widowControl/>
                    <w:jc w:val="center"/>
                    <w:rPr>
                      <w:rFonts w:hint="default" w:ascii="Times New Roman" w:hAnsi="Times New Roman" w:eastAsia="附件" w:cs="Times New Roman"/>
                      <w:szCs w:val="21"/>
                    </w:rPr>
                  </w:pPr>
                  <w:r>
                    <w:rPr>
                      <w:rStyle w:val="383"/>
                      <w:rFonts w:hint="default" w:ascii="Times New Roman" w:hAnsi="Times New Roman" w:cs="Times New Roman"/>
                      <w:color w:val="auto"/>
                      <w:szCs w:val="21"/>
                      <w:lang w:bidi="ar"/>
                    </w:rPr>
                    <w:t>砷</w:t>
                  </w:r>
                </w:p>
              </w:tc>
              <w:tc>
                <w:tcPr>
                  <w:tcW w:w="103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10.6</w:t>
                  </w:r>
                </w:p>
              </w:tc>
              <w:tc>
                <w:tcPr>
                  <w:tcW w:w="860" w:type="dxa"/>
                  <w:tcBorders>
                    <w:tl2br w:val="nil"/>
                    <w:tr2bl w:val="nil"/>
                  </w:tcBorders>
                  <w:vAlign w:val="center"/>
                </w:tcPr>
                <w:p>
                  <w:pPr>
                    <w:widowControl/>
                    <w:adjustRightInd w:val="0"/>
                    <w:snapToGrid w:val="0"/>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10.8</w:t>
                  </w:r>
                </w:p>
              </w:tc>
              <w:tc>
                <w:tcPr>
                  <w:tcW w:w="1490"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cs="Times New Roman"/>
                      <w:bCs/>
                      <w:szCs w:val="21"/>
                      <w:lang w:bidi="ar"/>
                    </w:rPr>
                    <w:t>25</w:t>
                  </w:r>
                </w:p>
              </w:tc>
              <w:tc>
                <w:tcPr>
                  <w:tcW w:w="841" w:type="dxa"/>
                  <w:tcBorders>
                    <w:tl2br w:val="nil"/>
                    <w:tr2bl w:val="nil"/>
                  </w:tcBorders>
                  <w:vAlign w:val="center"/>
                </w:tcPr>
                <w:p>
                  <w:pPr>
                    <w:jc w:val="center"/>
                    <w:rPr>
                      <w:rFonts w:hint="default" w:ascii="Times New Roman" w:hAnsi="Times New Roman" w:eastAsia="附件" w:cs="Times New Roman"/>
                      <w:kern w:val="0"/>
                      <w:szCs w:val="21"/>
                    </w:rPr>
                  </w:pPr>
                </w:p>
              </w:tc>
              <w:tc>
                <w:tcPr>
                  <w:tcW w:w="850" w:type="dxa"/>
                  <w:tcBorders>
                    <w:tl2br w:val="nil"/>
                    <w:tr2bl w:val="nil"/>
                  </w:tcBorders>
                  <w:vAlign w:val="center"/>
                </w:tcPr>
                <w:p>
                  <w:pPr>
                    <w:jc w:val="center"/>
                    <w:rPr>
                      <w:rFonts w:hint="default" w:ascii="Times New Roman" w:hAnsi="Times New Roman" w:eastAsia="等线" w:cs="Times New Roman"/>
                      <w:szCs w:val="21"/>
                    </w:rPr>
                  </w:pPr>
                </w:p>
              </w:tc>
              <w:tc>
                <w:tcPr>
                  <w:tcW w:w="1056"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bl>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土壤环境现状监测及评价结果（单位：mg/kg，pH无量纲）</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997" w:type="dxa"/>
                  <w:tcBorders>
                    <w:tl2br w:val="nil"/>
                    <w:tr2bl w:val="nil"/>
                  </w:tcBorders>
                  <w:vAlign w:val="center"/>
                </w:tcPr>
                <w:p>
                  <w:pPr>
                    <w:autoSpaceDE w:val="0"/>
                    <w:autoSpaceDN w:val="0"/>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编号</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因子</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S4</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标准值</w:t>
                  </w:r>
                  <w:r>
                    <w:rPr>
                      <w:rFonts w:hint="default" w:ascii="Times New Roman" w:hAnsi="Times New Roman" w:cs="Times New Roman"/>
                      <w:kern w:val="0"/>
                      <w:szCs w:val="21"/>
                      <w:vertAlign w:val="superscript"/>
                    </w:rPr>
                    <w:t>①</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最大标准指数值</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pH</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7.53</w:t>
                  </w:r>
                </w:p>
              </w:tc>
              <w:tc>
                <w:tcPr>
                  <w:tcW w:w="998" w:type="dxa"/>
                  <w:tcBorders>
                    <w:tl2br w:val="nil"/>
                    <w:tr2bl w:val="nil"/>
                  </w:tcBorders>
                  <w:vAlign w:val="center"/>
                </w:tcPr>
                <w:p>
                  <w:pPr>
                    <w:widowControl/>
                    <w:adjustRightInd w:val="0"/>
                    <w:snapToGrid w:val="0"/>
                    <w:jc w:val="center"/>
                    <w:textAlignment w:val="center"/>
                    <w:rPr>
                      <w:rFonts w:hint="eastAsia"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w:t>
                  </w:r>
                </w:p>
              </w:tc>
              <w:tc>
                <w:tcPr>
                  <w:tcW w:w="997" w:type="dxa"/>
                  <w:tcBorders>
                    <w:tl2br w:val="nil"/>
                    <w:tr2bl w:val="nil"/>
                  </w:tcBorders>
                  <w:vAlign w:val="center"/>
                </w:tcPr>
                <w:p>
                  <w:pPr>
                    <w:jc w:val="center"/>
                    <w:rPr>
                      <w:rFonts w:hint="eastAsia"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石油烃（C</w:t>
                  </w:r>
                  <w:r>
                    <w:rPr>
                      <w:rFonts w:hint="default" w:ascii="Times New Roman" w:hAnsi="Times New Roman" w:eastAsia="附件" w:cs="Times New Roman"/>
                      <w:szCs w:val="21"/>
                      <w:vertAlign w:val="subscript"/>
                    </w:rPr>
                    <w:t>10</w:t>
                  </w:r>
                  <w:r>
                    <w:rPr>
                      <w:rFonts w:hint="default" w:ascii="Times New Roman" w:hAnsi="Times New Roman" w:eastAsia="附件" w:cs="Times New Roman"/>
                      <w:szCs w:val="21"/>
                    </w:rPr>
                    <w:t>-C</w:t>
                  </w:r>
                  <w:r>
                    <w:rPr>
                      <w:rFonts w:hint="default" w:ascii="Times New Roman" w:hAnsi="Times New Roman" w:eastAsia="附件" w:cs="Times New Roman"/>
                      <w:szCs w:val="21"/>
                      <w:vertAlign w:val="subscript"/>
                    </w:rPr>
                    <w:t>40</w:t>
                  </w:r>
                  <w:r>
                    <w:rPr>
                      <w:rFonts w:hint="default" w:ascii="Times New Roman" w:hAnsi="Times New Roman" w:eastAsia="附件" w:cs="Times New Roman"/>
                      <w:szCs w:val="21"/>
                    </w:rPr>
                    <w:t>）</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4500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0.002</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钡</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0.27</w:t>
                  </w:r>
                </w:p>
              </w:tc>
              <w:tc>
                <w:tcPr>
                  <w:tcW w:w="998" w:type="dxa"/>
                  <w:tcBorders>
                    <w:tl2br w:val="nil"/>
                    <w:tr2bl w:val="nil"/>
                  </w:tcBorders>
                  <w:vAlign w:val="center"/>
                </w:tcPr>
                <w:p>
                  <w:pPr>
                    <w:widowControl/>
                    <w:adjustRightInd w:val="0"/>
                    <w:snapToGrid w:val="0"/>
                    <w:jc w:val="center"/>
                    <w:textAlignment w:val="center"/>
                    <w:rPr>
                      <w:rFonts w:hint="eastAsia"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w:t>
                  </w:r>
                </w:p>
              </w:tc>
              <w:tc>
                <w:tcPr>
                  <w:tcW w:w="997" w:type="dxa"/>
                  <w:tcBorders>
                    <w:tl2br w:val="nil"/>
                    <w:tr2bl w:val="nil"/>
                  </w:tcBorders>
                  <w:vAlign w:val="center"/>
                </w:tcPr>
                <w:p>
                  <w:pPr>
                    <w:jc w:val="center"/>
                    <w:rPr>
                      <w:rFonts w:hint="eastAsia"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硫化物</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0.50</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997"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w:t>
                  </w:r>
                </w:p>
              </w:tc>
              <w:tc>
                <w:tcPr>
                  <w:tcW w:w="998" w:type="dxa"/>
                  <w:tcBorders>
                    <w:tl2br w:val="nil"/>
                    <w:tr2bl w:val="nil"/>
                  </w:tcBorders>
                  <w:vAlign w:val="center"/>
                </w:tcPr>
                <w:p>
                  <w:pPr>
                    <w:widowControl/>
                    <w:jc w:val="center"/>
                    <w:rPr>
                      <w:rFonts w:hint="default" w:ascii="Times New Roman" w:hAnsi="Times New Roman" w:eastAsia="附件" w:cs="Times New Roman"/>
                      <w:szCs w:val="21"/>
                      <w:lang w:bidi="ar"/>
                    </w:rPr>
                  </w:pPr>
                  <w:r>
                    <w:rPr>
                      <w:rFonts w:hint="default" w:ascii="Times New Roman" w:hAnsi="Times New Roman" w:eastAsia="附件" w:cs="Times New Roman"/>
                      <w:szCs w:val="21"/>
                    </w:rPr>
                    <w:t>砷</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11.3</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0.565</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汞</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0.104</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8</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0.013</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铜</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10</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0.083</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8</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镍</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23</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400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0.0575</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9</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六价铬</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3.0</w:t>
                  </w:r>
                </w:p>
              </w:tc>
              <w:tc>
                <w:tcPr>
                  <w:tcW w:w="997" w:type="dxa"/>
                  <w:tcBorders>
                    <w:tl2br w:val="nil"/>
                    <w:tr2bl w:val="nil"/>
                  </w:tcBorders>
                  <w:vAlign w:val="center"/>
                </w:tcPr>
                <w:p>
                  <w:pPr>
                    <w:jc w:val="center"/>
                    <w:rPr>
                      <w:rFonts w:hint="eastAsia"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10</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铅</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20</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2000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0.01</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11</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eastAsia="附件" w:cs="Times New Roman"/>
                      <w:szCs w:val="21"/>
                    </w:rPr>
                    <w:t>镉</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0.31</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150</w:t>
                  </w:r>
                </w:p>
              </w:tc>
              <w:tc>
                <w:tcPr>
                  <w:tcW w:w="997" w:type="dxa"/>
                  <w:tcBorders>
                    <w:tl2br w:val="nil"/>
                    <w:tr2bl w:val="nil"/>
                  </w:tcBorders>
                  <w:vAlign w:val="center"/>
                </w:tcPr>
                <w:p>
                  <w:pPr>
                    <w:jc w:val="center"/>
                    <w:rPr>
                      <w:rFonts w:hint="default" w:ascii="Times New Roman" w:hAnsi="Times New Roman" w:eastAsia="附件" w:cs="Times New Roman"/>
                      <w:kern w:val="0"/>
                      <w:szCs w:val="21"/>
                      <w:lang w:val="en-US" w:eastAsia="zh-CN"/>
                    </w:rPr>
                  </w:pPr>
                  <w:r>
                    <w:rPr>
                      <w:rFonts w:hint="eastAsia" w:ascii="Times New Roman" w:hAnsi="Times New Roman" w:eastAsia="附件" w:cs="Times New Roman"/>
                      <w:kern w:val="0"/>
                      <w:szCs w:val="21"/>
                      <w:lang w:val="en-US" w:eastAsia="zh-CN"/>
                    </w:rPr>
                    <w:t>0.003</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氯甲烷</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w:t>
                  </w:r>
                </w:p>
              </w:tc>
              <w:tc>
                <w:tcPr>
                  <w:tcW w:w="997"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13</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氯乙烯</w:t>
                  </w:r>
                </w:p>
              </w:tc>
              <w:tc>
                <w:tcPr>
                  <w:tcW w:w="997"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0.12</w:t>
                  </w:r>
                </w:p>
              </w:tc>
              <w:tc>
                <w:tcPr>
                  <w:tcW w:w="997"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14</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1,1-二氯乙烯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w:t>
                  </w:r>
                </w:p>
              </w:tc>
              <w:tc>
                <w:tcPr>
                  <w:tcW w:w="997" w:type="dxa"/>
                  <w:tcBorders>
                    <w:tl2br w:val="nil"/>
                    <w:tr2bl w:val="nil"/>
                  </w:tcBorders>
                  <w:vAlign w:val="center"/>
                </w:tcPr>
                <w:p>
                  <w:pPr>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15</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二氯甲烷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94</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16</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反式-1,2-二氯乙烯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17</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1,1-二氯乙烷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18</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顺式-1,2-二氯乙烯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66</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19</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氯仿</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0.3</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20</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1,1,1-三氯乙烷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701</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21</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四氯化碳</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0.9</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22</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23</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1,2-二氯乙烷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0.52</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24</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三氯乙烯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0.7</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25</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1,2-二氯丙烷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26</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甲苯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1200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27</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1,1,2-三氯乙烷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0.6</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28</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四氯乙烯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11</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29</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氯苯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68</w:t>
                  </w:r>
                </w:p>
              </w:tc>
              <w:tc>
                <w:tcPr>
                  <w:tcW w:w="997" w:type="dxa"/>
                  <w:tcBorders>
                    <w:tl2br w:val="nil"/>
                    <w:tr2bl w:val="nil"/>
                  </w:tcBorders>
                  <w:vAlign w:val="center"/>
                </w:tcPr>
                <w:p>
                  <w:pPr>
                    <w:jc w:val="center"/>
                    <w:rPr>
                      <w:rFonts w:hint="default" w:ascii="Times New Roman" w:hAnsi="Times New Roman" w:cs="Times New Roman"/>
                      <w:szCs w:val="21"/>
                    </w:rPr>
                  </w:pP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30</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乙苯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7.2</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31</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1,1,1,2-四氯乙烷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2.6</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32</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间，对-二甲苯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163</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33</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邻-二甲苯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222</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34</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苯乙烯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1290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35</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1,1,2,2-四氯乙烷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1.6</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36</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1,2,3-三氯丙烷</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0.05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37</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1,4-二氯苯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5.6</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38</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szCs w:val="21"/>
                    </w:rPr>
                    <w:t>1,2-二氯苯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560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39</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苯胺</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92</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40</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2-氯酚</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250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41</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硝基苯</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34</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42</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萘</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25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43</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苯并[a]蒽</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44</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䓛</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490</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45</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苯并[b]荧蒽</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46</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苯并[k]荧蒽</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47</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苯并[a]芘</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48</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茚并[1,2,3-cd]芘</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997" w:type="dxa"/>
                  <w:tcBorders>
                    <w:tl2br w:val="nil"/>
                    <w:tr2bl w:val="nil"/>
                  </w:tcBorders>
                  <w:vAlign w:val="center"/>
                </w:tcPr>
                <w:p>
                  <w:pPr>
                    <w:adjustRightInd w:val="0"/>
                    <w:snapToGrid w:val="0"/>
                    <w:jc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49</w:t>
                  </w:r>
                </w:p>
              </w:tc>
              <w:tc>
                <w:tcPr>
                  <w:tcW w:w="998" w:type="dxa"/>
                  <w:tcBorders>
                    <w:tl2br w:val="nil"/>
                    <w:tr2bl w:val="nil"/>
                  </w:tcBorders>
                  <w:vAlign w:val="center"/>
                </w:tcPr>
                <w:p>
                  <w:pPr>
                    <w:widowControl/>
                    <w:jc w:val="center"/>
                    <w:rPr>
                      <w:rFonts w:hint="default" w:ascii="Times New Roman" w:hAnsi="Times New Roman" w:eastAsia="附件" w:cs="Times New Roman"/>
                      <w:szCs w:val="21"/>
                    </w:rPr>
                  </w:pPr>
                  <w:r>
                    <w:rPr>
                      <w:rFonts w:hint="default" w:ascii="Times New Roman" w:hAnsi="Times New Roman" w:cs="Times New Roman"/>
                      <w:kern w:val="0"/>
                      <w:szCs w:val="21"/>
                      <w:lang w:bidi="ar"/>
                    </w:rPr>
                    <w:t>二苯并[a,h]蒽</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ND</w:t>
                  </w:r>
                </w:p>
              </w:tc>
              <w:tc>
                <w:tcPr>
                  <w:tcW w:w="998"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0.55</w:t>
                  </w:r>
                </w:p>
              </w:tc>
              <w:tc>
                <w:tcPr>
                  <w:tcW w:w="9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附件" w:cs="Times New Roman"/>
                      <w:kern w:val="0"/>
                      <w:szCs w:val="21"/>
                    </w:rPr>
                    <w:t>/</w:t>
                  </w:r>
                </w:p>
              </w:tc>
              <w:tc>
                <w:tcPr>
                  <w:tcW w:w="1001" w:type="dxa"/>
                  <w:tcBorders>
                    <w:tl2br w:val="nil"/>
                    <w:tr2bl w:val="nil"/>
                  </w:tcBorders>
                  <w:vAlign w:val="center"/>
                </w:tcPr>
                <w:p>
                  <w:pPr>
                    <w:widowControl/>
                    <w:adjustRightInd w:val="0"/>
                    <w:snapToGrid w:val="0"/>
                    <w:jc w:val="center"/>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5988" w:type="dxa"/>
                  <w:gridSpan w:val="6"/>
                  <w:tcBorders>
                    <w:tl2br w:val="nil"/>
                    <w:tr2bl w:val="nil"/>
                  </w:tcBorders>
                  <w:vAlign w:val="center"/>
                </w:tcPr>
                <w:p>
                  <w:pPr>
                    <w:widowControl/>
                    <w:adjustRightInd w:val="0"/>
                    <w:snapToGrid w:val="0"/>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①括号外为6.5＜pH≤7.5中风险筛选值；括号内pH&gt;7.5中风险筛选值。</w:t>
                  </w:r>
                </w:p>
                <w:p>
                  <w:pPr>
                    <w:widowControl/>
                    <w:adjustRightInd w:val="0"/>
                    <w:snapToGrid w:val="0"/>
                    <w:textAlignment w:val="center"/>
                    <w:rPr>
                      <w:rFonts w:hint="default" w:ascii="Times New Roman" w:hAnsi="Times New Roman" w:eastAsia="附件" w:cs="Times New Roman"/>
                      <w:kern w:val="0"/>
                      <w:szCs w:val="21"/>
                    </w:rPr>
                  </w:pPr>
                  <w:r>
                    <w:rPr>
                      <w:rFonts w:hint="default" w:ascii="Times New Roman" w:hAnsi="Times New Roman" w:eastAsia="附件" w:cs="Times New Roman"/>
                      <w:kern w:val="0"/>
                      <w:szCs w:val="21"/>
                    </w:rPr>
                    <w:t>②注TR1 ~ TR3执行pH&gt;7.5中风险筛选值。</w:t>
                  </w:r>
                </w:p>
              </w:tc>
            </w:tr>
          </w:tbl>
          <w:p>
            <w:pPr>
              <w:spacing w:line="360" w:lineRule="auto"/>
              <w:ind w:firstLine="480" w:firstLineChars="200"/>
              <w:rPr>
                <w:rFonts w:hint="default" w:ascii="Times New Roman" w:hAnsi="Times New Roman" w:cs="Times New Roman"/>
                <w:kern w:val="0"/>
                <w:szCs w:val="21"/>
              </w:rPr>
            </w:pPr>
            <w:r>
              <w:rPr>
                <w:rFonts w:hint="default" w:ascii="Times New Roman" w:hAnsi="Times New Roman" w:eastAsia="附件" w:cs="Times New Roman"/>
                <w:sz w:val="24"/>
              </w:rPr>
              <w:t>从监测结果分析，各样点土壤环境质量良好，各项监测指标均可达到《土壤环境质量农用地土壤污染风险管控标准（试行）》（GB15618-2018）筛选值，《土壤环境质量建设用地土壤污染风险管控标准（试行）》（GB36600-2018）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bCs/>
                <w:szCs w:val="21"/>
              </w:rPr>
              <w:t>与项目有关的原有环境污染和生态破坏问题</w:t>
            </w:r>
          </w:p>
        </w:tc>
        <w:tc>
          <w:tcPr>
            <w:tcW w:w="8253" w:type="dxa"/>
            <w:vAlign w:val="center"/>
          </w:tcPr>
          <w:p>
            <w:pPr>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3.3与本项目有关的原有污染情况及主要环境问题</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（1）铁北1井环保手续履行情况</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铁北1井环保手续履行情况如下表所示：</w:t>
            </w:r>
          </w:p>
          <w:p>
            <w:pPr>
              <w:spacing w:line="360" w:lineRule="auto"/>
              <w:ind w:firstLine="482" w:firstLineChars="200"/>
              <w:jc w:val="center"/>
              <w:rPr>
                <w:rFonts w:hint="default" w:ascii="Times New Roman" w:hAnsi="Times New Roman" w:cs="Times New Roman"/>
                <w:b/>
                <w:bCs/>
                <w:kern w:val="0"/>
                <w:sz w:val="24"/>
              </w:rPr>
            </w:pPr>
            <w:r>
              <w:rPr>
                <w:rFonts w:hint="default" w:ascii="Times New Roman" w:hAnsi="Times New Roman" w:cs="Times New Roman"/>
                <w:b/>
                <w:bCs/>
                <w:kern w:val="0"/>
                <w:sz w:val="24"/>
              </w:rPr>
              <w:t>表3-4铁北1井环保手续履行情况表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268"/>
              <w:gridCol w:w="1701"/>
              <w:gridCol w:w="1842"/>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2"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eastAsia="附件" w:cs="Times New Roman"/>
                      <w:kern w:val="0"/>
                      <w:sz w:val="21"/>
                      <w:szCs w:val="21"/>
                    </w:rPr>
                    <w:t>项目名称</w:t>
                  </w:r>
                </w:p>
              </w:tc>
              <w:tc>
                <w:tcPr>
                  <w:tcW w:w="2268"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eastAsia="附件" w:cs="Times New Roman"/>
                      <w:kern w:val="0"/>
                      <w:sz w:val="21"/>
                      <w:szCs w:val="21"/>
                    </w:rPr>
                    <w:t>建设内容</w:t>
                  </w:r>
                </w:p>
              </w:tc>
              <w:tc>
                <w:tcPr>
                  <w:tcW w:w="1701"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eastAsia="附件" w:cs="Times New Roman"/>
                      <w:kern w:val="0"/>
                      <w:sz w:val="21"/>
                      <w:szCs w:val="21"/>
                    </w:rPr>
                    <w:t>环评批复</w:t>
                  </w:r>
                </w:p>
              </w:tc>
              <w:tc>
                <w:tcPr>
                  <w:tcW w:w="1842"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eastAsia="附件" w:cs="Times New Roman"/>
                      <w:kern w:val="0"/>
                      <w:sz w:val="21"/>
                      <w:szCs w:val="21"/>
                    </w:rPr>
                    <w:t>批复时间</w:t>
                  </w:r>
                </w:p>
              </w:tc>
              <w:tc>
                <w:tcPr>
                  <w:tcW w:w="1114"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eastAsia="附件" w:cs="Times New Roman"/>
                      <w:kern w:val="0"/>
                      <w:sz w:val="21"/>
                      <w:szCs w:val="21"/>
                    </w:rPr>
                    <w:t>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2"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cs="Times New Roman"/>
                      <w:kern w:val="0"/>
                      <w:sz w:val="21"/>
                      <w:szCs w:val="21"/>
                      <w:lang w:val="en-US" w:eastAsia="zh-CN"/>
                    </w:rPr>
                    <w:t>铁北1井</w:t>
                  </w:r>
                  <w:r>
                    <w:rPr>
                      <w:rFonts w:hint="default" w:ascii="Times New Roman" w:hAnsi="Times New Roman" w:cs="Times New Roman"/>
                      <w:kern w:val="0"/>
                      <w:sz w:val="21"/>
                      <w:szCs w:val="21"/>
                    </w:rPr>
                    <w:t>钻井工程</w:t>
                  </w:r>
                </w:p>
              </w:tc>
              <w:tc>
                <w:tcPr>
                  <w:tcW w:w="2268"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cs="Times New Roman"/>
                      <w:kern w:val="0"/>
                      <w:sz w:val="21"/>
                      <w:szCs w:val="21"/>
                    </w:rPr>
                    <w:t>井场占地6850m</w:t>
                  </w:r>
                  <w:r>
                    <w:rPr>
                      <w:rFonts w:hint="default" w:ascii="Times New Roman" w:hAnsi="Times New Roman" w:cs="Times New Roman"/>
                      <w:kern w:val="0"/>
                      <w:sz w:val="21"/>
                      <w:szCs w:val="21"/>
                      <w:vertAlign w:val="superscript"/>
                    </w:rPr>
                    <w:t>2</w:t>
                  </w:r>
                  <w:r>
                    <w:rPr>
                      <w:rFonts w:hint="default" w:ascii="Times New Roman" w:hAnsi="Times New Roman" w:cs="Times New Roman"/>
                      <w:kern w:val="0"/>
                      <w:sz w:val="21"/>
                      <w:szCs w:val="21"/>
                    </w:rPr>
                    <w:t>，设计井深4535m，包括钻前工程、钻井工程及完井工程</w:t>
                  </w:r>
                </w:p>
              </w:tc>
              <w:tc>
                <w:tcPr>
                  <w:tcW w:w="1701"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cs="Times New Roman"/>
                      <w:kern w:val="0"/>
                      <w:sz w:val="21"/>
                      <w:szCs w:val="21"/>
                    </w:rPr>
                    <w:t>达市环建函﹝2007﹞2号</w:t>
                  </w:r>
                </w:p>
              </w:tc>
              <w:tc>
                <w:tcPr>
                  <w:tcW w:w="1842"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cs="Times New Roman"/>
                      <w:kern w:val="0"/>
                      <w:sz w:val="21"/>
                      <w:szCs w:val="21"/>
                    </w:rPr>
                    <w:t>2007年2月6日</w:t>
                  </w:r>
                </w:p>
              </w:tc>
              <w:tc>
                <w:tcPr>
                  <w:tcW w:w="1114" w:type="dxa"/>
                  <w:shd w:val="clear" w:color="auto" w:fill="auto"/>
                  <w:vAlign w:val="center"/>
                </w:tcPr>
                <w:p>
                  <w:pPr>
                    <w:jc w:val="center"/>
                    <w:rPr>
                      <w:rFonts w:hint="default" w:ascii="Times New Roman" w:hAnsi="Times New Roman" w:eastAsia="附件" w:cs="Times New Roman"/>
                      <w:kern w:val="0"/>
                      <w:sz w:val="21"/>
                      <w:szCs w:val="21"/>
                    </w:rPr>
                  </w:pPr>
                  <w:r>
                    <w:rPr>
                      <w:rFonts w:hint="default" w:ascii="Times New Roman" w:hAnsi="Times New Roman" w:cs="Times New Roman"/>
                      <w:kern w:val="0"/>
                      <w:sz w:val="21"/>
                      <w:szCs w:val="21"/>
                    </w:rPr>
                    <w:t>达市环验﹝2011﹞9号</w:t>
                  </w:r>
                </w:p>
              </w:tc>
            </w:tr>
          </w:tbl>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（2）原有污染情况：</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①废水、地下水</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根据验收资料显示，钻井过程产生的钻井废水约5000m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大部分回用，剩余废水贮存于经过防渗漏、防腐处理的废水池中。建设单位提供的资料显示，工程结束后，铁北1井钻井废水治理由中原石油勘探局钻井工程技术研究院完成，主要采用化学混凝、催化氧化组合工艺治理。井场污水处理完毕，经达州市宣汉县环保部门检测验收合格，出具排放通知单。污水达标处理后用水罐车转运至大成镇回龙村四组排放点排放入溪流。该排放路线和当地政府协商后选定，得到宣汉县环保局认可，己避开饮用、灌溉水源及堰塘。共计治理废水1978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达州市宣汉县环境监测站对该治理废水进行了监测(报告编号：200806233)，所监测项目pH、化学需氧量、六价铬、硫化物、挥发酚、石油类和悬浮物均符合《污水综合排放标准》(GB8978-1996)中表1和表4之一级排放标准。达州市宣汉县环境保护局以宣环监08041号文同意铁北1井钻井废水达标排放，由宣汉县环境监察大队现场监督实施。根据现场调查，废水池内液位处于正常水位，池壁未见明显渗漏。根据对周边地下水环境现状监测资料可知，监测结果满足相应环境标准，本项目废水未对周边环境造成影响。</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②废气</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根据验收资料显示，铁北1井钻井时，提供动力的柴油机产生废气，其主要污染物是烟尘和NO</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.根据对钻井柴油机的类比调查，其外排的NO</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落地浓度一般不会超标，对环境空气的影响不大，柴油废气中所排放黑烟和废气味对井场周边50m以内有一定影响，但这种影响是短暂的，随钻井结束而终止；钻进中遇地层有可燃气体或有害气体(H</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S)产生，将其引入放喷管燃烧排放；钻进中遇气浸，泥浆中可能含有H</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S、CO</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必须除掉，通过脱气管燃烧排放；测试放喷时，燃烧废气会对大气环境影响，但是放喷时间短，不会对大气环境造成严重影响。测试放喷槽周围500m以内放喷时撤离居民，无人居住，放喷时热辐射对附近居民影响不大。目前钻井工程已结束，废气污染也随之停止，因此废气污染影响较小。</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③固废</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根据验收资料显示，固废池约2800m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已固化，周边设置了排水通道，未发生岩屑丢弃现象。固化后的泥浆池表面覆盖25cm混凝土封存，固化池高于周边环境，封盖表面预设自然排水坡度，最低部设排水口，可确保池内不积存雨水，池壁少量渗漏处已封补。职工生活垃圾收集于垃圾池，采用就地填埋处理，不会污染当地环境。各种包装材料分类收集，回收利用，不会对环境造成影响。建设单位提供资料显示，中原石油勘探局钻井工程技术研究院共计治理固化废弃物2928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固化后的废弃物填埋在固化池内，在固化好的泥浆池表面打250mm混凝土封存。达州市宣汉县环境监测站对该井钻井泥浆固化物浸出液进行了监测，报告编号：宣环监字(2009)第097号，所监测项目pH、氯化物、化学需氧量、六价铬、石油类、挥发酚、铜、锌、铅、镉和色度均符合《污水综合排放标准》（GB8978-1996)表1、表4之一级排放标准。根据现状调查及井场周边土壤现状监测可知，土壤环境现状监测结果满足相应的标准，铁北1井施工过程未对周边环境造成影响。</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④噪声</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铁北1井施工过程产生的噪声主要为钻井设备及其他设备运行过程产生的噪声，由于施工时间较短，随着施工结束后，噪声污染也随之停止，钻井完成后场内未进行采气作业，因此随施工结束噪声污染影响已经停止。</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原铁北1井钻井工程已完工，通过现状调查以及咨询主管部门，钻井期间无环保投诉情况。通过环境现状监测结果可知，未对周边环境造成影响。</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综上所述，铁北1井环保手续齐全，钻井过程中产生的污染均得到有效处置，根据现状监测，铁北1井施工未对外环境造成污染，对外环境影响较小。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904"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生态环境保护目标</w:t>
            </w:r>
          </w:p>
        </w:tc>
        <w:tc>
          <w:tcPr>
            <w:tcW w:w="8253" w:type="dxa"/>
            <w:vAlign w:val="center"/>
          </w:tcPr>
          <w:p>
            <w:pPr>
              <w:adjustRightInd w:val="0"/>
              <w:snapToGrid w:val="0"/>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3.4项目外环境关系</w:t>
            </w:r>
          </w:p>
          <w:p>
            <w:pPr>
              <w:spacing w:line="360" w:lineRule="auto"/>
              <w:rPr>
                <w:rFonts w:hint="default" w:ascii="Times New Roman" w:hAnsi="Times New Roman" w:cs="Times New Roman"/>
                <w:b/>
                <w:sz w:val="24"/>
              </w:rPr>
            </w:pPr>
            <w:bookmarkStart w:id="34" w:name="_Hlk69131030"/>
            <w:r>
              <w:rPr>
                <w:rFonts w:hint="default" w:ascii="Times New Roman" w:hAnsi="Times New Roman" w:cs="Times New Roman"/>
                <w:b/>
                <w:sz w:val="24"/>
              </w:rPr>
              <w:t>3.4.1外环境关系</w:t>
            </w:r>
          </w:p>
          <w:p>
            <w:pPr>
              <w:spacing w:line="360" w:lineRule="auto"/>
              <w:ind w:firstLine="480" w:firstLineChars="200"/>
              <w:rPr>
                <w:rFonts w:hint="default" w:ascii="Times New Roman" w:hAnsi="Times New Roman" w:cs="Times New Roman"/>
                <w:bCs/>
                <w:sz w:val="24"/>
              </w:rPr>
            </w:pPr>
            <w:bookmarkStart w:id="35" w:name="_Hlk80691296"/>
            <w:r>
              <w:rPr>
                <w:rFonts w:hint="default" w:ascii="Times New Roman" w:hAnsi="Times New Roman" w:cs="Times New Roman"/>
                <w:bCs/>
                <w:sz w:val="24"/>
              </w:rPr>
              <w:t>1、项目井场周边外环境简况</w:t>
            </w:r>
          </w:p>
          <w:p>
            <w:pPr>
              <w:spacing w:line="360" w:lineRule="auto"/>
              <w:ind w:firstLine="480" w:firstLineChars="200"/>
              <w:rPr>
                <w:rFonts w:hint="default" w:ascii="Times New Roman" w:hAnsi="Times New Roman" w:cs="Times New Roman"/>
                <w:bCs/>
                <w:sz w:val="24"/>
              </w:rPr>
            </w:pPr>
            <w:bookmarkStart w:id="36" w:name="_Hlk86168389"/>
            <w:r>
              <w:rPr>
                <w:rFonts w:hint="default" w:ascii="Times New Roman" w:hAnsi="Times New Roman" w:cs="Times New Roman"/>
                <w:bCs/>
                <w:sz w:val="24"/>
              </w:rPr>
              <w:t>铁北1侧HF井位于四川省达州市宣汉县大成镇大地村1组，井场区域地貌为丘陵，井场沿北-南向摆放。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t>根据现场调查可知：</w:t>
            </w:r>
            <w:r>
              <w:rPr>
                <w:rFonts w:hint="default" w:ascii="Times New Roman" w:hAnsi="Times New Roman" w:cs="Times New Roman"/>
                <w:sz w:val="24"/>
              </w:rPr>
              <w:t>井口500m范围内无铁路、无建制学校、高速公路、场镇、医院，煤矿；无大型厂矿、油库以及风景名胜区等。</w:t>
            </w:r>
            <w:bookmarkEnd w:id="3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2、井场周边人居现状</w:t>
            </w:r>
          </w:p>
          <w:p>
            <w:pPr>
              <w:pStyle w:val="213"/>
              <w:rPr>
                <w:rFonts w:hint="default" w:ascii="Times New Roman" w:hAnsi="Times New Roman" w:cs="Times New Roman"/>
                <w:szCs w:val="24"/>
              </w:rPr>
            </w:pPr>
            <w:bookmarkStart w:id="37" w:name="_Hlk86168401"/>
            <w:r>
              <w:rPr>
                <w:rFonts w:hint="default" w:ascii="Times New Roman" w:hAnsi="Times New Roman" w:cs="Times New Roman"/>
                <w:szCs w:val="24"/>
              </w:rPr>
              <w:t>井口方圆500m范围内共计人口173人。井口100m范围内无居民</w:t>
            </w:r>
            <w:bookmarkEnd w:id="37"/>
            <w:r>
              <w:rPr>
                <w:rFonts w:hint="default" w:ascii="Times New Roman" w:hAnsi="Times New Roman" w:cs="Times New Roman"/>
                <w:szCs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3、井场周边地表水现状</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井场所在地及周边地貌主要为旱地、水田，通过现场调查，</w:t>
            </w:r>
            <w:bookmarkStart w:id="38" w:name="_Hlk103759370"/>
            <w:r>
              <w:rPr>
                <w:rFonts w:hint="default" w:ascii="Times New Roman" w:hAnsi="Times New Roman" w:cs="Times New Roman"/>
                <w:sz w:val="24"/>
              </w:rPr>
              <w:t>井场东侧约765m处为五星水库。井场西侧约503m为刘家河，无水力联系，无水域功能，井口500m范围内无大型河流、水库等。经调查核实，项目评价区域内不涉及集中式饮用水源保护区</w:t>
            </w:r>
            <w:bookmarkEnd w:id="38"/>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4、项目周边农户饮用水源现状</w:t>
            </w:r>
          </w:p>
          <w:p>
            <w:pPr>
              <w:spacing w:line="360" w:lineRule="auto"/>
              <w:ind w:firstLine="480" w:firstLineChars="200"/>
              <w:textAlignment w:val="baseline"/>
              <w:rPr>
                <w:rFonts w:hint="default" w:ascii="Times New Roman" w:hAnsi="Times New Roman" w:cs="Times New Roman"/>
                <w:sz w:val="24"/>
              </w:rPr>
            </w:pPr>
            <w:bookmarkStart w:id="39" w:name="_Hlk103759510"/>
            <w:r>
              <w:rPr>
                <w:rFonts w:hint="default" w:ascii="Times New Roman" w:hAnsi="Times New Roman" w:cs="Times New Roman"/>
                <w:sz w:val="24"/>
              </w:rPr>
              <w:t>本项目地处农村环境，经</w:t>
            </w:r>
            <w:r>
              <w:rPr>
                <w:rFonts w:hint="default" w:ascii="Times New Roman" w:hAnsi="Times New Roman" w:cs="Times New Roman"/>
                <w:kern w:val="0"/>
                <w:sz w:val="24"/>
              </w:rPr>
              <w:t>调查，</w:t>
            </w:r>
            <w:r>
              <w:rPr>
                <w:rFonts w:hint="default" w:ascii="Times New Roman" w:hAnsi="Times New Roman" w:cs="Times New Roman"/>
                <w:sz w:val="24"/>
              </w:rPr>
              <w:t>当地农户主要以自来水作为生活饮用水和生产用水，周边遗留部分自打水井，作为生活辅助用水，取水层位为潜水含水层，地下水类型为基岩风化带网状裂隙水</w:t>
            </w:r>
            <w:bookmarkEnd w:id="39"/>
            <w:r>
              <w:rPr>
                <w:rFonts w:hint="default" w:ascii="Times New Roman" w:hAnsi="Times New Roman" w:cs="Times New Roman"/>
                <w:sz w:val="24"/>
              </w:rPr>
              <w:t>，含水层厚度一般为15~30m，因此本项目地下水环境保护目标为井场周边存在的分散式饮用水水源。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5、项目放喷池周边环境现状</w:t>
            </w:r>
          </w:p>
          <w:p>
            <w:pPr>
              <w:spacing w:line="360" w:lineRule="auto"/>
              <w:ind w:firstLine="480" w:firstLineChars="200"/>
              <w:rPr>
                <w:rFonts w:hint="default" w:ascii="Times New Roman" w:hAnsi="Times New Roman" w:cs="Times New Roman"/>
                <w:sz w:val="24"/>
              </w:rPr>
            </w:pPr>
            <w:bookmarkStart w:id="40" w:name="_Hlk86168415"/>
            <w:r>
              <w:rPr>
                <w:rFonts w:hint="default" w:ascii="Times New Roman" w:hAnsi="Times New Roman" w:cs="Times New Roman"/>
                <w:sz w:val="24"/>
              </w:rPr>
              <w:t>放喷池分别位于井场南、北侧；根据现场踏勘结果。目前放喷池周边有少量杂草分布，放喷池作业前应进行低矮杂草清除</w:t>
            </w:r>
            <w:bookmarkEnd w:id="34"/>
            <w:bookmarkEnd w:id="35"/>
            <w:bookmarkEnd w:id="40"/>
            <w:r>
              <w:rPr>
                <w:rFonts w:hint="default" w:ascii="Times New Roman" w:hAnsi="Times New Roman" w:cs="Times New Roman"/>
                <w:sz w:val="24"/>
              </w:rPr>
              <w:t>。</w:t>
            </w:r>
          </w:p>
          <w:p>
            <w:pPr>
              <w:adjustRightInd w:val="0"/>
              <w:snapToGrid w:val="0"/>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3.4.2敏感目标分布情况</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1、生态环境敏感目标</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项目占地范围内无自然保护区、风景名胜区、文物古迹等特殊敏感区，不涉及生态红线。</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2、环境空气敏感目标</w:t>
            </w:r>
          </w:p>
          <w:p>
            <w:pPr>
              <w:adjustRightInd w:val="0"/>
              <w:snapToGrid w:val="0"/>
              <w:spacing w:line="360" w:lineRule="auto"/>
              <w:ind w:firstLine="464" w:firstLineChars="200"/>
              <w:rPr>
                <w:rFonts w:hint="default" w:ascii="Times New Roman" w:hAnsi="Times New Roman" w:cs="Times New Roman"/>
                <w:spacing w:val="-4"/>
                <w:kern w:val="0"/>
                <w:sz w:val="24"/>
              </w:rPr>
            </w:pPr>
            <w:r>
              <w:rPr>
                <w:rFonts w:hint="default" w:ascii="Times New Roman" w:hAnsi="Times New Roman" w:cs="Times New Roman"/>
                <w:spacing w:val="-4"/>
                <w:kern w:val="0"/>
                <w:sz w:val="24"/>
              </w:rPr>
              <w:t>项目无需调查大气环境敏感目标。但鉴于项目特点，本次环评统计井口500m范围内敏感点分布情况。</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 w:val="24"/>
              </w:rPr>
              <w:t>项目主要环境保护目标</w:t>
            </w:r>
          </w:p>
          <w:tbl>
            <w:tblPr>
              <w:tblStyle w:val="45"/>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55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X</w:t>
                  </w:r>
                </w:p>
              </w:tc>
              <w:tc>
                <w:tcPr>
                  <w:tcW w:w="61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Y</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保护对象</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保护内容</w:t>
                  </w:r>
                </w:p>
              </w:tc>
              <w:tc>
                <w:tcPr>
                  <w:tcW w:w="79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相对厂址方位</w:t>
                  </w:r>
                </w:p>
              </w:tc>
              <w:tc>
                <w:tcPr>
                  <w:tcW w:w="79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与井口最近距离/m</w:t>
                  </w:r>
                </w:p>
              </w:tc>
              <w:tc>
                <w:tcPr>
                  <w:tcW w:w="79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与井场场界距离/m</w:t>
                  </w:r>
                </w:p>
              </w:tc>
              <w:tc>
                <w:tcPr>
                  <w:tcW w:w="79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与井场高差</w:t>
                  </w:r>
                </w:p>
              </w:tc>
              <w:tc>
                <w:tcPr>
                  <w:tcW w:w="796"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与</w:t>
                  </w:r>
                  <w:r>
                    <w:rPr>
                      <w:rFonts w:hint="default" w:ascii="Times New Roman" w:hAnsi="Times New Roman" w:eastAsia="宋体" w:cs="Times New Roman"/>
                      <w:szCs w:val="21"/>
                      <w:lang w:val="en-US"/>
                    </w:rPr>
                    <w:t>主</w:t>
                  </w:r>
                  <w:r>
                    <w:rPr>
                      <w:rFonts w:hint="default" w:ascii="Times New Roman" w:hAnsi="Times New Roman" w:eastAsia="宋体" w:cs="Times New Roman"/>
                      <w:szCs w:val="21"/>
                    </w:rPr>
                    <w:t>放喷池最近距离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cs="Times New Roman"/>
                      <w:szCs w:val="21"/>
                    </w:rPr>
                    <w:t>1#</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-9</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471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2</w:t>
                  </w:r>
                  <w:r>
                    <w:rPr>
                      <w:rFonts w:hint="default" w:ascii="Times New Roman" w:hAnsi="Times New Roman" w:eastAsia="宋体" w:cs="Times New Roman"/>
                      <w:szCs w:val="21"/>
                    </w:rPr>
                    <w:t>户，</w:t>
                  </w:r>
                  <w:r>
                    <w:rPr>
                      <w:rFonts w:hint="default" w:ascii="Times New Roman" w:hAnsi="Times New Roman" w:cs="Times New Roman" w:eastAsiaTheme="minorEastAsia"/>
                      <w:szCs w:val="21"/>
                      <w:lang w:val="en-US"/>
                    </w:rPr>
                    <w:t>7</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471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446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527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rPr>
                    <w:t>2</w:t>
                  </w:r>
                  <w:r>
                    <w:rPr>
                      <w:rFonts w:hint="default" w:ascii="Times New Roman" w:hAnsi="Times New Roman" w:cs="Times New Roman"/>
                      <w:szCs w:val="21"/>
                    </w:rPr>
                    <w:t>#</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307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247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6</w:t>
                  </w:r>
                  <w:r>
                    <w:rPr>
                      <w:rFonts w:hint="default" w:ascii="Times New Roman" w:hAnsi="Times New Roman" w:eastAsia="宋体" w:cs="Times New Roman"/>
                      <w:szCs w:val="21"/>
                    </w:rPr>
                    <w:t>户，</w:t>
                  </w:r>
                  <w:r>
                    <w:rPr>
                      <w:rFonts w:hint="default" w:ascii="Times New Roman" w:hAnsi="Times New Roman" w:eastAsia="等线" w:cs="Times New Roman"/>
                      <w:szCs w:val="21"/>
                    </w:rPr>
                    <w:t>20</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等线" w:cs="Times New Roman"/>
                      <w:szCs w:val="21"/>
                      <w:lang w:val="en-US"/>
                    </w:rPr>
                  </w:pPr>
                  <w:r>
                    <w:rPr>
                      <w:rFonts w:hint="default" w:ascii="Times New Roman" w:hAnsi="Times New Roman" w:eastAsia="等线"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394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369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-14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252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rPr>
                    <w:t>3</w:t>
                  </w:r>
                  <w:r>
                    <w:rPr>
                      <w:rFonts w:hint="default" w:ascii="Times New Roman" w:hAnsi="Times New Roman" w:cs="Times New Roman"/>
                      <w:szCs w:val="21"/>
                    </w:rPr>
                    <w:t>#</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129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243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1</w:t>
                  </w:r>
                  <w:r>
                    <w:rPr>
                      <w:rFonts w:hint="default" w:ascii="Times New Roman" w:hAnsi="Times New Roman" w:eastAsia="宋体" w:cs="Times New Roman"/>
                      <w:szCs w:val="21"/>
                    </w:rPr>
                    <w:t>户，</w:t>
                  </w:r>
                  <w:r>
                    <w:rPr>
                      <w:rFonts w:hint="default" w:ascii="Times New Roman" w:hAnsi="Times New Roman" w:eastAsia="宋体" w:cs="Times New Roman"/>
                      <w:szCs w:val="21"/>
                      <w:lang w:val="en-US"/>
                    </w:rPr>
                    <w:t>3</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275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250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177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rPr>
                    <w:t>4</w:t>
                  </w:r>
                  <w:r>
                    <w:rPr>
                      <w:rFonts w:hint="default" w:ascii="Times New Roman" w:hAnsi="Times New Roman" w:cs="Times New Roman"/>
                      <w:szCs w:val="21"/>
                    </w:rPr>
                    <w:t>#</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41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144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2</w:t>
                  </w:r>
                  <w:r>
                    <w:rPr>
                      <w:rFonts w:hint="default" w:ascii="Times New Roman" w:hAnsi="Times New Roman" w:eastAsia="宋体" w:cs="Times New Roman"/>
                      <w:szCs w:val="21"/>
                    </w:rPr>
                    <w:t>户，</w:t>
                  </w:r>
                  <w:r>
                    <w:rPr>
                      <w:rFonts w:hint="default" w:ascii="Times New Roman" w:hAnsi="Times New Roman" w:eastAsia="等线" w:cs="Times New Roman"/>
                      <w:szCs w:val="21"/>
                      <w:lang w:val="en-US"/>
                    </w:rPr>
                    <w:t>8</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150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125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kern w:val="0"/>
                      <w:szCs w:val="21"/>
                    </w:rPr>
                    <w:t>5</w:t>
                  </w:r>
                  <w:r>
                    <w:rPr>
                      <w:rFonts w:hint="default" w:ascii="Times New Roman" w:hAnsi="Times New Roman" w:cs="Times New Roman"/>
                      <w:kern w:val="0"/>
                      <w:szCs w:val="21"/>
                    </w:rPr>
                    <w:t>#</w:t>
                  </w:r>
                  <w:r>
                    <w:rPr>
                      <w:rFonts w:hint="default" w:ascii="Times New Roman" w:hAnsi="Times New Roman" w:eastAsia="宋体" w:cs="Times New Roman"/>
                      <w:kern w:val="0"/>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316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136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3</w:t>
                  </w:r>
                  <w:r>
                    <w:rPr>
                      <w:rFonts w:hint="default" w:ascii="Times New Roman" w:hAnsi="Times New Roman" w:eastAsia="宋体" w:cs="Times New Roman"/>
                      <w:szCs w:val="21"/>
                    </w:rPr>
                    <w:t>户，</w:t>
                  </w:r>
                  <w:r>
                    <w:rPr>
                      <w:rFonts w:hint="default" w:ascii="Times New Roman" w:hAnsi="Times New Roman" w:eastAsia="等线" w:cs="Times New Roman"/>
                      <w:szCs w:val="21"/>
                      <w:lang w:val="en-US"/>
                    </w:rPr>
                    <w:t>10</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344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319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299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6#居民点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205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68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5</w:t>
                  </w:r>
                  <w:r>
                    <w:rPr>
                      <w:rFonts w:hint="default" w:ascii="Times New Roman" w:hAnsi="Times New Roman" w:eastAsia="宋体" w:cs="Times New Roman"/>
                      <w:szCs w:val="21"/>
                    </w:rPr>
                    <w:t>户，</w:t>
                  </w:r>
                  <w:r>
                    <w:rPr>
                      <w:rFonts w:hint="default" w:ascii="Times New Roman" w:hAnsi="Times New Roman" w:eastAsia="等线" w:cs="Times New Roman"/>
                      <w:szCs w:val="21"/>
                      <w:lang w:val="en-US"/>
                    </w:rPr>
                    <w:t>18</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等线" w:cs="Times New Roman"/>
                      <w:szCs w:val="21"/>
                      <w:lang w:val="en-US"/>
                    </w:rPr>
                  </w:pPr>
                  <w:r>
                    <w:rPr>
                      <w:rFonts w:hint="default" w:ascii="Times New Roman" w:hAnsi="Times New Roman" w:eastAsia="等线"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216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191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-36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7</w:t>
                  </w:r>
                  <w:r>
                    <w:rPr>
                      <w:rFonts w:hint="default" w:ascii="Times New Roman" w:hAnsi="Times New Roman" w:cs="Times New Roman"/>
                      <w:szCs w:val="21"/>
                    </w:rPr>
                    <w:t>#</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85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92 </w:t>
                  </w:r>
                </w:p>
              </w:tc>
              <w:tc>
                <w:tcPr>
                  <w:tcW w:w="770"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4</w:t>
                  </w:r>
                  <w:r>
                    <w:rPr>
                      <w:rFonts w:hint="default" w:ascii="Times New Roman" w:hAnsi="Times New Roman" w:eastAsia="宋体" w:cs="Times New Roman"/>
                      <w:szCs w:val="21"/>
                    </w:rPr>
                    <w:t>户，</w:t>
                  </w:r>
                  <w:r>
                    <w:rPr>
                      <w:rFonts w:hint="default" w:ascii="Times New Roman" w:hAnsi="Times New Roman" w:eastAsia="等线" w:cs="Times New Roman"/>
                      <w:szCs w:val="21"/>
                      <w:lang w:val="en-US"/>
                    </w:rPr>
                    <w:t>13</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125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100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val="zh-CN" w:bidi="ar"/>
                    </w:rPr>
                  </w:pPr>
                  <w:r>
                    <w:rPr>
                      <w:rFonts w:hint="default" w:ascii="Times New Roman" w:hAnsi="Times New Roman" w:cs="Times New Roman"/>
                      <w:color w:val="000000"/>
                      <w:kern w:val="0"/>
                      <w:sz w:val="22"/>
                      <w:szCs w:val="22"/>
                      <w:lang w:bidi="ar"/>
                    </w:rPr>
                    <w:t xml:space="preserve">-18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262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rPr>
                    <w:t>8</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166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-86 </w:t>
                  </w:r>
                </w:p>
              </w:tc>
              <w:tc>
                <w:tcPr>
                  <w:tcW w:w="770"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5</w:t>
                  </w:r>
                  <w:r>
                    <w:rPr>
                      <w:rFonts w:hint="default" w:ascii="Times New Roman" w:hAnsi="Times New Roman" w:eastAsia="宋体" w:cs="Times New Roman"/>
                      <w:szCs w:val="21"/>
                    </w:rPr>
                    <w:t>户，</w:t>
                  </w:r>
                  <w:r>
                    <w:rPr>
                      <w:rFonts w:hint="default" w:ascii="Times New Roman" w:hAnsi="Times New Roman" w:eastAsia="宋体" w:cs="Times New Roman"/>
                      <w:szCs w:val="21"/>
                      <w:lang w:val="en-US"/>
                    </w:rPr>
                    <w:t>18</w:t>
                  </w:r>
                  <w:r>
                    <w:rPr>
                      <w:rFonts w:hint="default" w:ascii="Times New Roman" w:hAnsi="Times New Roman" w:eastAsia="宋体" w:cs="Times New Roman"/>
                      <w:szCs w:val="21"/>
                    </w:rPr>
                    <w:t>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187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162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296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rPr>
                    <w:t>9</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109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-100 </w:t>
                  </w:r>
                </w:p>
              </w:tc>
              <w:tc>
                <w:tcPr>
                  <w:tcW w:w="770"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4户，14口人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148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123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-11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rPr>
                    <w:t>10</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262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-209 </w:t>
                  </w:r>
                </w:p>
              </w:tc>
              <w:tc>
                <w:tcPr>
                  <w:tcW w:w="770"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2户，7口人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335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310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-23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526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rPr>
                    <w:t>11</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310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-279 </w:t>
                  </w:r>
                </w:p>
              </w:tc>
              <w:tc>
                <w:tcPr>
                  <w:tcW w:w="770"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5户，17口人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417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392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-11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12</w:t>
                  </w:r>
                  <w:r>
                    <w:rPr>
                      <w:rFonts w:hint="default" w:ascii="Times New Roman" w:hAnsi="Times New Roman" w:eastAsia="宋体" w:cs="Times New Roman"/>
                      <w:szCs w:val="21"/>
                    </w:rPr>
                    <w:t>#居民点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192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lang w:bidi="zh-CN"/>
                    </w:rPr>
                  </w:pPr>
                  <w:r>
                    <w:rPr>
                      <w:rFonts w:hint="default" w:ascii="Times New Roman" w:hAnsi="Times New Roman" w:cs="Times New Roman"/>
                      <w:color w:val="000000"/>
                      <w:kern w:val="0"/>
                      <w:sz w:val="22"/>
                      <w:szCs w:val="22"/>
                      <w:lang w:bidi="ar"/>
                    </w:rPr>
                    <w:t xml:space="preserve">-293 </w:t>
                  </w:r>
                </w:p>
              </w:tc>
              <w:tc>
                <w:tcPr>
                  <w:tcW w:w="770"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2户，7口人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350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325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480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13#居民点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-323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-178 </w:t>
                  </w:r>
                </w:p>
              </w:tc>
              <w:tc>
                <w:tcPr>
                  <w:tcW w:w="77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2户，7口人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SW</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368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343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-106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365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14#居民点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-292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-302 </w:t>
                  </w:r>
                </w:p>
              </w:tc>
              <w:tc>
                <w:tcPr>
                  <w:tcW w:w="77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3户，10口人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SW</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420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395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-141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15#居民点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-344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-290 </w:t>
                  </w:r>
                </w:p>
              </w:tc>
              <w:tc>
                <w:tcPr>
                  <w:tcW w:w="77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2户，7口人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SW</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450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425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-144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16#居民点</w:t>
                  </w:r>
                </w:p>
              </w:tc>
              <w:tc>
                <w:tcPr>
                  <w:tcW w:w="55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-246 </w:t>
                  </w:r>
                </w:p>
              </w:tc>
              <w:tc>
                <w:tcPr>
                  <w:tcW w:w="616"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-375 </w:t>
                  </w:r>
                </w:p>
              </w:tc>
              <w:tc>
                <w:tcPr>
                  <w:tcW w:w="77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居民</w:t>
                  </w:r>
                </w:p>
              </w:tc>
              <w:tc>
                <w:tcPr>
                  <w:tcW w:w="1242"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2户，7口人</w:t>
                  </w:r>
                </w:p>
              </w:tc>
              <w:tc>
                <w:tcPr>
                  <w:tcW w:w="796"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SW</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448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423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-135 </w:t>
                  </w:r>
                </w:p>
              </w:tc>
              <w:tc>
                <w:tcPr>
                  <w:tcW w:w="796"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 xml:space="preserve">503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rPr>
                    <w:t>零散居民点</w:t>
                  </w:r>
                </w:p>
              </w:tc>
              <w:tc>
                <w:tcPr>
                  <w:tcW w:w="555" w:type="dxa"/>
                  <w:tcBorders>
                    <w:tl2br w:val="nil"/>
                    <w:tr2bl w:val="nil"/>
                  </w:tcBorders>
                  <w:vAlign w:val="center"/>
                </w:tcPr>
                <w:p>
                  <w:pPr>
                    <w:pStyle w:val="252"/>
                    <w:jc w:val="center"/>
                    <w:rPr>
                      <w:rFonts w:hint="default" w:ascii="Times New Roman" w:hAnsi="Times New Roman" w:eastAsia="宋体" w:cs="Times New Roman"/>
                      <w:spacing w:val="-7"/>
                      <w:szCs w:val="21"/>
                    </w:rPr>
                  </w:pPr>
                  <w:r>
                    <w:rPr>
                      <w:rFonts w:hint="default" w:ascii="Times New Roman" w:hAnsi="Times New Roman" w:eastAsia="宋体" w:cs="Times New Roman"/>
                      <w:spacing w:val="-7"/>
                      <w:szCs w:val="21"/>
                    </w:rPr>
                    <w:t>/</w:t>
                  </w:r>
                </w:p>
              </w:tc>
              <w:tc>
                <w:tcPr>
                  <w:tcW w:w="616" w:type="dxa"/>
                  <w:tcBorders>
                    <w:tl2br w:val="nil"/>
                    <w:tr2bl w:val="nil"/>
                  </w:tcBorders>
                  <w:vAlign w:val="center"/>
                </w:tcPr>
                <w:p>
                  <w:pPr>
                    <w:pStyle w:val="252"/>
                    <w:jc w:val="center"/>
                    <w:rPr>
                      <w:rFonts w:hint="default" w:ascii="Times New Roman" w:hAnsi="Times New Roman" w:eastAsia="宋体" w:cs="Times New Roman"/>
                      <w:spacing w:val="-7"/>
                      <w:szCs w:val="21"/>
                    </w:rPr>
                  </w:pPr>
                  <w:r>
                    <w:rPr>
                      <w:rFonts w:hint="default" w:ascii="Times New Roman" w:hAnsi="Times New Roman" w:eastAsia="宋体" w:cs="Times New Roman"/>
                      <w:spacing w:val="-7"/>
                      <w:szCs w:val="21"/>
                    </w:rPr>
                    <w:t>/</w:t>
                  </w:r>
                </w:p>
              </w:tc>
              <w:tc>
                <w:tcPr>
                  <w:tcW w:w="770" w:type="dxa"/>
                  <w:tcBorders>
                    <w:tl2br w:val="nil"/>
                    <w:tr2bl w:val="nil"/>
                  </w:tcBorders>
                  <w:vAlign w:val="center"/>
                </w:tcPr>
                <w:p>
                  <w:pPr>
                    <w:pStyle w:val="252"/>
                    <w:jc w:val="center"/>
                    <w:rPr>
                      <w:rFonts w:hint="default" w:ascii="Times New Roman" w:hAnsi="Times New Roman" w:eastAsia="宋体" w:cs="Times New Roman"/>
                      <w:spacing w:val="-7"/>
                      <w:szCs w:val="21"/>
                      <w:lang w:val="en-US"/>
                    </w:rPr>
                  </w:pPr>
                  <w:r>
                    <w:rPr>
                      <w:rFonts w:hint="default" w:ascii="Times New Roman" w:hAnsi="Times New Roman" w:eastAsia="宋体" w:cs="Times New Roman"/>
                      <w:szCs w:val="21"/>
                    </w:rPr>
                    <w:t>居民</w:t>
                  </w:r>
                </w:p>
              </w:tc>
              <w:tc>
                <w:tcPr>
                  <w:tcW w:w="5222" w:type="dxa"/>
                  <w:gridSpan w:val="6"/>
                  <w:tcBorders>
                    <w:tl2br w:val="nil"/>
                    <w:tr2bl w:val="nil"/>
                  </w:tcBorders>
                  <w:vAlign w:val="center"/>
                </w:tcPr>
                <w:p>
                  <w:pPr>
                    <w:widowControl/>
                    <w:jc w:val="center"/>
                    <w:textAlignment w:val="center"/>
                    <w:rPr>
                      <w:rFonts w:hint="default" w:ascii="Times New Roman" w:hAnsi="Times New Roman" w:cs="Times New Roman"/>
                      <w:kern w:val="0"/>
                      <w:sz w:val="22"/>
                      <w:szCs w:val="22"/>
                      <w:lang w:bidi="ar"/>
                    </w:rPr>
                  </w:pPr>
                  <w:r>
                    <w:rPr>
                      <w:rFonts w:hint="default" w:ascii="Times New Roman" w:hAnsi="Times New Roman" w:cs="Times New Roman"/>
                      <w:szCs w:val="21"/>
                    </w:rPr>
                    <w:t>分散居民，约200人，1~2F砖、瓦房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8" w:type="dxa"/>
                  <w:gridSpan w:val="10"/>
                  <w:tcBorders>
                    <w:tl2br w:val="nil"/>
                    <w:tr2bl w:val="nil"/>
                  </w:tcBorders>
                  <w:vAlign w:val="center"/>
                </w:tcPr>
                <w:p>
                  <w:pPr>
                    <w:adjustRightInd w:val="0"/>
                    <w:snapToGrid w:val="0"/>
                    <w:rPr>
                      <w:rFonts w:hint="default" w:ascii="Times New Roman" w:hAnsi="Times New Roman" w:cs="Times New Roman"/>
                      <w:b/>
                      <w:bCs/>
                      <w:kern w:val="0"/>
                      <w:szCs w:val="21"/>
                    </w:rPr>
                  </w:pPr>
                  <w:r>
                    <w:rPr>
                      <w:rFonts w:hint="default" w:ascii="Times New Roman" w:hAnsi="Times New Roman" w:cs="Times New Roman"/>
                      <w:b/>
                      <w:bCs/>
                      <w:kern w:val="0"/>
                      <w:szCs w:val="21"/>
                    </w:rPr>
                    <w:t>注：以井口为坐标原点。</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3、水环境敏感目标</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kern w:val="0"/>
                <w:sz w:val="24"/>
              </w:rPr>
              <w:t>地表水：井口500m范围内无大型河流、水库分布，周边水体敏感目标如下所示。</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地表水主要环境保护目标</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132"/>
              <w:gridCol w:w="2846"/>
              <w:gridCol w:w="2329"/>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11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保护目标</w:t>
                  </w:r>
                </w:p>
              </w:tc>
              <w:tc>
                <w:tcPr>
                  <w:tcW w:w="28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与项目位置关系、高差、水力联系</w:t>
                  </w:r>
                </w:p>
              </w:tc>
              <w:tc>
                <w:tcPr>
                  <w:tcW w:w="232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保护对象及保护要求</w:t>
                  </w:r>
                </w:p>
              </w:tc>
              <w:tc>
                <w:tcPr>
                  <w:tcW w:w="10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五星水库</w:t>
                  </w:r>
                </w:p>
              </w:tc>
              <w:tc>
                <w:tcPr>
                  <w:tcW w:w="28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井口东侧780m处，-132m。</w:t>
                  </w:r>
                </w:p>
              </w:tc>
              <w:tc>
                <w:tcPr>
                  <w:tcW w:w="2329"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泄洪、灌溉、生态功能</w:t>
                  </w:r>
                </w:p>
              </w:tc>
              <w:tc>
                <w:tcPr>
                  <w:tcW w:w="10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保护水体不被污染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1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刘家河</w:t>
                  </w:r>
                </w:p>
              </w:tc>
              <w:tc>
                <w:tcPr>
                  <w:tcW w:w="28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平台西侧约503m，-150m，无水力联系</w:t>
                  </w:r>
                </w:p>
              </w:tc>
              <w:tc>
                <w:tcPr>
                  <w:tcW w:w="2329"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无无水域功能</w:t>
                  </w:r>
                </w:p>
              </w:tc>
              <w:tc>
                <w:tcPr>
                  <w:tcW w:w="10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保护水体不被污染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1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魏家河</w:t>
                  </w:r>
                </w:p>
              </w:tc>
              <w:tc>
                <w:tcPr>
                  <w:tcW w:w="284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平台东侧约1600m，-270m，无水力联系</w:t>
                  </w:r>
                </w:p>
              </w:tc>
              <w:tc>
                <w:tcPr>
                  <w:tcW w:w="2329"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无无水域功能</w:t>
                  </w:r>
                </w:p>
              </w:tc>
              <w:tc>
                <w:tcPr>
                  <w:tcW w:w="10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保护水体不被污染</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地下水：评价范围内没有地下水集中式饮用水水源保护区，该地居民以自来水作为生活用水，以井水为生活辅助用水。根据现场调查，水井深度一般为30m以内，水位埋深一般为3m以内，取水层位为潜水含水层及微承压水，地下水类型为风化裂隙含构造裂隙水。因此，本项目地下水环境保护目标为评价范围内的分散式饮用水水源。</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周边水井分布情况一览表</w:t>
            </w:r>
          </w:p>
          <w:tbl>
            <w:tblPr>
              <w:tblStyle w:val="44"/>
              <w:tblW w:w="49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5"/>
              <w:gridCol w:w="651"/>
              <w:gridCol w:w="651"/>
              <w:gridCol w:w="1169"/>
              <w:gridCol w:w="1156"/>
              <w:gridCol w:w="875"/>
              <w:gridCol w:w="842"/>
              <w:gridCol w:w="842"/>
              <w:gridCol w:w="595"/>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vMerge w:val="restart"/>
                  <w:tcBorders>
                    <w:tl2br w:val="nil"/>
                    <w:tr2bl w:val="nil"/>
                  </w:tcBorders>
                  <w:vAlign w:val="center"/>
                </w:tcPr>
                <w:p>
                  <w:pPr>
                    <w:jc w:val="center"/>
                    <w:rPr>
                      <w:rFonts w:hint="default" w:ascii="Times New Roman" w:hAnsi="Times New Roman" w:cs="Times New Roman"/>
                      <w:b/>
                      <w:bCs/>
                      <w:szCs w:val="21"/>
                    </w:rPr>
                  </w:pPr>
                  <w:bookmarkStart w:id="41" w:name="_Hlk55815520"/>
                  <w:r>
                    <w:rPr>
                      <w:rFonts w:hint="default" w:ascii="Times New Roman" w:hAnsi="Times New Roman" w:cs="Times New Roman"/>
                      <w:b/>
                      <w:bCs/>
                      <w:szCs w:val="21"/>
                    </w:rPr>
                    <w:t>编号</w:t>
                  </w:r>
                </w:p>
              </w:tc>
              <w:tc>
                <w:tcPr>
                  <w:tcW w:w="1302" w:type="dxa"/>
                  <w:gridSpan w:val="2"/>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位置关系</w:t>
                  </w:r>
                </w:p>
              </w:tc>
              <w:tc>
                <w:tcPr>
                  <w:tcW w:w="2325" w:type="dxa"/>
                  <w:gridSpan w:val="2"/>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坐标</w:t>
                  </w:r>
                </w:p>
              </w:tc>
              <w:tc>
                <w:tcPr>
                  <w:tcW w:w="875" w:type="dxa"/>
                  <w:vMerge w:val="restart"/>
                  <w:tcBorders>
                    <w:tl2br w:val="nil"/>
                    <w:tr2bl w:val="nil"/>
                  </w:tcBorders>
                  <w:vAlign w:val="center"/>
                </w:tcPr>
                <w:p>
                  <w:pPr>
                    <w:widowControl/>
                    <w:jc w:val="center"/>
                    <w:rPr>
                      <w:rFonts w:hint="default" w:ascii="Times New Roman" w:hAnsi="Times New Roman" w:cs="Times New Roman"/>
                      <w:b/>
                      <w:bCs/>
                      <w:szCs w:val="21"/>
                    </w:rPr>
                  </w:pPr>
                  <w:r>
                    <w:rPr>
                      <w:rFonts w:hint="default" w:ascii="Times New Roman" w:hAnsi="Times New Roman" w:cs="Times New Roman"/>
                      <w:b/>
                      <w:bCs/>
                      <w:color w:val="000000"/>
                      <w:szCs w:val="21"/>
                    </w:rPr>
                    <w:t>海拔</w:t>
                  </w:r>
                  <w:r>
                    <w:rPr>
                      <w:rFonts w:hint="default" w:ascii="Times New Roman" w:hAnsi="Times New Roman" w:cs="Times New Roman"/>
                      <w:b/>
                      <w:bCs/>
                      <w:szCs w:val="21"/>
                    </w:rPr>
                    <w:t>（m）</w:t>
                  </w:r>
                </w:p>
              </w:tc>
              <w:tc>
                <w:tcPr>
                  <w:tcW w:w="842" w:type="dxa"/>
                  <w:vMerge w:val="restart"/>
                  <w:tcBorders>
                    <w:tl2br w:val="nil"/>
                    <w:tr2bl w:val="nil"/>
                  </w:tcBorders>
                  <w:vAlign w:val="center"/>
                </w:tcPr>
                <w:p>
                  <w:pPr>
                    <w:widowControl/>
                    <w:jc w:val="center"/>
                    <w:rPr>
                      <w:rFonts w:hint="default" w:ascii="Times New Roman" w:hAnsi="Times New Roman" w:cs="Times New Roman"/>
                      <w:b/>
                      <w:bCs/>
                      <w:szCs w:val="21"/>
                    </w:rPr>
                  </w:pPr>
                  <w:r>
                    <w:rPr>
                      <w:rFonts w:hint="default" w:ascii="Times New Roman" w:hAnsi="Times New Roman" w:cs="Times New Roman"/>
                      <w:b/>
                      <w:bCs/>
                      <w:szCs w:val="21"/>
                    </w:rPr>
                    <w:t>水面至井口（m）</w:t>
                  </w:r>
                </w:p>
              </w:tc>
              <w:tc>
                <w:tcPr>
                  <w:tcW w:w="842" w:type="dxa"/>
                  <w:vMerge w:val="restart"/>
                  <w:tcBorders>
                    <w:tl2br w:val="nil"/>
                    <w:tr2bl w:val="nil"/>
                  </w:tcBorders>
                  <w:vAlign w:val="center"/>
                </w:tcPr>
                <w:p>
                  <w:pPr>
                    <w:widowControl/>
                    <w:jc w:val="center"/>
                    <w:rPr>
                      <w:rFonts w:hint="default" w:ascii="Times New Roman" w:hAnsi="Times New Roman" w:cs="Times New Roman"/>
                      <w:b/>
                      <w:bCs/>
                      <w:szCs w:val="21"/>
                    </w:rPr>
                  </w:pPr>
                  <w:r>
                    <w:rPr>
                      <w:rFonts w:hint="default" w:ascii="Times New Roman" w:hAnsi="Times New Roman" w:cs="Times New Roman"/>
                      <w:b/>
                      <w:bCs/>
                      <w:szCs w:val="21"/>
                    </w:rPr>
                    <w:t>水位（m）</w:t>
                  </w:r>
                </w:p>
              </w:tc>
              <w:tc>
                <w:tcPr>
                  <w:tcW w:w="595" w:type="dxa"/>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服务规模人口</w:t>
                  </w:r>
                </w:p>
              </w:tc>
              <w:tc>
                <w:tcPr>
                  <w:tcW w:w="545" w:type="dxa"/>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地下水类型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vMerge w:val="continue"/>
                  <w:tcBorders>
                    <w:tl2br w:val="nil"/>
                    <w:tr2bl w:val="nil"/>
                  </w:tcBorders>
                  <w:vAlign w:val="center"/>
                </w:tcPr>
                <w:p>
                  <w:pPr>
                    <w:jc w:val="center"/>
                    <w:rPr>
                      <w:rFonts w:hint="default" w:ascii="Times New Roman" w:hAnsi="Times New Roman" w:cs="Times New Roman"/>
                      <w:szCs w:val="21"/>
                    </w:rPr>
                  </w:pP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方位</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距离</w:t>
                  </w:r>
                </w:p>
              </w:tc>
              <w:tc>
                <w:tcPr>
                  <w:tcW w:w="1169" w:type="dxa"/>
                  <w:tcBorders>
                    <w:tl2br w:val="nil"/>
                    <w:tr2bl w:val="nil"/>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经度</w:t>
                  </w:r>
                </w:p>
              </w:tc>
              <w:tc>
                <w:tcPr>
                  <w:tcW w:w="1156" w:type="dxa"/>
                  <w:tcBorders>
                    <w:tl2br w:val="nil"/>
                    <w:tr2bl w:val="nil"/>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纬度</w:t>
                  </w:r>
                </w:p>
              </w:tc>
              <w:tc>
                <w:tcPr>
                  <w:tcW w:w="875" w:type="dxa"/>
                  <w:vMerge w:val="continue"/>
                  <w:tcBorders>
                    <w:tl2br w:val="nil"/>
                    <w:tr2bl w:val="nil"/>
                  </w:tcBorders>
                  <w:vAlign w:val="center"/>
                </w:tcPr>
                <w:p>
                  <w:pPr>
                    <w:jc w:val="center"/>
                    <w:rPr>
                      <w:rFonts w:hint="default" w:ascii="Times New Roman" w:hAnsi="Times New Roman" w:cs="Times New Roman"/>
                      <w:szCs w:val="21"/>
                    </w:rPr>
                  </w:pPr>
                </w:p>
              </w:tc>
              <w:tc>
                <w:tcPr>
                  <w:tcW w:w="842" w:type="dxa"/>
                  <w:vMerge w:val="continue"/>
                  <w:tcBorders>
                    <w:tl2br w:val="nil"/>
                    <w:tr2bl w:val="nil"/>
                  </w:tcBorders>
                  <w:vAlign w:val="center"/>
                </w:tcPr>
                <w:p>
                  <w:pPr>
                    <w:jc w:val="center"/>
                    <w:rPr>
                      <w:rFonts w:hint="default" w:ascii="Times New Roman" w:hAnsi="Times New Roman" w:cs="Times New Roman"/>
                      <w:szCs w:val="21"/>
                    </w:rPr>
                  </w:pPr>
                </w:p>
              </w:tc>
              <w:tc>
                <w:tcPr>
                  <w:tcW w:w="842" w:type="dxa"/>
                  <w:vMerge w:val="continue"/>
                  <w:tcBorders>
                    <w:tl2br w:val="nil"/>
                    <w:tr2bl w:val="nil"/>
                  </w:tcBorders>
                  <w:vAlign w:val="center"/>
                </w:tcPr>
                <w:p>
                  <w:pPr>
                    <w:jc w:val="center"/>
                    <w:rPr>
                      <w:rFonts w:hint="default" w:ascii="Times New Roman" w:hAnsi="Times New Roman" w:cs="Times New Roman"/>
                      <w:szCs w:val="21"/>
                    </w:rPr>
                  </w:pPr>
                </w:p>
              </w:tc>
              <w:tc>
                <w:tcPr>
                  <w:tcW w:w="595" w:type="dxa"/>
                  <w:vMerge w:val="continue"/>
                  <w:tcBorders>
                    <w:tl2br w:val="nil"/>
                    <w:tr2bl w:val="nil"/>
                  </w:tcBorders>
                  <w:vAlign w:val="center"/>
                </w:tcPr>
                <w:p>
                  <w:pPr>
                    <w:jc w:val="center"/>
                    <w:rPr>
                      <w:rFonts w:hint="default" w:ascii="Times New Roman" w:hAnsi="Times New Roman" w:cs="Times New Roman"/>
                      <w:szCs w:val="21"/>
                    </w:rPr>
                  </w:pPr>
                </w:p>
              </w:tc>
              <w:tc>
                <w:tcPr>
                  <w:tcW w:w="545"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SJ-1</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NW</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580</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107.512245</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31.414677</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588</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2.07</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585.93</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3户10人</w:t>
                  </w:r>
                </w:p>
              </w:tc>
              <w:tc>
                <w:tcPr>
                  <w:tcW w:w="545" w:type="dxa"/>
                  <w:vMerge w:val="restar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水井，风化裂隙水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SJ-2</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275</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107.515572</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31.411077</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547</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2.02</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544.08</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5户12人</w:t>
                  </w:r>
                </w:p>
              </w:tc>
              <w:tc>
                <w:tcPr>
                  <w:tcW w:w="545" w:type="dxa"/>
                  <w:vMerge w:val="continue"/>
                  <w:tcBorders>
                    <w:tl2br w:val="nil"/>
                    <w:tr2bl w:val="nil"/>
                  </w:tcBorders>
                  <w:vAlign w:val="center"/>
                </w:tcPr>
                <w:p>
                  <w:pPr>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SJ-3</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185</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107.514612</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31.408287</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553</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1.98</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551.02</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5户8人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SJ-4</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473</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107.517347</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31.407035</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551</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1.95</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549.05</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3户10人</w:t>
                  </w:r>
                </w:p>
              </w:tc>
              <w:tc>
                <w:tcPr>
                  <w:tcW w:w="545" w:type="dxa"/>
                  <w:vMerge w:val="continue"/>
                  <w:tcBorders>
                    <w:tl2br w:val="nil"/>
                    <w:tr2bl w:val="nil"/>
                  </w:tcBorders>
                  <w:vAlign w:val="center"/>
                </w:tcPr>
                <w:p>
                  <w:pPr>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SJ-5</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536</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107.518294</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31.411789</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514</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2.05</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511.95</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2户5人</w:t>
                  </w:r>
                </w:p>
              </w:tc>
              <w:tc>
                <w:tcPr>
                  <w:tcW w:w="545" w:type="dxa"/>
                  <w:vMerge w:val="continue"/>
                  <w:tcBorders>
                    <w:tl2br w:val="nil"/>
                    <w:tr2bl w:val="nil"/>
                  </w:tcBorders>
                  <w:vAlign w:val="center"/>
                </w:tcPr>
                <w:p>
                  <w:pPr>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SJ-6</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1208</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107.525446</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31.406279</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438</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2.01</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435.99</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3户6人</w:t>
                  </w:r>
                </w:p>
              </w:tc>
              <w:tc>
                <w:tcPr>
                  <w:tcW w:w="545" w:type="dxa"/>
                  <w:vMerge w:val="continue"/>
                  <w:tcBorders>
                    <w:tl2br w:val="nil"/>
                    <w:tr2bl w:val="nil"/>
                  </w:tcBorders>
                  <w:vAlign w:val="center"/>
                </w:tcPr>
                <w:p>
                  <w:pPr>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SJ-7</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659</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107.520075</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31.408229</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474</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1.93</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472.07</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2户7人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SJ-8</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839</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107.521997</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31.408166</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450</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1.96</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448.04</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4户6人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SJ-9</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721</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107.520825</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31.410421</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473</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2.05</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470.95</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1户4人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SJ-10</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1150</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107.525396</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31.408994</w:t>
                  </w:r>
                </w:p>
              </w:tc>
              <w:tc>
                <w:tcPr>
                  <w:tcW w:w="875"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457</w:t>
                  </w:r>
                </w:p>
              </w:tc>
              <w:tc>
                <w:tcPr>
                  <w:tcW w:w="842" w:type="dxa"/>
                  <w:tcBorders>
                    <w:tl2br w:val="nil"/>
                    <w:tr2bl w:val="nil"/>
                  </w:tcBorders>
                  <w:vAlign w:val="center"/>
                </w:tcPr>
                <w:p>
                  <w:pPr>
                    <w:adjustRightInd w:val="0"/>
                    <w:jc w:val="center"/>
                    <w:rPr>
                      <w:rFonts w:hint="default" w:ascii="Times New Roman" w:hAnsi="Times New Roman" w:cs="Times New Roman"/>
                      <w:szCs w:val="21"/>
                    </w:rPr>
                  </w:pPr>
                  <w:r>
                    <w:rPr>
                      <w:rFonts w:hint="default" w:ascii="Times New Roman" w:hAnsi="Times New Roman" w:cs="Times New Roman"/>
                      <w:bCs/>
                      <w:szCs w:val="21"/>
                    </w:rPr>
                    <w:t>2.09</w:t>
                  </w:r>
                </w:p>
              </w:tc>
              <w:tc>
                <w:tcPr>
                  <w:tcW w:w="842" w:type="dxa"/>
                  <w:tcBorders>
                    <w:tl2br w:val="nil"/>
                    <w:tr2bl w:val="nil"/>
                  </w:tcBorders>
                  <w:vAlign w:val="center"/>
                </w:tcPr>
                <w:p>
                  <w:pPr>
                    <w:adjustRightInd w:val="0"/>
                    <w:jc w:val="center"/>
                    <w:rPr>
                      <w:rFonts w:hint="default" w:ascii="Times New Roman" w:hAnsi="Times New Roman" w:cs="Times New Roman"/>
                      <w:kern w:val="0"/>
                      <w:szCs w:val="21"/>
                      <w:lang w:bidi="ar"/>
                    </w:rPr>
                  </w:pPr>
                  <w:r>
                    <w:rPr>
                      <w:rFonts w:hint="default" w:ascii="Times New Roman" w:hAnsi="Times New Roman" w:cs="Times New Roman"/>
                      <w:bCs/>
                      <w:szCs w:val="21"/>
                    </w:rPr>
                    <w:t>454.91</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2户7人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SJ-11</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659</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107.516871</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31.4146354</w:t>
                  </w:r>
                </w:p>
              </w:tc>
              <w:tc>
                <w:tcPr>
                  <w:tcW w:w="87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542</w:t>
                  </w:r>
                </w:p>
              </w:tc>
              <w:tc>
                <w:tcPr>
                  <w:tcW w:w="842"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1.86</w:t>
                  </w:r>
                </w:p>
              </w:tc>
              <w:tc>
                <w:tcPr>
                  <w:tcW w:w="842" w:type="dxa"/>
                  <w:tcBorders>
                    <w:tl2br w:val="nil"/>
                    <w:tr2bl w:val="nil"/>
                  </w:tcBorders>
                  <w:vAlign w:val="center"/>
                </w:tcPr>
                <w:p>
                  <w:pPr>
                    <w:adjustRightInd w:val="0"/>
                    <w:jc w:val="center"/>
                    <w:rPr>
                      <w:rFonts w:hint="default" w:ascii="Times New Roman" w:hAnsi="Times New Roman" w:cs="Times New Roman"/>
                      <w:bCs/>
                      <w:szCs w:val="21"/>
                    </w:rPr>
                  </w:pPr>
                  <w:r>
                    <w:rPr>
                      <w:rFonts w:hint="default" w:ascii="Times New Roman" w:hAnsi="Times New Roman" w:cs="Times New Roman"/>
                      <w:bCs/>
                      <w:szCs w:val="21"/>
                    </w:rPr>
                    <w:t>540.14</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3户5人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SJ-12</w:t>
                  </w:r>
                </w:p>
              </w:tc>
              <w:tc>
                <w:tcPr>
                  <w:tcW w:w="651"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SE</w:t>
                  </w:r>
                </w:p>
              </w:tc>
              <w:tc>
                <w:tcPr>
                  <w:tcW w:w="651" w:type="dxa"/>
                  <w:tcBorders>
                    <w:tl2br w:val="nil"/>
                    <w:tr2bl w:val="nil"/>
                  </w:tcBorders>
                  <w:vAlign w:val="center"/>
                </w:tcPr>
                <w:p>
                  <w:pPr>
                    <w:widowControl/>
                    <w:jc w:val="center"/>
                    <w:textAlignment w:val="center"/>
                    <w:rPr>
                      <w:rFonts w:hint="default" w:ascii="Times New Roman" w:hAnsi="Times New Roman" w:cs="Times New Roman"/>
                      <w:color w:val="000000"/>
                      <w:kern w:val="0"/>
                      <w:sz w:val="22"/>
                      <w:szCs w:val="22"/>
                      <w:lang w:bidi="ar"/>
                    </w:rPr>
                  </w:pPr>
                  <w:r>
                    <w:rPr>
                      <w:rFonts w:hint="default" w:ascii="Times New Roman" w:hAnsi="Times New Roman" w:cs="Times New Roman"/>
                      <w:color w:val="000000"/>
                      <w:kern w:val="0"/>
                      <w:sz w:val="22"/>
                      <w:szCs w:val="22"/>
                      <w:lang w:bidi="ar"/>
                    </w:rPr>
                    <w:t>196</w:t>
                  </w:r>
                </w:p>
              </w:tc>
              <w:tc>
                <w:tcPr>
                  <w:tcW w:w="1169"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107.515235</w:t>
                  </w:r>
                </w:p>
              </w:tc>
              <w:tc>
                <w:tcPr>
                  <w:tcW w:w="1156" w:type="dxa"/>
                  <w:tcBorders>
                    <w:tl2br w:val="nil"/>
                    <w:tr2bl w:val="nil"/>
                  </w:tcBorders>
                  <w:vAlign w:val="center"/>
                </w:tcPr>
                <w:p>
                  <w:pPr>
                    <w:widowControl/>
                    <w:jc w:val="right"/>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31.4088901</w:t>
                  </w:r>
                </w:p>
              </w:tc>
              <w:tc>
                <w:tcPr>
                  <w:tcW w:w="875"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532</w:t>
                  </w:r>
                </w:p>
              </w:tc>
              <w:tc>
                <w:tcPr>
                  <w:tcW w:w="842" w:type="dxa"/>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2.11</w:t>
                  </w:r>
                </w:p>
              </w:tc>
              <w:tc>
                <w:tcPr>
                  <w:tcW w:w="842" w:type="dxa"/>
                  <w:tcBorders>
                    <w:tl2br w:val="nil"/>
                    <w:tr2bl w:val="nil"/>
                  </w:tcBorders>
                  <w:vAlign w:val="center"/>
                </w:tcPr>
                <w:p>
                  <w:pPr>
                    <w:adjustRightInd w:val="0"/>
                    <w:jc w:val="center"/>
                    <w:rPr>
                      <w:rFonts w:hint="default" w:ascii="Times New Roman" w:hAnsi="Times New Roman" w:cs="Times New Roman"/>
                      <w:bCs/>
                      <w:szCs w:val="21"/>
                    </w:rPr>
                  </w:pPr>
                  <w:r>
                    <w:rPr>
                      <w:rFonts w:hint="default" w:ascii="Times New Roman" w:hAnsi="Times New Roman" w:cs="Times New Roman"/>
                      <w:bCs/>
                      <w:szCs w:val="21"/>
                    </w:rPr>
                    <w:t>529.89</w:t>
                  </w:r>
                </w:p>
              </w:tc>
              <w:tc>
                <w:tcPr>
                  <w:tcW w:w="595" w:type="dxa"/>
                  <w:tcBorders>
                    <w:tl2br w:val="nil"/>
                    <w:tr2bl w:val="nil"/>
                  </w:tcBorders>
                  <w:vAlign w:val="center"/>
                </w:tcPr>
                <w:p>
                  <w:pPr>
                    <w:widowControl/>
                    <w:topLinePunct/>
                    <w:adjustRightInd w:val="0"/>
                    <w:jc w:val="center"/>
                    <w:textAlignment w:val="center"/>
                    <w:rPr>
                      <w:rFonts w:hint="default" w:ascii="Times New Roman" w:hAnsi="Times New Roman" w:cs="Times New Roman"/>
                      <w:szCs w:val="21"/>
                    </w:rPr>
                  </w:pPr>
                  <w:r>
                    <w:rPr>
                      <w:rFonts w:hint="default" w:ascii="Times New Roman" w:hAnsi="Times New Roman" w:eastAsia="Times New Roman" w:cs="Times New Roman"/>
                      <w:kern w:val="0"/>
                      <w:szCs w:val="21"/>
                      <w:lang w:bidi="ar"/>
                    </w:rPr>
                    <w:t>1户3人</w:t>
                  </w:r>
                </w:p>
              </w:tc>
              <w:tc>
                <w:tcPr>
                  <w:tcW w:w="545" w:type="dxa"/>
                  <w:vMerge w:val="continue"/>
                  <w:tcBorders>
                    <w:tl2br w:val="nil"/>
                    <w:tr2bl w:val="nil"/>
                  </w:tcBorders>
                  <w:vAlign w:val="center"/>
                </w:tcPr>
                <w:p>
                  <w:pPr>
                    <w:widowControl/>
                    <w:jc w:val="center"/>
                    <w:rPr>
                      <w:rFonts w:hint="default" w:ascii="Times New Roman" w:hAnsi="Times New Roman" w:cs="Times New Roman"/>
                      <w:kern w:val="0"/>
                      <w:szCs w:val="21"/>
                    </w:rPr>
                  </w:pPr>
                </w:p>
              </w:tc>
            </w:tr>
            <w:bookmarkEnd w:id="41"/>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4、土壤环境敏感目标</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井口周边200m范围内分布的耕地。</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土壤环境保护目标表</w:t>
            </w:r>
          </w:p>
          <w:tbl>
            <w:tblPr>
              <w:tblStyle w:val="44"/>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4"/>
                    <w:spacing w:line="240" w:lineRule="auto"/>
                    <w:rPr>
                      <w:rFonts w:hint="default" w:ascii="Times New Roman" w:hAnsi="Times New Roman" w:cs="Times New Roman"/>
                      <w:kern w:val="0"/>
                      <w:szCs w:val="21"/>
                    </w:rPr>
                  </w:pPr>
                  <w:r>
                    <w:rPr>
                      <w:rFonts w:hint="default" w:ascii="Times New Roman" w:hAnsi="Times New Roman" w:cs="Times New Roman"/>
                      <w:szCs w:val="21"/>
                    </w:rPr>
                    <w:t>序号</w:t>
                  </w:r>
                </w:p>
              </w:tc>
              <w:tc>
                <w:tcPr>
                  <w:tcW w:w="706"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保护目标</w:t>
                  </w:r>
                </w:p>
              </w:tc>
              <w:tc>
                <w:tcPr>
                  <w:tcW w:w="2135"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位置关系</w:t>
                  </w:r>
                </w:p>
              </w:tc>
              <w:tc>
                <w:tcPr>
                  <w:tcW w:w="1760"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1</w:t>
                  </w:r>
                </w:p>
              </w:tc>
              <w:tc>
                <w:tcPr>
                  <w:tcW w:w="706"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耕地</w:t>
                  </w:r>
                </w:p>
              </w:tc>
              <w:tc>
                <w:tcPr>
                  <w:tcW w:w="2135"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占地范围及占地范围外200m范围内的耕地。</w:t>
                  </w:r>
                </w:p>
              </w:tc>
              <w:tc>
                <w:tcPr>
                  <w:tcW w:w="1760"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土壤类型为中性紫色土居民为农村分散居民点</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5、声环境敏感目标</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井口周边200m范围内居民。</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声环境主要保护目标一览表</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703"/>
              <w:gridCol w:w="1233"/>
              <w:gridCol w:w="756"/>
              <w:gridCol w:w="756"/>
              <w:gridCol w:w="764"/>
              <w:gridCol w:w="759"/>
              <w:gridCol w:w="759"/>
              <w:gridCol w:w="1113"/>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restart"/>
                  <w:tcBorders>
                    <w:tl2br w:val="nil"/>
                    <w:tr2bl w:val="nil"/>
                  </w:tcBorders>
                  <w:noWrap/>
                  <w:vAlign w:val="center"/>
                </w:tcPr>
                <w:p>
                  <w:pPr>
                    <w:pStyle w:val="94"/>
                    <w:spacing w:line="240" w:lineRule="auto"/>
                    <w:rPr>
                      <w:rFonts w:hint="default" w:ascii="Times New Roman" w:hAnsi="Times New Roman" w:cs="Times New Roman"/>
                      <w:kern w:val="0"/>
                      <w:szCs w:val="18"/>
                    </w:rPr>
                  </w:pPr>
                  <w:r>
                    <w:rPr>
                      <w:rFonts w:hint="default" w:ascii="Times New Roman" w:hAnsi="Times New Roman" w:cs="Times New Roman"/>
                      <w:szCs w:val="18"/>
                    </w:rPr>
                    <w:t>序号</w:t>
                  </w:r>
                </w:p>
              </w:tc>
              <w:tc>
                <w:tcPr>
                  <w:tcW w:w="770"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声环境保护目标名称</w:t>
                  </w:r>
                </w:p>
              </w:tc>
              <w:tc>
                <w:tcPr>
                  <w:tcW w:w="1421" w:type="pct"/>
                  <w:gridSpan w:val="3"/>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空间相对位置</w:t>
                  </w:r>
                </w:p>
              </w:tc>
              <w:tc>
                <w:tcPr>
                  <w:tcW w:w="474"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距井场最近距离/m</w:t>
                  </w:r>
                </w:p>
              </w:tc>
              <w:tc>
                <w:tcPr>
                  <w:tcW w:w="474"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方位</w:t>
                  </w:r>
                </w:p>
              </w:tc>
              <w:tc>
                <w:tcPr>
                  <w:tcW w:w="695"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执行标准/功能类别</w:t>
                  </w:r>
                </w:p>
              </w:tc>
              <w:tc>
                <w:tcPr>
                  <w:tcW w:w="725"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声环境保护目标情况说明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continue"/>
                  <w:tcBorders>
                    <w:tl2br w:val="nil"/>
                    <w:tr2bl w:val="nil"/>
                  </w:tcBorders>
                  <w:noWrap/>
                  <w:vAlign w:val="center"/>
                </w:tcPr>
                <w:p>
                  <w:pPr>
                    <w:pStyle w:val="94"/>
                    <w:spacing w:line="240" w:lineRule="auto"/>
                    <w:rPr>
                      <w:rFonts w:hint="default" w:ascii="Times New Roman" w:hAnsi="Times New Roman" w:cs="Times New Roman"/>
                      <w:szCs w:val="18"/>
                    </w:rPr>
                  </w:pPr>
                </w:p>
              </w:tc>
              <w:tc>
                <w:tcPr>
                  <w:tcW w:w="770"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472" w:type="pc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X</w:t>
                  </w:r>
                </w:p>
              </w:tc>
              <w:tc>
                <w:tcPr>
                  <w:tcW w:w="472" w:type="pc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Y</w:t>
                  </w:r>
                </w:p>
              </w:tc>
              <w:tc>
                <w:tcPr>
                  <w:tcW w:w="475" w:type="pc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Z</w:t>
                  </w:r>
                </w:p>
              </w:tc>
              <w:tc>
                <w:tcPr>
                  <w:tcW w:w="474"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474"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695"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725"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1</w:t>
                  </w:r>
                </w:p>
              </w:tc>
              <w:tc>
                <w:tcPr>
                  <w:tcW w:w="770" w:type="pct"/>
                  <w:tcBorders>
                    <w:tl2br w:val="nil"/>
                    <w:tr2bl w:val="nil"/>
                  </w:tcBorders>
                  <w:vAlign w:val="center"/>
                </w:tcPr>
                <w:p>
                  <w:pPr>
                    <w:jc w:val="center"/>
                    <w:rPr>
                      <w:rFonts w:hint="default" w:ascii="Times New Roman" w:hAnsi="Times New Roman" w:cs="Times New Roman"/>
                      <w:szCs w:val="18"/>
                    </w:rPr>
                  </w:pPr>
                  <w:r>
                    <w:rPr>
                      <w:rFonts w:hint="default" w:ascii="Times New Roman" w:hAnsi="Times New Roman" w:cs="Times New Roman"/>
                      <w:szCs w:val="21"/>
                    </w:rPr>
                    <w:t>4#居民点</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41 </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144 </w:t>
                  </w:r>
                </w:p>
              </w:tc>
              <w:tc>
                <w:tcPr>
                  <w:tcW w:w="475"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szCs w:val="18"/>
                    </w:rPr>
                    <w:t>460</w:t>
                  </w:r>
                </w:p>
              </w:tc>
              <w:tc>
                <w:tcPr>
                  <w:tcW w:w="474" w:type="pct"/>
                  <w:tcBorders>
                    <w:tl2br w:val="nil"/>
                    <w:tr2bl w:val="nil"/>
                  </w:tcBorders>
                  <w:vAlign w:val="center"/>
                </w:tcPr>
                <w:p>
                  <w:pPr>
                    <w:spacing w:line="280" w:lineRule="exact"/>
                    <w:jc w:val="center"/>
                    <w:rPr>
                      <w:rFonts w:hint="default" w:ascii="Times New Roman" w:hAnsi="Times New Roman" w:cs="Times New Roman"/>
                    </w:rPr>
                  </w:pPr>
                  <w:r>
                    <w:rPr>
                      <w:rFonts w:hint="default" w:ascii="Times New Roman" w:hAnsi="Times New Roman" w:cs="Times New Roman"/>
                      <w:szCs w:val="21"/>
                    </w:rPr>
                    <w:t xml:space="preserve">125 </w:t>
                  </w:r>
                </w:p>
              </w:tc>
              <w:tc>
                <w:tcPr>
                  <w:tcW w:w="474" w:type="pct"/>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695" w:type="pct"/>
                  <w:vMerge w:val="restart"/>
                  <w:tcBorders>
                    <w:tl2br w:val="nil"/>
                    <w:tr2bl w:val="nil"/>
                  </w:tcBorders>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《声环境质量标准》（GB3096-2008）规定的2类地区</w:t>
                  </w:r>
                </w:p>
              </w:tc>
              <w:tc>
                <w:tcPr>
                  <w:tcW w:w="725" w:type="pct"/>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2</w:t>
                  </w:r>
                  <w:r>
                    <w:rPr>
                      <w:rFonts w:hint="default" w:ascii="Times New Roman" w:hAnsi="Times New Roman" w:eastAsia="等线" w:cs="Times New Roman"/>
                      <w:szCs w:val="21"/>
                    </w:rPr>
                    <w:t>户，</w:t>
                  </w:r>
                  <w:r>
                    <w:rPr>
                      <w:rFonts w:hint="default" w:ascii="Times New Roman" w:hAnsi="Times New Roman" w:eastAsia="等线" w:cs="Times New Roman"/>
                      <w:szCs w:val="21"/>
                      <w:lang w:val="en-US"/>
                    </w:rPr>
                    <w:t>8</w:t>
                  </w:r>
                  <w:r>
                    <w:rPr>
                      <w:rFonts w:hint="default" w:ascii="Times New Roman" w:hAnsi="Times New Roman" w:eastAsia="等线" w:cs="Times New Roman"/>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2</w:t>
                  </w:r>
                </w:p>
              </w:tc>
              <w:tc>
                <w:tcPr>
                  <w:tcW w:w="770" w:type="pct"/>
                  <w:tcBorders>
                    <w:tl2br w:val="nil"/>
                    <w:tr2bl w:val="nil"/>
                  </w:tcBorders>
                  <w:vAlign w:val="center"/>
                </w:tcPr>
                <w:p>
                  <w:pPr>
                    <w:jc w:val="center"/>
                    <w:rPr>
                      <w:rFonts w:hint="default" w:ascii="Times New Roman" w:hAnsi="Times New Roman" w:cs="Times New Roman"/>
                      <w:szCs w:val="18"/>
                    </w:rPr>
                  </w:pPr>
                  <w:r>
                    <w:rPr>
                      <w:rFonts w:hint="default" w:ascii="Times New Roman" w:hAnsi="Times New Roman" w:cs="Times New Roman"/>
                      <w:szCs w:val="21"/>
                    </w:rPr>
                    <w:t>7#居民点</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85 </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92 </w:t>
                  </w:r>
                </w:p>
              </w:tc>
              <w:tc>
                <w:tcPr>
                  <w:tcW w:w="475"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szCs w:val="18"/>
                    </w:rPr>
                    <w:t>445</w:t>
                  </w:r>
                </w:p>
              </w:tc>
              <w:tc>
                <w:tcPr>
                  <w:tcW w:w="474" w:type="pct"/>
                  <w:tcBorders>
                    <w:tl2br w:val="nil"/>
                    <w:tr2bl w:val="nil"/>
                  </w:tcBorders>
                  <w:vAlign w:val="center"/>
                </w:tcPr>
                <w:p>
                  <w:pPr>
                    <w:widowControl/>
                    <w:jc w:val="center"/>
                    <w:textAlignment w:val="center"/>
                    <w:rPr>
                      <w:rFonts w:hint="default" w:ascii="Times New Roman" w:hAnsi="Times New Roman" w:cs="Times New Roman"/>
                    </w:rPr>
                  </w:pPr>
                  <w:r>
                    <w:rPr>
                      <w:rFonts w:hint="default" w:ascii="Times New Roman" w:hAnsi="Times New Roman" w:cs="Times New Roman"/>
                      <w:color w:val="000000"/>
                      <w:kern w:val="0"/>
                      <w:sz w:val="22"/>
                      <w:szCs w:val="22"/>
                      <w:lang w:bidi="ar"/>
                    </w:rPr>
                    <w:t xml:space="preserve">100 </w:t>
                  </w:r>
                </w:p>
              </w:tc>
              <w:tc>
                <w:tcPr>
                  <w:tcW w:w="474" w:type="pct"/>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NE</w:t>
                  </w:r>
                </w:p>
              </w:tc>
              <w:tc>
                <w:tcPr>
                  <w:tcW w:w="695"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1161"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等线" w:cs="Times New Roman"/>
                      <w:szCs w:val="21"/>
                      <w:lang w:val="en-US"/>
                    </w:rPr>
                    <w:t>4</w:t>
                  </w:r>
                  <w:r>
                    <w:rPr>
                      <w:rFonts w:hint="default" w:ascii="Times New Roman" w:hAnsi="Times New Roman" w:eastAsia="宋体" w:cs="Times New Roman"/>
                      <w:szCs w:val="21"/>
                    </w:rPr>
                    <w:t>户，</w:t>
                  </w:r>
                  <w:r>
                    <w:rPr>
                      <w:rFonts w:hint="default" w:ascii="Times New Roman" w:hAnsi="Times New Roman" w:eastAsia="等线" w:cs="Times New Roman"/>
                      <w:szCs w:val="21"/>
                      <w:lang w:val="en-US"/>
                    </w:rPr>
                    <w:t>13</w:t>
                  </w:r>
                  <w:r>
                    <w:rPr>
                      <w:rFonts w:hint="default" w:ascii="Times New Roman" w:hAnsi="Times New Roman" w:eastAsia="宋体" w:cs="Times New Roman"/>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3</w:t>
                  </w:r>
                </w:p>
              </w:tc>
              <w:tc>
                <w:tcPr>
                  <w:tcW w:w="770" w:type="pct"/>
                  <w:tcBorders>
                    <w:tl2br w:val="nil"/>
                    <w:tr2bl w:val="nil"/>
                  </w:tcBorders>
                  <w:vAlign w:val="center"/>
                </w:tcPr>
                <w:p>
                  <w:pPr>
                    <w:jc w:val="center"/>
                    <w:rPr>
                      <w:rFonts w:hint="default" w:ascii="Times New Roman" w:hAnsi="Times New Roman" w:cs="Times New Roman"/>
                      <w:szCs w:val="18"/>
                    </w:rPr>
                  </w:pPr>
                  <w:r>
                    <w:rPr>
                      <w:rFonts w:hint="default" w:ascii="Times New Roman" w:hAnsi="Times New Roman" w:cs="Times New Roman"/>
                      <w:szCs w:val="21"/>
                    </w:rPr>
                    <w:t>8#居民点</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166 </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-86 </w:t>
                  </w:r>
                </w:p>
              </w:tc>
              <w:tc>
                <w:tcPr>
                  <w:tcW w:w="475"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szCs w:val="18"/>
                    </w:rPr>
                    <w:t>438</w:t>
                  </w:r>
                </w:p>
              </w:tc>
              <w:tc>
                <w:tcPr>
                  <w:tcW w:w="474" w:type="pct"/>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162 </w:t>
                  </w:r>
                </w:p>
              </w:tc>
              <w:tc>
                <w:tcPr>
                  <w:tcW w:w="474" w:type="pct"/>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695"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1161" w:type="dxa"/>
                  <w:tcBorders>
                    <w:tl2br w:val="nil"/>
                    <w:tr2bl w:val="nil"/>
                  </w:tcBorders>
                  <w:vAlign w:val="center"/>
                </w:tcPr>
                <w:p>
                  <w:pPr>
                    <w:pStyle w:val="252"/>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rPr>
                    <w:t>5</w:t>
                  </w:r>
                  <w:r>
                    <w:rPr>
                      <w:rFonts w:hint="default" w:ascii="Times New Roman" w:hAnsi="Times New Roman" w:eastAsia="宋体" w:cs="Times New Roman"/>
                      <w:szCs w:val="21"/>
                    </w:rPr>
                    <w:t>户，</w:t>
                  </w:r>
                  <w:r>
                    <w:rPr>
                      <w:rFonts w:hint="default" w:ascii="Times New Roman" w:hAnsi="Times New Roman" w:eastAsia="宋体" w:cs="Times New Roman"/>
                      <w:szCs w:val="21"/>
                      <w:lang w:val="en-US"/>
                    </w:rPr>
                    <w:t>18</w:t>
                  </w:r>
                  <w:r>
                    <w:rPr>
                      <w:rFonts w:hint="default" w:ascii="Times New Roman" w:hAnsi="Times New Roman" w:eastAsia="宋体" w:cs="Times New Roman"/>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4"/>
                    <w:spacing w:line="240" w:lineRule="auto"/>
                    <w:rPr>
                      <w:rFonts w:hint="default" w:ascii="Times New Roman" w:hAnsi="Times New Roman" w:cs="Times New Roman"/>
                      <w:szCs w:val="18"/>
                    </w:rPr>
                  </w:pPr>
                  <w:r>
                    <w:rPr>
                      <w:rFonts w:hint="default" w:ascii="Times New Roman" w:hAnsi="Times New Roman" w:cs="Times New Roman"/>
                      <w:szCs w:val="18"/>
                    </w:rPr>
                    <w:t>4</w:t>
                  </w:r>
                </w:p>
              </w:tc>
              <w:tc>
                <w:tcPr>
                  <w:tcW w:w="770" w:type="pct"/>
                  <w:tcBorders>
                    <w:tl2br w:val="nil"/>
                    <w:tr2bl w:val="nil"/>
                  </w:tcBorders>
                  <w:vAlign w:val="center"/>
                </w:tcPr>
                <w:p>
                  <w:pPr>
                    <w:jc w:val="center"/>
                    <w:rPr>
                      <w:rFonts w:hint="default" w:ascii="Times New Roman" w:hAnsi="Times New Roman" w:cs="Times New Roman"/>
                      <w:szCs w:val="18"/>
                    </w:rPr>
                  </w:pPr>
                  <w:r>
                    <w:rPr>
                      <w:rFonts w:hint="default" w:ascii="Times New Roman" w:hAnsi="Times New Roman" w:cs="Times New Roman"/>
                      <w:szCs w:val="21"/>
                    </w:rPr>
                    <w:t>9#居民点</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109 </w:t>
                  </w:r>
                </w:p>
              </w:tc>
              <w:tc>
                <w:tcPr>
                  <w:tcW w:w="472"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color w:val="000000"/>
                      <w:kern w:val="0"/>
                      <w:sz w:val="22"/>
                      <w:szCs w:val="22"/>
                      <w:lang w:bidi="ar"/>
                    </w:rPr>
                    <w:t xml:space="preserve">-100 </w:t>
                  </w:r>
                </w:p>
              </w:tc>
              <w:tc>
                <w:tcPr>
                  <w:tcW w:w="475" w:type="pct"/>
                  <w:tcBorders>
                    <w:tl2br w:val="nil"/>
                    <w:tr2bl w:val="nil"/>
                  </w:tcBorders>
                  <w:vAlign w:val="center"/>
                </w:tcPr>
                <w:p>
                  <w:pPr>
                    <w:widowControl/>
                    <w:jc w:val="center"/>
                    <w:textAlignment w:val="center"/>
                    <w:rPr>
                      <w:rFonts w:hint="default" w:ascii="Times New Roman" w:hAnsi="Times New Roman" w:cs="Times New Roman"/>
                      <w:szCs w:val="18"/>
                    </w:rPr>
                  </w:pPr>
                  <w:r>
                    <w:rPr>
                      <w:rFonts w:hint="default" w:ascii="Times New Roman" w:hAnsi="Times New Roman" w:cs="Times New Roman"/>
                      <w:szCs w:val="18"/>
                    </w:rPr>
                    <w:t>452</w:t>
                  </w:r>
                </w:p>
              </w:tc>
              <w:tc>
                <w:tcPr>
                  <w:tcW w:w="474" w:type="pct"/>
                  <w:tcBorders>
                    <w:tl2br w:val="nil"/>
                    <w:tr2bl w:val="nil"/>
                  </w:tcBorders>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 w:val="22"/>
                      <w:szCs w:val="22"/>
                      <w:lang w:bidi="ar"/>
                    </w:rPr>
                    <w:t xml:space="preserve">123 </w:t>
                  </w:r>
                </w:p>
              </w:tc>
              <w:tc>
                <w:tcPr>
                  <w:tcW w:w="474" w:type="pct"/>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SE</w:t>
                  </w:r>
                </w:p>
              </w:tc>
              <w:tc>
                <w:tcPr>
                  <w:tcW w:w="695" w:type="pct"/>
                  <w:vMerge w:val="continue"/>
                  <w:tcBorders>
                    <w:tl2br w:val="nil"/>
                    <w:tr2bl w:val="nil"/>
                  </w:tcBorders>
                  <w:vAlign w:val="center"/>
                </w:tcPr>
                <w:p>
                  <w:pPr>
                    <w:pStyle w:val="94"/>
                    <w:spacing w:line="240" w:lineRule="auto"/>
                    <w:rPr>
                      <w:rFonts w:hint="default" w:ascii="Times New Roman" w:hAnsi="Times New Roman" w:cs="Times New Roman"/>
                      <w:szCs w:val="18"/>
                    </w:rPr>
                  </w:pPr>
                </w:p>
              </w:tc>
              <w:tc>
                <w:tcPr>
                  <w:tcW w:w="1161" w:type="dxa"/>
                  <w:tcBorders>
                    <w:tl2br w:val="nil"/>
                    <w:tr2bl w:val="nil"/>
                  </w:tcBorders>
                  <w:vAlign w:val="center"/>
                </w:tcPr>
                <w:p>
                  <w:pPr>
                    <w:pStyle w:val="252"/>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4户，14口人</w:t>
                  </w:r>
                </w:p>
              </w:tc>
            </w:tr>
          </w:tbl>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6、环境风险敏感目标</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井场环境风险敏感目标分布情况。</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环境风险保护目标表</w:t>
            </w:r>
          </w:p>
          <w:tbl>
            <w:tblPr>
              <w:tblStyle w:val="44"/>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541"/>
              <w:gridCol w:w="2229"/>
              <w:gridCol w:w="3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kern w:val="0"/>
                      <w:szCs w:val="21"/>
                    </w:rPr>
                  </w:pPr>
                  <w:r>
                    <w:rPr>
                      <w:rFonts w:hint="default" w:ascii="Times New Roman" w:hAnsi="Times New Roman" w:cs="Times New Roman"/>
                      <w:szCs w:val="21"/>
                    </w:rPr>
                    <w:t>序号</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名称</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位置关系</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1</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农村散户居民</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井口500m范围内分布</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分散居民，约200人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2</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大成镇</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位于井口东北侧4097m</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约2000人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3</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大成镇翰章小学</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位于井口东北侧1038m</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约100人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4</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蒲家镇</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位于井口南侧3112m</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约3000人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5</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蒲家镇方坪小学</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位于井口南侧1430m</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约100人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6</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蒲家镇中心学校</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位于井口南侧3341m</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约400人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7</w:t>
                  </w:r>
                </w:p>
              </w:tc>
              <w:tc>
                <w:tcPr>
                  <w:tcW w:w="962"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5000m范围内居民</w:t>
                  </w:r>
                </w:p>
              </w:tc>
              <w:tc>
                <w:tcPr>
                  <w:tcW w:w="1391"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井口5000m范围内分布</w:t>
                  </w:r>
                </w:p>
              </w:tc>
              <w:tc>
                <w:tcPr>
                  <w:tcW w:w="2314" w:type="pct"/>
                  <w:tcBorders>
                    <w:tl2br w:val="nil"/>
                    <w:tr2bl w:val="nil"/>
                  </w:tcBorders>
                  <w:vAlign w:val="center"/>
                </w:tcPr>
                <w:p>
                  <w:pPr>
                    <w:pStyle w:val="94"/>
                    <w:spacing w:line="240" w:lineRule="auto"/>
                    <w:rPr>
                      <w:rFonts w:hint="default" w:ascii="Times New Roman" w:hAnsi="Times New Roman" w:cs="Times New Roman"/>
                      <w:szCs w:val="21"/>
                    </w:rPr>
                  </w:pPr>
                  <w:r>
                    <w:rPr>
                      <w:rFonts w:hint="default" w:ascii="Times New Roman" w:hAnsi="Times New Roman" w:cs="Times New Roman"/>
                      <w:szCs w:val="21"/>
                    </w:rPr>
                    <w:t>分散居民，约4万人</w:t>
                  </w:r>
                </w:p>
              </w:tc>
            </w:tr>
          </w:tbl>
          <w:p>
            <w:pPr>
              <w:adjustRightInd w:val="0"/>
              <w:snapToGrid w:val="0"/>
              <w:spacing w:line="360" w:lineRule="auto"/>
              <w:ind w:firstLine="420" w:firstLineChars="200"/>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904"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评价</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标准</w:t>
            </w:r>
          </w:p>
        </w:tc>
        <w:tc>
          <w:tcPr>
            <w:tcW w:w="8253" w:type="dxa"/>
          </w:tcPr>
          <w:p>
            <w:pPr>
              <w:spacing w:line="360" w:lineRule="auto"/>
              <w:rPr>
                <w:rFonts w:hint="default" w:ascii="Times New Roman" w:hAnsi="Times New Roman" w:cs="Times New Roman"/>
                <w:b/>
                <w:bCs/>
                <w:sz w:val="24"/>
              </w:rPr>
            </w:pPr>
            <w:r>
              <w:rPr>
                <w:rFonts w:hint="default" w:ascii="Times New Roman" w:hAnsi="Times New Roman" w:cs="Times New Roman"/>
                <w:b/>
                <w:bCs/>
                <w:sz w:val="24"/>
              </w:rPr>
              <w:t>3.5环境质量标准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1、环境空气</w:t>
            </w:r>
          </w:p>
          <w:p>
            <w:pPr>
              <w:spacing w:line="360" w:lineRule="auto"/>
              <w:ind w:firstLine="480" w:firstLineChars="200"/>
              <w:jc w:val="left"/>
              <w:rPr>
                <w:rFonts w:hint="default" w:ascii="Times New Roman" w:hAnsi="Times New Roman" w:cs="Times New Roman"/>
                <w:sz w:val="24"/>
              </w:rPr>
            </w:pPr>
            <w:bookmarkStart w:id="42" w:name="OLE_LINK67"/>
            <w:r>
              <w:rPr>
                <w:rFonts w:hint="default" w:ascii="Times New Roman" w:hAnsi="Times New Roman" w:cs="Times New Roman"/>
                <w:sz w:val="24"/>
              </w:rPr>
              <w:t>项目所在区域环境空气质量功能区划为</w:t>
            </w:r>
            <w:r>
              <w:rPr>
                <w:rFonts w:hint="eastAsia" w:cs="Times New Roman"/>
                <w:sz w:val="24"/>
                <w:lang w:val="en-US" w:eastAsia="zh-CN"/>
              </w:rPr>
              <w:t>二</w:t>
            </w:r>
            <w:r>
              <w:rPr>
                <w:rFonts w:hint="default" w:ascii="Times New Roman" w:hAnsi="Times New Roman" w:cs="Times New Roman"/>
                <w:sz w:val="24"/>
              </w:rPr>
              <w:t>类区，相关的主要标准值见下表。</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环境空气质量标准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1897"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平均时间</w:t>
                  </w:r>
                </w:p>
              </w:tc>
              <w:tc>
                <w:tcPr>
                  <w:tcW w:w="1524"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浓度限值</w:t>
                  </w:r>
                </w:p>
              </w:tc>
              <w:tc>
                <w:tcPr>
                  <w:tcW w:w="316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年平均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60µg/m</w:t>
                  </w:r>
                  <w:r>
                    <w:rPr>
                      <w:rFonts w:hint="default" w:ascii="Times New Roman" w:hAnsi="Times New Roman" w:cs="Times New Roman"/>
                      <w:szCs w:val="21"/>
                      <w:vertAlign w:val="superscript"/>
                    </w:rPr>
                    <w:t>3</w:t>
                  </w:r>
                </w:p>
              </w:tc>
              <w:tc>
                <w:tcPr>
                  <w:tcW w:w="3163"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150µg/m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年平均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200µg/m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CO</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4mg/m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10mg/m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日最大8小时平均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160µg/m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200µg/m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年平均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150µg/m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年平均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35µg/m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jc w:val="center"/>
                    <w:rPr>
                      <w:rFonts w:hint="default" w:ascii="Times New Roman" w:hAnsi="Times New Roman" w:cs="Times New Roman"/>
                      <w:szCs w:val="21"/>
                    </w:rPr>
                  </w:pP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75µg/m</w:t>
                  </w:r>
                  <w:r>
                    <w:rPr>
                      <w:rFonts w:hint="default" w:ascii="Times New Roman" w:hAnsi="Times New Roman" w:cs="Times New Roman"/>
                      <w:szCs w:val="21"/>
                      <w:vertAlign w:val="superscript"/>
                    </w:rPr>
                    <w:t>3</w:t>
                  </w:r>
                </w:p>
              </w:tc>
              <w:tc>
                <w:tcPr>
                  <w:tcW w:w="3163"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10µg/m3</w:t>
                  </w:r>
                </w:p>
              </w:tc>
              <w:tc>
                <w:tcPr>
                  <w:tcW w:w="316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《环境影响评价技术导则 大气环境》（HJ2.2 2018）附录D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189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52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2mg/m3</w:t>
                  </w:r>
                </w:p>
              </w:tc>
              <w:tc>
                <w:tcPr>
                  <w:tcW w:w="316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bookmarkEnd w:id="42"/>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2、地表水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地表水水质执行《地表水环境质量标准》（GB3838-2002）中的</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ROMAN </w:instrText>
            </w:r>
            <w:r>
              <w:rPr>
                <w:rFonts w:hint="default" w:ascii="Times New Roman" w:hAnsi="Times New Roman" w:cs="Times New Roman"/>
                <w:sz w:val="24"/>
              </w:rPr>
              <w:fldChar w:fldCharType="separate"/>
            </w:r>
            <w:r>
              <w:rPr>
                <w:rFonts w:hint="default" w:ascii="Times New Roman" w:hAnsi="Times New Roman" w:cs="Times New Roman"/>
                <w:sz w:val="24"/>
              </w:rPr>
              <w:t>III</w:t>
            </w:r>
            <w:r>
              <w:rPr>
                <w:rFonts w:hint="default" w:ascii="Times New Roman" w:hAnsi="Times New Roman" w:cs="Times New Roman"/>
                <w:sz w:val="24"/>
              </w:rPr>
              <w:fldChar w:fldCharType="end"/>
            </w:r>
            <w:r>
              <w:rPr>
                <w:rFonts w:hint="default" w:ascii="Times New Roman" w:hAnsi="Times New Roman" w:cs="Times New Roman"/>
                <w:sz w:val="24"/>
              </w:rPr>
              <w:t>类水域标准。</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地表水环境质量标准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 3 \* ROMAN </w:instrText>
                  </w:r>
                  <w:r>
                    <w:rPr>
                      <w:rFonts w:hint="default" w:ascii="Times New Roman" w:hAnsi="Times New Roman" w:cs="Times New Roman"/>
                      <w:szCs w:val="21"/>
                    </w:rPr>
                    <w:fldChar w:fldCharType="separate"/>
                  </w:r>
                  <w:r>
                    <w:rPr>
                      <w:rFonts w:hint="default" w:ascii="Times New Roman" w:hAnsi="Times New Roman" w:cs="Times New Roman"/>
                      <w:szCs w:val="21"/>
                    </w:rPr>
                    <w:t>III</w:t>
                  </w:r>
                  <w:r>
                    <w:rPr>
                      <w:rFonts w:hint="default" w:ascii="Times New Roman" w:hAnsi="Times New Roman" w:cs="Times New Roman"/>
                      <w:szCs w:val="21"/>
                    </w:rPr>
                    <w:fldChar w:fldCharType="end"/>
                  </w:r>
                  <w:r>
                    <w:rPr>
                      <w:rFonts w:hint="default" w:ascii="Times New Roman" w:hAnsi="Times New Roman" w:cs="Times New Roman"/>
                      <w:szCs w:val="21"/>
                    </w:rPr>
                    <w:t>类水域标准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pH</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COD</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氯化物</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硫化物</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石油类</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备注</w:t>
                  </w:r>
                </w:p>
              </w:tc>
              <w:tc>
                <w:tcPr>
                  <w:tcW w:w="555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上述标准中，pH无量纲，其余因子单位为mg/L。</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3、声环境</w:t>
            </w:r>
          </w:p>
          <w:p>
            <w:pPr>
              <w:spacing w:line="360" w:lineRule="auto"/>
              <w:ind w:firstLine="480" w:firstLineChars="200"/>
              <w:rPr>
                <w:rFonts w:hint="default" w:ascii="Times New Roman" w:hAnsi="Times New Roman" w:cs="Times New Roman"/>
                <w:szCs w:val="21"/>
              </w:rPr>
            </w:pPr>
            <w:r>
              <w:rPr>
                <w:rFonts w:hint="default" w:ascii="Times New Roman" w:hAnsi="Times New Roman" w:cs="Times New Roman"/>
                <w:sz w:val="24"/>
              </w:rPr>
              <w:t>声环境执行《声环境质量标准》（GB3096-2008）中的2</w:t>
            </w:r>
            <w:r>
              <w:rPr>
                <w:rFonts w:hint="default" w:ascii="Times New Roman" w:hAnsi="Times New Roman" w:cs="Times New Roman"/>
                <w:szCs w:val="21"/>
              </w:rPr>
              <w:t>类标准。</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声环境质量标准</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标准类别</w:t>
                  </w:r>
                </w:p>
              </w:tc>
              <w:tc>
                <w:tcPr>
                  <w:tcW w:w="5535"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等效声级LAeq（dB）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pPr>
                    <w:jc w:val="center"/>
                    <w:rPr>
                      <w:rFonts w:hint="default" w:ascii="Times New Roman" w:hAnsi="Times New Roman" w:cs="Times New Roman"/>
                      <w:szCs w:val="21"/>
                    </w:rPr>
                  </w:pPr>
                </w:p>
              </w:tc>
              <w:tc>
                <w:tcPr>
                  <w:tcW w:w="27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昼间</w:t>
                  </w:r>
                </w:p>
              </w:tc>
              <w:tc>
                <w:tcPr>
                  <w:tcW w:w="276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2类</w:t>
                  </w:r>
                </w:p>
              </w:tc>
              <w:tc>
                <w:tcPr>
                  <w:tcW w:w="27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276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4、地下水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地下水质量标准限值     单位：mg/L（pH无量纲）</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项目</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pH</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溶解性总固体</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硫酸盐</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6.5~8.0</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≤1000</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≤250</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项目</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石油类</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硝酸盐</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亚硝酸盐</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总硬度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≤0.05</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≤20</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项目</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铁</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耗氧量</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氨氮</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≤0.3</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≤3.0</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≤0.5</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项目</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六价铬</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氟化物</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总大肠菌群</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≤0.05</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1624"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≤3 (MPN/100mL）</w:t>
                  </w:r>
                </w:p>
              </w:tc>
              <w:tc>
                <w:tcPr>
                  <w:tcW w:w="1625" w:type="dxa"/>
                  <w:tcBorders>
                    <w:tl2br w:val="nil"/>
                    <w:tr2bl w:val="nil"/>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≤0.02</w:t>
                  </w:r>
                </w:p>
              </w:tc>
            </w:tr>
          </w:tbl>
          <w:p>
            <w:pPr>
              <w:spacing w:line="360" w:lineRule="auto"/>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注：COD和石油类参照执行《地表水环境质量标准》（GB3838-2002）Ⅲ类标准。</w:t>
            </w:r>
          </w:p>
          <w:p>
            <w:pPr>
              <w:spacing w:line="360" w:lineRule="auto"/>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5、土壤环境质量标准</w:t>
            </w:r>
          </w:p>
          <w:p>
            <w:pPr>
              <w:spacing w:line="360" w:lineRule="auto"/>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2"/>
                <w:szCs w:val="22"/>
              </w:rPr>
            </w:pPr>
            <w:r>
              <w:rPr>
                <w:rFonts w:hint="default" w:ascii="Times New Roman" w:hAnsi="Times New Roman" w:cs="Times New Roman"/>
                <w:b/>
                <w:bCs/>
                <w:kern w:val="0"/>
                <w:sz w:val="22"/>
                <w:szCs w:val="22"/>
              </w:rPr>
              <w:t>《土壤环境质量建设用地土壤污染风险管控标准（试行）》（GB36600-2018） 单位：mg/kg</w:t>
            </w:r>
          </w:p>
          <w:tbl>
            <w:tblPr>
              <w:tblStyle w:val="44"/>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pPr>
                    <w:pStyle w:val="312"/>
                    <w:spacing w:line="240" w:lineRule="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序号</w:t>
                  </w:r>
                </w:p>
              </w:tc>
              <w:tc>
                <w:tcPr>
                  <w:tcW w:w="1928" w:type="dxa"/>
                  <w:vMerge w:val="restart"/>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1673" w:type="dxa"/>
                  <w:vMerge w:val="restart"/>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CAS编号</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筛选值</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pPr>
                    <w:widowControl/>
                    <w:jc w:val="center"/>
                    <w:rPr>
                      <w:rFonts w:hint="default" w:ascii="Times New Roman" w:hAnsi="Times New Roman" w:cs="Times New Roman"/>
                      <w:szCs w:val="21"/>
                    </w:rPr>
                  </w:pPr>
                </w:p>
              </w:tc>
              <w:tc>
                <w:tcPr>
                  <w:tcW w:w="1928" w:type="dxa"/>
                  <w:vMerge w:val="continue"/>
                  <w:tcBorders>
                    <w:tl2br w:val="nil"/>
                    <w:tr2bl w:val="nil"/>
                  </w:tcBorders>
                  <w:vAlign w:val="center"/>
                </w:tcPr>
                <w:p>
                  <w:pPr>
                    <w:widowControl/>
                    <w:jc w:val="center"/>
                    <w:rPr>
                      <w:rFonts w:hint="default" w:ascii="Times New Roman" w:hAnsi="Times New Roman" w:cs="Times New Roman"/>
                      <w:szCs w:val="21"/>
                    </w:rPr>
                  </w:pPr>
                </w:p>
              </w:tc>
              <w:tc>
                <w:tcPr>
                  <w:tcW w:w="1673" w:type="dxa"/>
                  <w:vMerge w:val="continue"/>
                  <w:tcBorders>
                    <w:tl2br w:val="nil"/>
                    <w:tr2bl w:val="nil"/>
                  </w:tcBorders>
                  <w:vAlign w:val="center"/>
                </w:tcPr>
                <w:p>
                  <w:pPr>
                    <w:widowControl/>
                    <w:jc w:val="center"/>
                    <w:rPr>
                      <w:rFonts w:hint="default" w:ascii="Times New Roman" w:hAnsi="Times New Roman" w:cs="Times New Roman"/>
                      <w:szCs w:val="21"/>
                    </w:rPr>
                  </w:pP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7440-38-2</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镉</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7440-43-9</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铬（六价）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20246-29-9</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铜</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7440-50-8</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铅</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7439-92-1</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汞</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7439-97-6</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镍</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7440-02-0</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四氯化碳</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56-23-5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0.9</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氯仿</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67-66-3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氯甲烷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74-87-3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75-34-3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107-06-2</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75-35-4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顺-1,2-二氯乙烯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156-59-2</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66</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反-1,2-二氯乙烯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156-60-5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二氯甲烷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75-09-2</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94</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78-87-5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18</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1,1,1,2-四氯乙烷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630-20-6</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1,1,2,2-四氯乙烷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79-34-5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127-18-4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1,1,1-三氯乙烷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71-55-6</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701</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1,1,2-三氯乙烷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79-00-5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0.6</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23</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三氯乙烯、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79-01-6</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1,2,3-三氯丙烷</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96-18-4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27</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108-90-7</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68</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28</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95-50-1</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29</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1,4-二氯苯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106-46-7</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乙苯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100-41-4</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苯乙烯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100-42-5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甲苯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108-88-3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间二甲苯+对二甲苯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108-38-3，106-42-3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163</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邻二甲苯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95-47-6</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硝基苯</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98-95-3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苯胺</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62-53-3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92</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2-氯酚</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95-57-8</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38</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苯并[a]蒽</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56-55-3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39</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苯并[a]芘</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50-32-8</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苯并[b]荧蒽</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205-99-2</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41</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苯并[k]荧蒽</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207-08-9</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42</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䓛</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218-01-9</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43</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二苯并[a,h]蒽</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53-70-3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44</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茚并[1,2,3-cd]芘</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193-39-5</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45</w:t>
                  </w:r>
                </w:p>
              </w:tc>
              <w:tc>
                <w:tcPr>
                  <w:tcW w:w="1928"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萘</w:t>
                  </w:r>
                </w:p>
              </w:tc>
              <w:tc>
                <w:tcPr>
                  <w:tcW w:w="1673"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91-20-3</w:t>
                  </w:r>
                </w:p>
              </w:tc>
              <w:tc>
                <w:tcPr>
                  <w:tcW w:w="1800"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695" w:type="dxa"/>
                  <w:tcBorders>
                    <w:tl2br w:val="nil"/>
                    <w:tr2bl w:val="nil"/>
                  </w:tcBorders>
                  <w:vAlign w:val="center"/>
                </w:tcPr>
                <w:p>
                  <w:pPr>
                    <w:pStyle w:val="31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255</w:t>
                  </w:r>
                </w:p>
              </w:tc>
            </w:tr>
          </w:tbl>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农用地土壤污染风险筛选值（基本项目）表  单位：mg/kg</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b/>
                      <w:bCs/>
                      <w:szCs w:val="21"/>
                      <w:lang w:bidi="ar"/>
                    </w:rPr>
                  </w:pPr>
                  <w:r>
                    <w:rPr>
                      <w:rFonts w:hint="default" w:ascii="Times New Roman" w:hAnsi="Times New Roman" w:cs="Times New Roman"/>
                      <w:b/>
                      <w:bCs/>
                      <w:szCs w:val="21"/>
                      <w:lang w:bidi="ar"/>
                    </w:rPr>
                    <w:t>序号</w:t>
                  </w:r>
                </w:p>
              </w:tc>
              <w:tc>
                <w:tcPr>
                  <w:tcW w:w="3544" w:type="dxa"/>
                  <w:gridSpan w:val="2"/>
                  <w:vMerge w:val="restart"/>
                  <w:tcBorders>
                    <w:tl2br w:val="nil"/>
                    <w:tr2bl w:val="nil"/>
                  </w:tcBorders>
                  <w:vAlign w:val="center"/>
                </w:tcPr>
                <w:p>
                  <w:pPr>
                    <w:jc w:val="center"/>
                    <w:rPr>
                      <w:rFonts w:hint="default" w:ascii="Times New Roman" w:hAnsi="Times New Roman" w:cs="Times New Roman"/>
                      <w:b/>
                      <w:bCs/>
                      <w:szCs w:val="21"/>
                      <w:lang w:bidi="ar"/>
                    </w:rPr>
                  </w:pPr>
                  <w:r>
                    <w:rPr>
                      <w:rFonts w:hint="default" w:ascii="Times New Roman" w:hAnsi="Times New Roman" w:cs="Times New Roman"/>
                      <w:b/>
                      <w:bCs/>
                      <w:szCs w:val="21"/>
                      <w:lang w:bidi="ar"/>
                    </w:rPr>
                    <w:t>污染物项目</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b/>
                      <w:bCs/>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3544" w:type="dxa"/>
                  <w:gridSpan w:val="2"/>
                  <w:vMerge w:val="continue"/>
                  <w:tcBorders>
                    <w:tl2br w:val="nil"/>
                    <w:tr2bl w:val="nil"/>
                  </w:tcBorders>
                  <w:vAlign w:val="center"/>
                </w:tcPr>
                <w:p>
                  <w:pPr>
                    <w:jc w:val="center"/>
                    <w:rPr>
                      <w:rFonts w:hint="default" w:ascii="Times New Roman" w:hAnsi="Times New Roman" w:cs="Times New Roman"/>
                      <w:szCs w:val="21"/>
                      <w:lang w:bidi="ar"/>
                    </w:rPr>
                  </w:pP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6.5＜pH≤7.5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镉</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水田</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汞</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水田</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3</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砷</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水田</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4</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铅</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水田</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5</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铬</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水田</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6</w:t>
                  </w:r>
                </w:p>
              </w:tc>
              <w:tc>
                <w:tcPr>
                  <w:tcW w:w="1276" w:type="dxa"/>
                  <w:vMerge w:val="restart"/>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铜</w:t>
                  </w: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果园</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1276"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268"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其他</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7</w:t>
                  </w:r>
                </w:p>
              </w:tc>
              <w:tc>
                <w:tcPr>
                  <w:tcW w:w="3544" w:type="dxa"/>
                  <w:gridSpan w:val="2"/>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镍</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8</w:t>
                  </w:r>
                </w:p>
              </w:tc>
              <w:tc>
                <w:tcPr>
                  <w:tcW w:w="3544" w:type="dxa"/>
                  <w:gridSpan w:val="2"/>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锌</w:t>
                  </w:r>
                </w:p>
              </w:tc>
              <w:tc>
                <w:tcPr>
                  <w:tcW w:w="2646"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250</w:t>
                  </w:r>
                </w:p>
              </w:tc>
            </w:tr>
          </w:tbl>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 xml:space="preserve"> 建设用地土壤污染风险筛选值  单位：mg/kg</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restart"/>
                  <w:tcBorders>
                    <w:tl2br w:val="nil"/>
                    <w:tr2bl w:val="nil"/>
                  </w:tcBorders>
                  <w:vAlign w:val="center"/>
                </w:tcPr>
                <w:p>
                  <w:pPr>
                    <w:jc w:val="center"/>
                    <w:rPr>
                      <w:rFonts w:hint="default" w:ascii="Times New Roman" w:hAnsi="Times New Roman" w:cs="Times New Roman"/>
                      <w:b/>
                      <w:bCs/>
                      <w:szCs w:val="21"/>
                      <w:lang w:bidi="ar"/>
                    </w:rPr>
                  </w:pPr>
                  <w:r>
                    <w:rPr>
                      <w:rFonts w:hint="default" w:ascii="Times New Roman" w:hAnsi="Times New Roman" w:cs="Times New Roman"/>
                      <w:b/>
                      <w:bCs/>
                      <w:szCs w:val="21"/>
                      <w:lang w:bidi="ar"/>
                    </w:rPr>
                    <w:t>序号</w:t>
                  </w:r>
                </w:p>
              </w:tc>
              <w:tc>
                <w:tcPr>
                  <w:tcW w:w="2410" w:type="dxa"/>
                  <w:vMerge w:val="restart"/>
                  <w:tcBorders>
                    <w:tl2br w:val="nil"/>
                    <w:tr2bl w:val="nil"/>
                  </w:tcBorders>
                  <w:vAlign w:val="center"/>
                </w:tcPr>
                <w:p>
                  <w:pPr>
                    <w:jc w:val="center"/>
                    <w:rPr>
                      <w:rFonts w:hint="default" w:ascii="Times New Roman" w:hAnsi="Times New Roman" w:cs="Times New Roman"/>
                      <w:b/>
                      <w:bCs/>
                      <w:szCs w:val="21"/>
                      <w:lang w:bidi="ar"/>
                    </w:rPr>
                  </w:pPr>
                  <w:r>
                    <w:rPr>
                      <w:rFonts w:hint="default" w:ascii="Times New Roman" w:hAnsi="Times New Roman" w:cs="Times New Roman"/>
                      <w:b/>
                      <w:bCs/>
                      <w:szCs w:val="21"/>
                      <w:lang w:bidi="ar"/>
                    </w:rPr>
                    <w:t>污染物项目</w:t>
                  </w:r>
                </w:p>
              </w:tc>
              <w:tc>
                <w:tcPr>
                  <w:tcW w:w="4504"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2410" w:type="dxa"/>
                  <w:vMerge w:val="continue"/>
                  <w:tcBorders>
                    <w:tl2br w:val="nil"/>
                    <w:tr2bl w:val="nil"/>
                  </w:tcBorders>
                  <w:vAlign w:val="center"/>
                </w:tcPr>
                <w:p>
                  <w:pPr>
                    <w:jc w:val="center"/>
                    <w:rPr>
                      <w:rFonts w:hint="default" w:ascii="Times New Roman" w:hAnsi="Times New Roman" w:cs="Times New Roman"/>
                      <w:szCs w:val="21"/>
                      <w:lang w:bidi="ar"/>
                    </w:rPr>
                  </w:pPr>
                </w:p>
              </w:tc>
              <w:tc>
                <w:tcPr>
                  <w:tcW w:w="4504"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1</w:t>
                  </w:r>
                </w:p>
              </w:tc>
              <w:tc>
                <w:tcPr>
                  <w:tcW w:w="2410"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石油烃</w:t>
                  </w:r>
                </w:p>
              </w:tc>
              <w:tc>
                <w:tcPr>
                  <w:tcW w:w="4504" w:type="dxa"/>
                  <w:tcBorders>
                    <w:tl2br w:val="nil"/>
                    <w:tr2bl w:val="nil"/>
                  </w:tcBorders>
                  <w:vAlign w:val="center"/>
                </w:tcPr>
                <w:p>
                  <w:pPr>
                    <w:jc w:val="center"/>
                    <w:rPr>
                      <w:rFonts w:hint="default" w:ascii="Times New Roman" w:hAnsi="Times New Roman" w:cs="Times New Roman"/>
                      <w:szCs w:val="21"/>
                      <w:lang w:bidi="ar"/>
                    </w:rPr>
                  </w:pPr>
                  <w:r>
                    <w:rPr>
                      <w:rFonts w:hint="default" w:ascii="Times New Roman" w:hAnsi="Times New Roman" w:cs="Times New Roman"/>
                      <w:szCs w:val="21"/>
                      <w:lang w:bidi="ar"/>
                    </w:rPr>
                    <w:t>4500</w:t>
                  </w:r>
                </w:p>
              </w:tc>
            </w:tr>
          </w:tbl>
          <w:p>
            <w:pPr>
              <w:adjustRightInd w:val="0"/>
              <w:snapToGrid w:val="0"/>
              <w:spacing w:line="360" w:lineRule="auto"/>
              <w:rPr>
                <w:rFonts w:hint="default" w:ascii="Times New Roman" w:hAnsi="Times New Roman" w:cs="Times New Roman"/>
                <w:b/>
                <w:bCs/>
                <w:kern w:val="0"/>
                <w:sz w:val="24"/>
              </w:rPr>
            </w:pPr>
            <w:r>
              <w:rPr>
                <w:rFonts w:hint="default" w:ascii="Times New Roman" w:hAnsi="Times New Roman" w:cs="Times New Roman"/>
                <w:b/>
                <w:bCs/>
                <w:kern w:val="0"/>
                <w:sz w:val="24"/>
              </w:rPr>
              <w:t>3.6污染物排放标准</w:t>
            </w:r>
          </w:p>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1、废气</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废气执行《四川省施工场地扬尘排放标准》（DB51/2682-2020）中表1规定的浓度限值。</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《四川省施工场地扬尘排放标准》（DB51/2682-2020） 单位：mg/m</w:t>
            </w:r>
            <w:r>
              <w:rPr>
                <w:rFonts w:hint="default" w:ascii="Times New Roman" w:hAnsi="Times New Roman" w:cs="Times New Roman"/>
                <w:b/>
                <w:bCs/>
                <w:kern w:val="0"/>
                <w:sz w:val="24"/>
                <w:vertAlign w:val="superscript"/>
              </w:rPr>
              <w:t>3</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2684"/>
              <w:gridCol w:w="2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监测项目</w:t>
                  </w: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施工阶段</w:t>
                  </w: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颗粒物（mg/m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TSP</w:t>
                  </w: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拆除工程/土石方开挖/土方回填阶段</w:t>
                  </w: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9" w:type="dxa"/>
                  <w:vMerge w:val="continue"/>
                  <w:tcBorders>
                    <w:tl2br w:val="nil"/>
                    <w:tr2bl w:val="nil"/>
                  </w:tcBorders>
                  <w:vAlign w:val="center"/>
                </w:tcPr>
                <w:p>
                  <w:pPr>
                    <w:jc w:val="center"/>
                    <w:rPr>
                      <w:rFonts w:hint="default" w:ascii="Times New Roman" w:hAnsi="Times New Roman" w:cs="Times New Roman"/>
                      <w:szCs w:val="21"/>
                    </w:rPr>
                  </w:pP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其他工程阶段</w:t>
                  </w:r>
                </w:p>
              </w:tc>
              <w:tc>
                <w:tcPr>
                  <w:tcW w:w="268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0.25</w:t>
                  </w:r>
                </w:p>
              </w:tc>
            </w:tr>
          </w:tbl>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钻探设备中的柴油机、发电机应尽量采用符合《非道路移动机械用柴油机排气污染物排放限值及测量方法》（中国第三、四阶段）的设备，老的钻探设备应满足制造当时的排放限值。</w:t>
            </w:r>
          </w:p>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2、废水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生活污水经生态一体化厕所收集后由吸污车拉运至大成镇污水处理厂处理后排放。钻井废水回用于压裂液配制，不能回用时同试气废水在井场进行预处理后，通过密闭罐车定期拉运至大湾403污水站处理达标后管输至毛开1井回注站回注。</w:t>
            </w:r>
          </w:p>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3、噪声</w:t>
            </w:r>
          </w:p>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建筑施工期间噪声执行《建筑施工场界环境噪声排放标准》（GB12523-2011）各施工阶段标准。</w:t>
            </w:r>
          </w:p>
          <w:p>
            <w:pPr>
              <w:pStyle w:val="332"/>
              <w:numPr>
                <w:ilvl w:val="0"/>
                <w:numId w:val="6"/>
              </w:numPr>
              <w:adjustRightInd w:val="0"/>
              <w:snapToGrid w:val="0"/>
              <w:spacing w:line="360" w:lineRule="auto"/>
              <w:ind w:lef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建筑施工场界环境噪声排放标准  单位：dB(A)</w:t>
            </w:r>
          </w:p>
          <w:tbl>
            <w:tblPr>
              <w:tblStyle w:val="44"/>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时段</w:t>
                  </w:r>
                </w:p>
              </w:tc>
              <w:tc>
                <w:tcPr>
                  <w:tcW w:w="275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昼间</w:t>
                  </w:r>
                </w:p>
              </w:tc>
              <w:tc>
                <w:tcPr>
                  <w:tcW w:w="257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限值</w:t>
                  </w:r>
                </w:p>
              </w:tc>
              <w:tc>
                <w:tcPr>
                  <w:tcW w:w="275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25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r>
          </w:tbl>
          <w:p>
            <w:pPr>
              <w:pStyle w:val="2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4、固体废弃物</w:t>
            </w:r>
          </w:p>
          <w:p>
            <w:pPr>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sz w:val="24"/>
              </w:rPr>
              <w:t>一般工业固体废物贮存过程中应满足相应的防渗漏、防雨淋、防扬尘等环境保护要求。危险废物执行《危险废物贮存污染控制标准》（GB 18597-2023）中相应标准。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其他</w:t>
            </w:r>
          </w:p>
        </w:tc>
        <w:tc>
          <w:tcPr>
            <w:tcW w:w="8253" w:type="dxa"/>
            <w:vAlign w:val="center"/>
          </w:tcPr>
          <w:p>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bCs/>
                <w:sz w:val="24"/>
              </w:rPr>
              <w:t>根据实施总量控制的原则，结合本项目污染物排放的实际情况，工程周期短、废气排放量小，储层改造作业废水外运处理，生活污水农用，本次评价不设总量控制指标。</w:t>
            </w:r>
          </w:p>
        </w:tc>
      </w:tr>
    </w:tbl>
    <w:p>
      <w:pPr>
        <w:pStyle w:val="38"/>
        <w:adjustRightInd w:val="0"/>
        <w:snapToGrid w:val="0"/>
        <w:spacing w:before="0" w:beforeAutospacing="0" w:after="0" w:afterAutospacing="0" w:line="14" w:lineRule="auto"/>
        <w:jc w:val="center"/>
        <w:rPr>
          <w:rFonts w:ascii="Times New Roman" w:hAnsi="Times New Roman" w:eastAsia="黑体"/>
          <w:snapToGrid w:val="0"/>
          <w:kern w:val="2"/>
          <w:sz w:val="21"/>
          <w:szCs w:val="21"/>
        </w:rPr>
      </w:pPr>
    </w:p>
    <w:p>
      <w:pPr>
        <w:pStyle w:val="38"/>
        <w:jc w:val="center"/>
        <w:outlineLvl w:val="0"/>
        <w:rPr>
          <w:rFonts w:ascii="Times New Roman" w:hAnsi="Times New Roman" w:eastAsia="黑体"/>
          <w:snapToGrid w:val="0"/>
          <w:sz w:val="21"/>
          <w:szCs w:val="21"/>
        </w:rPr>
      </w:pPr>
      <w:r>
        <w:rPr>
          <w:rFonts w:ascii="Times New Roman" w:hAnsi="Times New Roman" w:eastAsia="黑体"/>
          <w:snapToGrid w:val="0"/>
          <w:kern w:val="2"/>
          <w:sz w:val="21"/>
          <w:szCs w:val="21"/>
        </w:rPr>
        <w:br w:type="page"/>
      </w:r>
      <w:r>
        <w:rPr>
          <w:rFonts w:ascii="Times New Roman" w:hAnsi="Times New Roman" w:eastAsia="黑体"/>
          <w:snapToGrid w:val="0"/>
          <w:sz w:val="28"/>
          <w:szCs w:val="22"/>
        </w:rPr>
        <w:t>四、生态环境影响分析</w:t>
      </w:r>
    </w:p>
    <w:tbl>
      <w:tblPr>
        <w:tblStyle w:val="4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879" w:type="dxa"/>
            <w:tcMar>
              <w:left w:w="28" w:type="dxa"/>
              <w:right w:w="28" w:type="dxa"/>
            </w:tcMar>
            <w:vAlign w:val="center"/>
          </w:tcPr>
          <w:p>
            <w:pPr>
              <w:pStyle w:val="38"/>
              <w:widowControl w:val="0"/>
              <w:adjustRightInd w:val="0"/>
              <w:snapToGrid w:val="0"/>
              <w:spacing w:before="0" w:beforeAutospacing="0" w:after="0" w:afterAutospacing="0"/>
              <w:jc w:val="center"/>
              <w:rPr>
                <w:rFonts w:ascii="Times New Roman" w:hAnsi="Times New Roman"/>
                <w:bCs/>
                <w:kern w:val="2"/>
                <w:sz w:val="21"/>
                <w:szCs w:val="21"/>
              </w:rPr>
            </w:pPr>
            <w:bookmarkStart w:id="43" w:name="_Hlk49796138"/>
            <w:r>
              <w:rPr>
                <w:rFonts w:ascii="Times New Roman" w:hAnsi="Times New Roman"/>
                <w:bCs/>
                <w:spacing w:val="10"/>
                <w:kern w:val="2"/>
                <w:sz w:val="21"/>
                <w:szCs w:val="21"/>
              </w:rPr>
              <w:t>施工期生态环境影响分析</w:t>
            </w:r>
            <w:bookmarkEnd w:id="43"/>
          </w:p>
        </w:tc>
        <w:tc>
          <w:tcPr>
            <w:tcW w:w="8363" w:type="dxa"/>
          </w:tcPr>
          <w:p>
            <w:pPr>
              <w:spacing w:line="360" w:lineRule="auto"/>
              <w:rPr>
                <w:b/>
                <w:sz w:val="24"/>
              </w:rPr>
            </w:pPr>
            <w:r>
              <w:rPr>
                <w:b/>
                <w:sz w:val="24"/>
              </w:rPr>
              <w:t>4.1钻前工程污染源源强核算及环境影响分析</w:t>
            </w:r>
          </w:p>
          <w:p>
            <w:pPr>
              <w:spacing w:line="360" w:lineRule="auto"/>
              <w:ind w:firstLine="480" w:firstLineChars="200"/>
              <w:rPr>
                <w:bCs/>
                <w:sz w:val="24"/>
              </w:rPr>
            </w:pPr>
            <w:r>
              <w:rPr>
                <w:bCs/>
                <w:sz w:val="24"/>
              </w:rPr>
              <w:t>钻前工程主要包括：修建循环系统及设备的基础准备、钻井设备的搬运及安装、井口设备准备、放喷池修建、清污分流系统以及施工营地板房布置等</w:t>
            </w:r>
            <w:r>
              <w:rPr>
                <w:rFonts w:hint="eastAsia"/>
                <w:bCs/>
                <w:sz w:val="24"/>
              </w:rPr>
              <w:t>。</w:t>
            </w:r>
          </w:p>
          <w:p>
            <w:pPr>
              <w:spacing w:line="360" w:lineRule="auto"/>
              <w:rPr>
                <w:b/>
                <w:sz w:val="24"/>
              </w:rPr>
            </w:pPr>
            <w:r>
              <w:rPr>
                <w:b/>
                <w:sz w:val="24"/>
              </w:rPr>
              <w:t>4.1.1废气</w:t>
            </w:r>
          </w:p>
          <w:p>
            <w:pPr>
              <w:spacing w:line="360" w:lineRule="auto"/>
              <w:ind w:firstLine="480" w:firstLineChars="200"/>
              <w:rPr>
                <w:sz w:val="24"/>
              </w:rPr>
            </w:pPr>
            <w:r>
              <w:rPr>
                <w:sz w:val="24"/>
              </w:rPr>
              <w:t>（1）废气源强</w:t>
            </w:r>
          </w:p>
          <w:p>
            <w:pPr>
              <w:spacing w:line="360" w:lineRule="auto"/>
              <w:ind w:firstLine="480" w:firstLineChars="200"/>
              <w:rPr>
                <w:sz w:val="24"/>
              </w:rPr>
            </w:pPr>
            <w:r>
              <w:rPr>
                <w:sz w:val="24"/>
              </w:rPr>
              <w:t>钻前工程施工期产生的空气污染主要是：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sz w:val="24"/>
                <w:vertAlign w:val="subscript"/>
              </w:rPr>
              <w:t>X</w:t>
            </w:r>
            <w:r>
              <w:rPr>
                <w:sz w:val="24"/>
              </w:rPr>
              <w:t>等。</w:t>
            </w:r>
          </w:p>
          <w:p>
            <w:pPr>
              <w:spacing w:line="360" w:lineRule="auto"/>
              <w:ind w:firstLine="480" w:firstLineChars="200"/>
              <w:rPr>
                <w:sz w:val="24"/>
              </w:rPr>
            </w:pPr>
            <w:r>
              <w:rPr>
                <w:sz w:val="24"/>
              </w:rPr>
              <w:t>（2）环境影响分析</w:t>
            </w:r>
          </w:p>
          <w:p>
            <w:pPr>
              <w:spacing w:line="360" w:lineRule="auto"/>
              <w:ind w:firstLine="480" w:firstLineChars="200"/>
              <w:rPr>
                <w:sz w:val="24"/>
              </w:rPr>
            </w:pPr>
            <w:r>
              <w:rPr>
                <w:sz w:val="24"/>
              </w:rPr>
              <w:t>钻前作业累计施工工时较短，施工现场采取洒水降尘，不会对周围环境空气产生明显的不适影响，也不会对周边农业生产造成明显影响。总体看来，钻前作业不会对当地环境空气造成明显不利影响，对周围环境影响是可接受的。</w:t>
            </w:r>
            <w:r>
              <w:rPr>
                <w:sz w:val="24"/>
              </w:rPr>
              <w:cr/>
            </w:r>
            <w:r>
              <w:rPr>
                <w:b/>
                <w:sz w:val="24"/>
              </w:rPr>
              <w:t>4.1.2废水</w:t>
            </w:r>
          </w:p>
          <w:p>
            <w:pPr>
              <w:spacing w:line="360" w:lineRule="auto"/>
              <w:ind w:firstLine="480" w:firstLineChars="200"/>
              <w:rPr>
                <w:sz w:val="24"/>
              </w:rPr>
            </w:pPr>
            <w:r>
              <w:rPr>
                <w:sz w:val="24"/>
              </w:rPr>
              <w:t>（1）废水源强</w:t>
            </w:r>
          </w:p>
          <w:p>
            <w:pPr>
              <w:spacing w:line="360" w:lineRule="auto"/>
              <w:ind w:firstLine="480" w:firstLineChars="200"/>
              <w:rPr>
                <w:sz w:val="24"/>
              </w:rPr>
            </w:pPr>
            <w:r>
              <w:rPr>
                <w:sz w:val="24"/>
              </w:rPr>
              <w:t>钻前工程废水由施工废水和生活污水两部分组成。基建人员有30人，人均生活用水量按100L/d计，生活总用水量约3.0m</w:t>
            </w:r>
            <w:r>
              <w:rPr>
                <w:sz w:val="24"/>
                <w:vertAlign w:val="superscript"/>
              </w:rPr>
              <w:t>3</w:t>
            </w:r>
            <w:r>
              <w:rPr>
                <w:sz w:val="24"/>
              </w:rPr>
              <w:t>/d，施工工期约1个月，因此生活用水总量90m</w:t>
            </w:r>
            <w:r>
              <w:rPr>
                <w:sz w:val="24"/>
                <w:vertAlign w:val="superscript"/>
              </w:rPr>
              <w:t>3</w:t>
            </w:r>
            <w:r>
              <w:rPr>
                <w:sz w:val="24"/>
              </w:rPr>
              <w:t>。产污系数取0.9，则生活污水量2.7m</w:t>
            </w:r>
            <w:r>
              <w:rPr>
                <w:sz w:val="24"/>
                <w:vertAlign w:val="superscript"/>
              </w:rPr>
              <w:t>3</w:t>
            </w:r>
            <w:r>
              <w:rPr>
                <w:sz w:val="24"/>
              </w:rPr>
              <w:t>/d，生活污水总量为81m</w:t>
            </w:r>
            <w:r>
              <w:rPr>
                <w:sz w:val="24"/>
                <w:vertAlign w:val="superscript"/>
              </w:rPr>
              <w:t>3</w:t>
            </w:r>
            <w:r>
              <w:rPr>
                <w:sz w:val="24"/>
              </w:rPr>
              <w:t>，主要污染物为COD、BOD</w:t>
            </w:r>
            <w:r>
              <w:rPr>
                <w:sz w:val="24"/>
                <w:vertAlign w:val="subscript"/>
              </w:rPr>
              <w:t>5</w:t>
            </w:r>
            <w:r>
              <w:rPr>
                <w:sz w:val="24"/>
              </w:rPr>
              <w:t>、SS、NH</w:t>
            </w:r>
            <w:r>
              <w:rPr>
                <w:sz w:val="24"/>
                <w:vertAlign w:val="subscript"/>
              </w:rPr>
              <w:t>3</w:t>
            </w:r>
            <w:r>
              <w:rPr>
                <w:sz w:val="24"/>
              </w:rPr>
              <w:t>-N，浓度依次约400mg/L、200mg/L、300mg/L、25mg/L。</w:t>
            </w:r>
          </w:p>
          <w:p>
            <w:pPr>
              <w:spacing w:line="360" w:lineRule="auto"/>
              <w:ind w:firstLine="480" w:firstLineChars="200"/>
              <w:rPr>
                <w:sz w:val="24"/>
              </w:rPr>
            </w:pPr>
            <w:r>
              <w:rPr>
                <w:sz w:val="24"/>
              </w:rPr>
              <w:t>（2）环境影响分析</w:t>
            </w:r>
          </w:p>
          <w:p>
            <w:pPr>
              <w:spacing w:line="360" w:lineRule="auto"/>
              <w:ind w:firstLine="480" w:firstLineChars="200"/>
              <w:rPr>
                <w:sz w:val="24"/>
              </w:rPr>
            </w:pPr>
            <w:r>
              <w:rPr>
                <w:sz w:val="24"/>
              </w:rPr>
              <w:t>钻前施工作业废水来自施工场地，道路施工过程遇雨产生的地表径流，径流雨水中夹带有悬浮物；井场基础建设产生的废水主要来自砂石骨料加工、混凝土搅拌及养护等过程。</w:t>
            </w:r>
          </w:p>
          <w:p>
            <w:pPr>
              <w:spacing w:line="360" w:lineRule="auto"/>
              <w:ind w:firstLine="480" w:firstLineChars="200"/>
              <w:rPr>
                <w:sz w:val="24"/>
              </w:rPr>
            </w:pPr>
            <w:r>
              <w:rPr>
                <w:sz w:val="24"/>
              </w:rPr>
              <w:t>项目产生的生活污水利用农户已建设施处理；施工废水循环利用于洒水抑尘，无施工废水排放。不会对周边地表水环境造成明显不利影响。</w:t>
            </w:r>
          </w:p>
          <w:p>
            <w:pPr>
              <w:spacing w:line="360" w:lineRule="auto"/>
              <w:rPr>
                <w:b/>
                <w:sz w:val="24"/>
              </w:rPr>
            </w:pPr>
            <w:r>
              <w:rPr>
                <w:b/>
                <w:sz w:val="24"/>
              </w:rPr>
              <w:t>4.1.3噪声</w:t>
            </w:r>
          </w:p>
          <w:p>
            <w:pPr>
              <w:spacing w:line="360" w:lineRule="auto"/>
              <w:ind w:firstLine="480" w:firstLineChars="200"/>
              <w:contextualSpacing/>
              <w:rPr>
                <w:bCs/>
                <w:sz w:val="24"/>
              </w:rPr>
            </w:pPr>
            <w:r>
              <w:rPr>
                <w:bCs/>
                <w:sz w:val="24"/>
              </w:rPr>
              <w:t>（1）噪声源强核算</w:t>
            </w:r>
          </w:p>
          <w:p>
            <w:pPr>
              <w:spacing w:line="360" w:lineRule="auto"/>
              <w:ind w:firstLine="480" w:firstLineChars="200"/>
              <w:contextualSpacing/>
              <w:rPr>
                <w:sz w:val="24"/>
              </w:rPr>
            </w:pPr>
            <w:r>
              <w:rPr>
                <w:bCs/>
                <w:sz w:val="24"/>
              </w:rPr>
              <w:t>施工期噪声主要来自压裂设备安装噪声</w:t>
            </w:r>
            <w:r>
              <w:rPr>
                <w:sz w:val="24"/>
              </w:rPr>
              <w:t>及运输车辆进出场地产生的噪声。施工期主要噪声设备下表。</w:t>
            </w:r>
          </w:p>
          <w:p>
            <w:pPr>
              <w:pStyle w:val="20"/>
              <w:tabs>
                <w:tab w:val="left" w:pos="0"/>
                <w:tab w:val="left" w:pos="833"/>
              </w:tabs>
              <w:snapToGrid/>
              <w:spacing w:before="0" w:after="0" w:line="360" w:lineRule="auto"/>
              <w:ind w:right="0"/>
              <w:contextualSpacing/>
              <w:jc w:val="center"/>
              <w:rPr>
                <w:b/>
                <w:sz w:val="24"/>
                <w:szCs w:val="24"/>
              </w:rPr>
            </w:pPr>
            <w:r>
              <w:rPr>
                <w:b/>
                <w:sz w:val="24"/>
                <w:szCs w:val="24"/>
              </w:rPr>
              <w:t>表4-1  施工期主要噪声源特性</w:t>
            </w:r>
          </w:p>
          <w:tbl>
            <w:tblPr>
              <w:tblStyle w:val="44"/>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pPr>
                    <w:contextualSpacing/>
                    <w:jc w:val="center"/>
                    <w:rPr>
                      <w:szCs w:val="21"/>
                    </w:rPr>
                  </w:pPr>
                  <w:r>
                    <w:rPr>
                      <w:kern w:val="0"/>
                      <w:szCs w:val="21"/>
                    </w:rPr>
                    <w:t>序号</w:t>
                  </w:r>
                </w:p>
              </w:tc>
              <w:tc>
                <w:tcPr>
                  <w:tcW w:w="1147" w:type="dxa"/>
                  <w:vMerge w:val="restart"/>
                  <w:tcBorders>
                    <w:tl2br w:val="nil"/>
                    <w:tr2bl w:val="nil"/>
                  </w:tcBorders>
                  <w:vAlign w:val="center"/>
                </w:tcPr>
                <w:p>
                  <w:pPr>
                    <w:contextualSpacing/>
                    <w:jc w:val="center"/>
                    <w:rPr>
                      <w:szCs w:val="21"/>
                    </w:rPr>
                  </w:pPr>
                  <w:r>
                    <w:rPr>
                      <w:kern w:val="0"/>
                      <w:szCs w:val="21"/>
                    </w:rPr>
                    <w:t>声源名称</w:t>
                  </w:r>
                </w:p>
              </w:tc>
              <w:tc>
                <w:tcPr>
                  <w:tcW w:w="549" w:type="dxa"/>
                  <w:vMerge w:val="restart"/>
                  <w:tcBorders>
                    <w:tl2br w:val="nil"/>
                    <w:tr2bl w:val="nil"/>
                  </w:tcBorders>
                  <w:vAlign w:val="center"/>
                </w:tcPr>
                <w:p>
                  <w:pPr>
                    <w:contextualSpacing/>
                    <w:jc w:val="center"/>
                    <w:rPr>
                      <w:kern w:val="0"/>
                      <w:szCs w:val="21"/>
                    </w:rPr>
                  </w:pPr>
                  <w:r>
                    <w:rPr>
                      <w:kern w:val="0"/>
                      <w:szCs w:val="21"/>
                    </w:rPr>
                    <w:t>型号</w:t>
                  </w:r>
                </w:p>
              </w:tc>
              <w:tc>
                <w:tcPr>
                  <w:tcW w:w="1821" w:type="dxa"/>
                  <w:gridSpan w:val="3"/>
                  <w:tcBorders>
                    <w:tl2br w:val="nil"/>
                    <w:tr2bl w:val="nil"/>
                  </w:tcBorders>
                  <w:vAlign w:val="center"/>
                </w:tcPr>
                <w:p>
                  <w:pPr>
                    <w:contextualSpacing/>
                    <w:jc w:val="center"/>
                    <w:rPr>
                      <w:kern w:val="0"/>
                      <w:szCs w:val="21"/>
                    </w:rPr>
                  </w:pPr>
                  <w:r>
                    <w:rPr>
                      <w:kern w:val="0"/>
                      <w:szCs w:val="21"/>
                    </w:rPr>
                    <w:t>空间相对位置/m</w:t>
                  </w:r>
                </w:p>
              </w:tc>
              <w:tc>
                <w:tcPr>
                  <w:tcW w:w="1820" w:type="dxa"/>
                  <w:vMerge w:val="restart"/>
                  <w:tcBorders>
                    <w:tl2br w:val="nil"/>
                    <w:tr2bl w:val="nil"/>
                  </w:tcBorders>
                  <w:vAlign w:val="center"/>
                </w:tcPr>
                <w:p>
                  <w:pPr>
                    <w:contextualSpacing/>
                    <w:jc w:val="center"/>
                    <w:rPr>
                      <w:kern w:val="0"/>
                      <w:szCs w:val="21"/>
                    </w:rPr>
                  </w:pPr>
                  <w:r>
                    <w:rPr>
                      <w:kern w:val="0"/>
                      <w:szCs w:val="21"/>
                    </w:rPr>
                    <w:t>声源源强</w:t>
                  </w:r>
                </w:p>
                <w:p>
                  <w:pPr>
                    <w:contextualSpacing/>
                    <w:jc w:val="center"/>
                    <w:rPr>
                      <w:szCs w:val="21"/>
                    </w:rPr>
                  </w:pPr>
                  <w:r>
                    <w:rPr>
                      <w:kern w:val="0"/>
                      <w:szCs w:val="21"/>
                    </w:rPr>
                    <w:t>（声压级/距声源距离）/（dB(A)/m）</w:t>
                  </w:r>
                </w:p>
              </w:tc>
              <w:tc>
                <w:tcPr>
                  <w:tcW w:w="1148" w:type="dxa"/>
                  <w:vMerge w:val="restart"/>
                  <w:tcBorders>
                    <w:tl2br w:val="nil"/>
                    <w:tr2bl w:val="nil"/>
                  </w:tcBorders>
                  <w:vAlign w:val="center"/>
                </w:tcPr>
                <w:p>
                  <w:pPr>
                    <w:contextualSpacing/>
                    <w:jc w:val="center"/>
                    <w:rPr>
                      <w:szCs w:val="21"/>
                    </w:rPr>
                  </w:pPr>
                  <w:r>
                    <w:rPr>
                      <w:szCs w:val="21"/>
                    </w:rPr>
                    <w:t>声源控制措施</w:t>
                  </w:r>
                </w:p>
              </w:tc>
              <w:tc>
                <w:tcPr>
                  <w:tcW w:w="1081" w:type="dxa"/>
                  <w:vMerge w:val="restart"/>
                  <w:tcBorders>
                    <w:tl2br w:val="nil"/>
                    <w:tr2bl w:val="nil"/>
                  </w:tcBorders>
                  <w:vAlign w:val="center"/>
                </w:tcPr>
                <w:p>
                  <w:pPr>
                    <w:contextualSpacing/>
                    <w:jc w:val="center"/>
                    <w:rPr>
                      <w:szCs w:val="21"/>
                    </w:rPr>
                  </w:pPr>
                  <w:r>
                    <w:rPr>
                      <w:kern w:val="0"/>
                      <w:szCs w:val="21"/>
                    </w:rPr>
                    <w:t>运行时间(h)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pPr>
                    <w:contextualSpacing/>
                    <w:jc w:val="center"/>
                    <w:rPr>
                      <w:kern w:val="0"/>
                      <w:szCs w:val="21"/>
                    </w:rPr>
                  </w:pPr>
                </w:p>
              </w:tc>
              <w:tc>
                <w:tcPr>
                  <w:tcW w:w="1147" w:type="dxa"/>
                  <w:vMerge w:val="continue"/>
                  <w:tcBorders>
                    <w:tl2br w:val="nil"/>
                    <w:tr2bl w:val="nil"/>
                  </w:tcBorders>
                  <w:vAlign w:val="center"/>
                </w:tcPr>
                <w:p>
                  <w:pPr>
                    <w:contextualSpacing/>
                    <w:jc w:val="center"/>
                    <w:rPr>
                      <w:kern w:val="0"/>
                      <w:szCs w:val="21"/>
                    </w:rPr>
                  </w:pPr>
                </w:p>
              </w:tc>
              <w:tc>
                <w:tcPr>
                  <w:tcW w:w="549" w:type="dxa"/>
                  <w:vMerge w:val="continue"/>
                  <w:tcBorders>
                    <w:tl2br w:val="nil"/>
                    <w:tr2bl w:val="nil"/>
                  </w:tcBorders>
                  <w:vAlign w:val="center"/>
                </w:tcPr>
                <w:p>
                  <w:pPr>
                    <w:contextualSpacing/>
                    <w:jc w:val="center"/>
                    <w:rPr>
                      <w:kern w:val="0"/>
                      <w:szCs w:val="21"/>
                    </w:rPr>
                  </w:pPr>
                </w:p>
              </w:tc>
              <w:tc>
                <w:tcPr>
                  <w:tcW w:w="560" w:type="dxa"/>
                  <w:tcBorders>
                    <w:tl2br w:val="nil"/>
                    <w:tr2bl w:val="nil"/>
                  </w:tcBorders>
                  <w:vAlign w:val="center"/>
                </w:tcPr>
                <w:p>
                  <w:pPr>
                    <w:contextualSpacing/>
                    <w:jc w:val="center"/>
                    <w:rPr>
                      <w:szCs w:val="21"/>
                    </w:rPr>
                  </w:pPr>
                  <w:r>
                    <w:rPr>
                      <w:szCs w:val="21"/>
                    </w:rPr>
                    <w:t>X</w:t>
                  </w:r>
                </w:p>
              </w:tc>
              <w:tc>
                <w:tcPr>
                  <w:tcW w:w="700" w:type="dxa"/>
                  <w:tcBorders>
                    <w:tl2br w:val="nil"/>
                    <w:tr2bl w:val="nil"/>
                  </w:tcBorders>
                  <w:vAlign w:val="center"/>
                </w:tcPr>
                <w:p>
                  <w:pPr>
                    <w:contextualSpacing/>
                    <w:jc w:val="center"/>
                    <w:rPr>
                      <w:szCs w:val="21"/>
                    </w:rPr>
                  </w:pPr>
                  <w:r>
                    <w:rPr>
                      <w:szCs w:val="21"/>
                    </w:rPr>
                    <w:t>Y</w:t>
                  </w:r>
                </w:p>
              </w:tc>
              <w:tc>
                <w:tcPr>
                  <w:tcW w:w="561" w:type="dxa"/>
                  <w:tcBorders>
                    <w:tl2br w:val="nil"/>
                    <w:tr2bl w:val="nil"/>
                  </w:tcBorders>
                  <w:vAlign w:val="center"/>
                </w:tcPr>
                <w:p>
                  <w:pPr>
                    <w:contextualSpacing/>
                    <w:jc w:val="center"/>
                    <w:rPr>
                      <w:kern w:val="0"/>
                      <w:szCs w:val="21"/>
                    </w:rPr>
                  </w:pPr>
                  <w:r>
                    <w:rPr>
                      <w:kern w:val="0"/>
                      <w:szCs w:val="21"/>
                    </w:rPr>
                    <w:t>Z</w:t>
                  </w:r>
                </w:p>
              </w:tc>
              <w:tc>
                <w:tcPr>
                  <w:tcW w:w="1820" w:type="dxa"/>
                  <w:vMerge w:val="continue"/>
                  <w:tcBorders>
                    <w:tl2br w:val="nil"/>
                    <w:tr2bl w:val="nil"/>
                  </w:tcBorders>
                  <w:vAlign w:val="center"/>
                </w:tcPr>
                <w:p>
                  <w:pPr>
                    <w:contextualSpacing/>
                    <w:jc w:val="center"/>
                    <w:rPr>
                      <w:kern w:val="0"/>
                      <w:szCs w:val="21"/>
                    </w:rPr>
                  </w:pPr>
                </w:p>
              </w:tc>
              <w:tc>
                <w:tcPr>
                  <w:tcW w:w="1148" w:type="dxa"/>
                  <w:vMerge w:val="continue"/>
                  <w:tcBorders>
                    <w:tl2br w:val="nil"/>
                    <w:tr2bl w:val="nil"/>
                  </w:tcBorders>
                  <w:vAlign w:val="center"/>
                </w:tcPr>
                <w:p>
                  <w:pPr>
                    <w:contextualSpacing/>
                    <w:jc w:val="center"/>
                    <w:rPr>
                      <w:kern w:val="0"/>
                      <w:szCs w:val="21"/>
                    </w:rPr>
                  </w:pPr>
                </w:p>
              </w:tc>
              <w:tc>
                <w:tcPr>
                  <w:tcW w:w="1081" w:type="dxa"/>
                  <w:vMerge w:val="continue"/>
                  <w:tcBorders>
                    <w:tl2br w:val="nil"/>
                    <w:tr2bl w:val="nil"/>
                  </w:tcBorders>
                  <w:vAlign w:val="center"/>
                </w:tcPr>
                <w:p>
                  <w:pPr>
                    <w:contextualSpacing/>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szCs w:val="21"/>
                    </w:rPr>
                  </w:pPr>
                  <w:r>
                    <w:rPr>
                      <w:kern w:val="0"/>
                      <w:szCs w:val="21"/>
                    </w:rPr>
                    <w:t>1</w:t>
                  </w:r>
                </w:p>
              </w:tc>
              <w:tc>
                <w:tcPr>
                  <w:tcW w:w="1147" w:type="dxa"/>
                  <w:tcBorders>
                    <w:tl2br w:val="nil"/>
                    <w:tr2bl w:val="nil"/>
                  </w:tcBorders>
                  <w:vAlign w:val="center"/>
                </w:tcPr>
                <w:p>
                  <w:pPr>
                    <w:contextualSpacing/>
                    <w:jc w:val="center"/>
                    <w:rPr>
                      <w:szCs w:val="21"/>
                    </w:rPr>
                  </w:pPr>
                  <w:r>
                    <w:rPr>
                      <w:kern w:val="0"/>
                      <w:szCs w:val="21"/>
                    </w:rPr>
                    <w:t>载重汽车</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szCs w:val="21"/>
                    </w:rPr>
                  </w:pPr>
                  <w:r>
                    <w:rPr>
                      <w:kern w:val="0"/>
                      <w:szCs w:val="21"/>
                    </w:rPr>
                    <w:t>82/1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kern w:val="0"/>
                      <w:szCs w:val="21"/>
                    </w:rPr>
                  </w:pPr>
                  <w:r>
                    <w:rPr>
                      <w:kern w:val="0"/>
                      <w:szCs w:val="21"/>
                    </w:rPr>
                    <w:t>2</w:t>
                  </w:r>
                </w:p>
              </w:tc>
              <w:tc>
                <w:tcPr>
                  <w:tcW w:w="1147" w:type="dxa"/>
                  <w:tcBorders>
                    <w:tl2br w:val="nil"/>
                    <w:tr2bl w:val="nil"/>
                  </w:tcBorders>
                  <w:vAlign w:val="center"/>
                </w:tcPr>
                <w:p>
                  <w:pPr>
                    <w:contextualSpacing/>
                    <w:jc w:val="center"/>
                    <w:rPr>
                      <w:kern w:val="0"/>
                      <w:szCs w:val="21"/>
                    </w:rPr>
                  </w:pPr>
                  <w:r>
                    <w:rPr>
                      <w:kern w:val="0"/>
                      <w:szCs w:val="21"/>
                    </w:rPr>
                    <w:t>推土机</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kern w:val="0"/>
                      <w:szCs w:val="21"/>
                    </w:rPr>
                  </w:pPr>
                  <w:r>
                    <w:rPr>
                      <w:kern w:val="0"/>
                      <w:szCs w:val="21"/>
                    </w:rPr>
                    <w:t>84/1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kern w:val="0"/>
                      <w:szCs w:val="21"/>
                    </w:rPr>
                  </w:pPr>
                  <w:r>
                    <w:rPr>
                      <w:kern w:val="0"/>
                      <w:szCs w:val="21"/>
                    </w:rPr>
                    <w:t>3</w:t>
                  </w:r>
                </w:p>
              </w:tc>
              <w:tc>
                <w:tcPr>
                  <w:tcW w:w="1147" w:type="dxa"/>
                  <w:tcBorders>
                    <w:tl2br w:val="nil"/>
                    <w:tr2bl w:val="nil"/>
                  </w:tcBorders>
                  <w:vAlign w:val="center"/>
                </w:tcPr>
                <w:p>
                  <w:pPr>
                    <w:contextualSpacing/>
                    <w:jc w:val="center"/>
                    <w:rPr>
                      <w:kern w:val="0"/>
                      <w:szCs w:val="21"/>
                    </w:rPr>
                  </w:pPr>
                  <w:r>
                    <w:rPr>
                      <w:kern w:val="0"/>
                      <w:szCs w:val="21"/>
                    </w:rPr>
                    <w:t>挖掘机</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kern w:val="0"/>
                      <w:szCs w:val="21"/>
                    </w:rPr>
                  </w:pPr>
                  <w:r>
                    <w:rPr>
                      <w:kern w:val="0"/>
                      <w:szCs w:val="21"/>
                    </w:rPr>
                    <w:t>85/1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kern w:val="0"/>
                      <w:szCs w:val="21"/>
                    </w:rPr>
                  </w:pPr>
                  <w:r>
                    <w:rPr>
                      <w:kern w:val="0"/>
                      <w:szCs w:val="21"/>
                    </w:rPr>
                    <w:t>4</w:t>
                  </w:r>
                </w:p>
              </w:tc>
              <w:tc>
                <w:tcPr>
                  <w:tcW w:w="1147" w:type="dxa"/>
                  <w:tcBorders>
                    <w:tl2br w:val="nil"/>
                    <w:tr2bl w:val="nil"/>
                  </w:tcBorders>
                  <w:vAlign w:val="center"/>
                </w:tcPr>
                <w:p>
                  <w:pPr>
                    <w:contextualSpacing/>
                    <w:jc w:val="center"/>
                    <w:rPr>
                      <w:kern w:val="0"/>
                      <w:szCs w:val="21"/>
                    </w:rPr>
                  </w:pPr>
                  <w:r>
                    <w:rPr>
                      <w:kern w:val="0"/>
                      <w:szCs w:val="21"/>
                    </w:rPr>
                    <w:t>空压机</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kern w:val="0"/>
                      <w:szCs w:val="21"/>
                    </w:rPr>
                  </w:pPr>
                  <w:r>
                    <w:rPr>
                      <w:kern w:val="0"/>
                      <w:szCs w:val="21"/>
                    </w:rPr>
                    <w:t>85/1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kern w:val="0"/>
                      <w:szCs w:val="21"/>
                    </w:rPr>
                  </w:pPr>
                  <w:r>
                    <w:rPr>
                      <w:kern w:val="0"/>
                      <w:szCs w:val="21"/>
                    </w:rPr>
                    <w:t>5</w:t>
                  </w:r>
                </w:p>
              </w:tc>
              <w:tc>
                <w:tcPr>
                  <w:tcW w:w="1147" w:type="dxa"/>
                  <w:tcBorders>
                    <w:tl2br w:val="nil"/>
                    <w:tr2bl w:val="nil"/>
                  </w:tcBorders>
                  <w:vAlign w:val="center"/>
                </w:tcPr>
                <w:p>
                  <w:pPr>
                    <w:contextualSpacing/>
                    <w:jc w:val="center"/>
                    <w:rPr>
                      <w:kern w:val="0"/>
                      <w:szCs w:val="21"/>
                    </w:rPr>
                  </w:pPr>
                  <w:r>
                    <w:rPr>
                      <w:kern w:val="0"/>
                      <w:szCs w:val="21"/>
                    </w:rPr>
                    <w:t>柴油机</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kern w:val="0"/>
                      <w:szCs w:val="21"/>
                    </w:rPr>
                  </w:pPr>
                  <w:r>
                    <w:rPr>
                      <w:kern w:val="0"/>
                      <w:szCs w:val="21"/>
                    </w:rPr>
                    <w:t>85/1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contextualSpacing/>
                    <w:jc w:val="center"/>
                    <w:rPr>
                      <w:kern w:val="0"/>
                      <w:szCs w:val="21"/>
                    </w:rPr>
                  </w:pPr>
                  <w:r>
                    <w:rPr>
                      <w:kern w:val="0"/>
                      <w:szCs w:val="21"/>
                    </w:rPr>
                    <w:t>6</w:t>
                  </w:r>
                </w:p>
              </w:tc>
              <w:tc>
                <w:tcPr>
                  <w:tcW w:w="1147" w:type="dxa"/>
                  <w:tcBorders>
                    <w:tl2br w:val="nil"/>
                    <w:tr2bl w:val="nil"/>
                  </w:tcBorders>
                  <w:vAlign w:val="center"/>
                </w:tcPr>
                <w:p>
                  <w:pPr>
                    <w:contextualSpacing/>
                    <w:jc w:val="center"/>
                    <w:rPr>
                      <w:kern w:val="0"/>
                      <w:szCs w:val="21"/>
                    </w:rPr>
                  </w:pPr>
                  <w:r>
                    <w:rPr>
                      <w:kern w:val="0"/>
                      <w:szCs w:val="21"/>
                    </w:rPr>
                    <w:t>发电机</w:t>
                  </w:r>
                </w:p>
              </w:tc>
              <w:tc>
                <w:tcPr>
                  <w:tcW w:w="549" w:type="dxa"/>
                  <w:tcBorders>
                    <w:tl2br w:val="nil"/>
                    <w:tr2bl w:val="nil"/>
                  </w:tcBorders>
                  <w:vAlign w:val="center"/>
                </w:tcPr>
                <w:p>
                  <w:pPr>
                    <w:contextualSpacing/>
                    <w:jc w:val="center"/>
                    <w:rPr>
                      <w:kern w:val="0"/>
                      <w:szCs w:val="21"/>
                    </w:rPr>
                  </w:pPr>
                  <w:r>
                    <w:rPr>
                      <w:kern w:val="0"/>
                      <w:szCs w:val="21"/>
                    </w:rPr>
                    <w:t>/</w:t>
                  </w:r>
                </w:p>
              </w:tc>
              <w:tc>
                <w:tcPr>
                  <w:tcW w:w="560" w:type="dxa"/>
                  <w:tcBorders>
                    <w:tl2br w:val="nil"/>
                    <w:tr2bl w:val="nil"/>
                  </w:tcBorders>
                  <w:vAlign w:val="center"/>
                </w:tcPr>
                <w:p>
                  <w:pPr>
                    <w:contextualSpacing/>
                    <w:jc w:val="center"/>
                    <w:rPr>
                      <w:szCs w:val="21"/>
                    </w:rPr>
                  </w:pPr>
                  <w:r>
                    <w:rPr>
                      <w:szCs w:val="21"/>
                    </w:rPr>
                    <w:t>/</w:t>
                  </w:r>
                </w:p>
              </w:tc>
              <w:tc>
                <w:tcPr>
                  <w:tcW w:w="700" w:type="dxa"/>
                  <w:tcBorders>
                    <w:tl2br w:val="nil"/>
                    <w:tr2bl w:val="nil"/>
                  </w:tcBorders>
                  <w:vAlign w:val="center"/>
                </w:tcPr>
                <w:p>
                  <w:pPr>
                    <w:contextualSpacing/>
                    <w:jc w:val="center"/>
                    <w:rPr>
                      <w:szCs w:val="21"/>
                    </w:rPr>
                  </w:pPr>
                  <w:r>
                    <w:rPr>
                      <w:szCs w:val="21"/>
                    </w:rPr>
                    <w:t>/</w:t>
                  </w:r>
                </w:p>
              </w:tc>
              <w:tc>
                <w:tcPr>
                  <w:tcW w:w="561" w:type="dxa"/>
                  <w:tcBorders>
                    <w:tl2br w:val="nil"/>
                    <w:tr2bl w:val="nil"/>
                  </w:tcBorders>
                  <w:vAlign w:val="center"/>
                </w:tcPr>
                <w:p>
                  <w:pPr>
                    <w:contextualSpacing/>
                    <w:jc w:val="center"/>
                    <w:rPr>
                      <w:kern w:val="0"/>
                      <w:szCs w:val="21"/>
                    </w:rPr>
                  </w:pPr>
                  <w:r>
                    <w:rPr>
                      <w:kern w:val="0"/>
                      <w:szCs w:val="21"/>
                    </w:rPr>
                    <w:t>1.5</w:t>
                  </w:r>
                </w:p>
              </w:tc>
              <w:tc>
                <w:tcPr>
                  <w:tcW w:w="1820" w:type="dxa"/>
                  <w:tcBorders>
                    <w:tl2br w:val="nil"/>
                    <w:tr2bl w:val="nil"/>
                  </w:tcBorders>
                  <w:vAlign w:val="center"/>
                </w:tcPr>
                <w:p>
                  <w:pPr>
                    <w:contextualSpacing/>
                    <w:jc w:val="center"/>
                    <w:rPr>
                      <w:kern w:val="0"/>
                      <w:szCs w:val="21"/>
                    </w:rPr>
                  </w:pPr>
                  <w:r>
                    <w:rPr>
                      <w:kern w:val="0"/>
                      <w:szCs w:val="21"/>
                    </w:rPr>
                    <w:t>85/1</w:t>
                  </w:r>
                </w:p>
              </w:tc>
              <w:tc>
                <w:tcPr>
                  <w:tcW w:w="1148" w:type="dxa"/>
                  <w:tcBorders>
                    <w:tl2br w:val="nil"/>
                    <w:tr2bl w:val="nil"/>
                  </w:tcBorders>
                  <w:vAlign w:val="center"/>
                </w:tcPr>
                <w:p>
                  <w:pPr>
                    <w:contextualSpacing/>
                    <w:jc w:val="center"/>
                    <w:rPr>
                      <w:szCs w:val="21"/>
                    </w:rPr>
                  </w:pPr>
                  <w:r>
                    <w:rPr>
                      <w:szCs w:val="21"/>
                    </w:rPr>
                    <w:t>/</w:t>
                  </w:r>
                </w:p>
              </w:tc>
              <w:tc>
                <w:tcPr>
                  <w:tcW w:w="1081" w:type="dxa"/>
                  <w:tcBorders>
                    <w:tl2br w:val="nil"/>
                    <w:tr2bl w:val="nil"/>
                  </w:tcBorders>
                  <w:vAlign w:val="center"/>
                </w:tcPr>
                <w:p>
                  <w:pPr>
                    <w:contextualSpacing/>
                    <w:jc w:val="center"/>
                    <w:rPr>
                      <w:szCs w:val="21"/>
                    </w:rPr>
                  </w:pPr>
                  <w:r>
                    <w:rPr>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pPr>
                    <w:contextualSpacing/>
                    <w:rPr>
                      <w:kern w:val="0"/>
                      <w:szCs w:val="21"/>
                    </w:rPr>
                  </w:pPr>
                  <w:r>
                    <w:rPr>
                      <w:kern w:val="0"/>
                      <w:szCs w:val="21"/>
                    </w:rPr>
                    <w:t>注：以井场中心为原点</w:t>
                  </w:r>
                </w:p>
              </w:tc>
            </w:tr>
          </w:tbl>
          <w:p>
            <w:pPr>
              <w:spacing w:line="360" w:lineRule="auto"/>
              <w:ind w:firstLine="480" w:firstLineChars="200"/>
              <w:rPr>
                <w:sz w:val="24"/>
              </w:rPr>
            </w:pPr>
            <w:r>
              <w:rPr>
                <w:sz w:val="24"/>
              </w:rPr>
              <w:t>（2）环境影响分析</w:t>
            </w:r>
          </w:p>
          <w:p>
            <w:pPr>
              <w:spacing w:line="360" w:lineRule="auto"/>
              <w:ind w:firstLine="480" w:firstLineChars="200"/>
              <w:contextualSpacing/>
              <w:rPr>
                <w:sz w:val="24"/>
              </w:rPr>
            </w:pPr>
            <w:r>
              <w:rPr>
                <w:sz w:val="24"/>
              </w:rPr>
              <w:t>施工噪声可近似视为点声源处理，根据点声源噪声衰减模式，估算出离声源不同距离处的噪声值，预测模式如下：</w:t>
            </w:r>
          </w:p>
          <w:p>
            <w:pPr>
              <w:spacing w:line="360" w:lineRule="auto"/>
              <w:ind w:firstLine="480" w:firstLineChars="200"/>
              <w:contextualSpacing/>
              <w:rPr>
                <w:sz w:val="24"/>
              </w:rPr>
            </w:pPr>
            <m:oMathPara>
              <m:oMath>
                <m:sSub>
                  <m:sSubPr>
                    <m:ctrlPr>
                      <w:rPr>
                        <w:rFonts w:ascii="Cambria Math" w:hAnsi="Cambria Math"/>
                        <w:sz w:val="24"/>
                      </w:rPr>
                    </m:ctrlPr>
                  </m:sSubPr>
                  <m:e>
                    <m:r>
                      <m:rPr/>
                      <w:rPr>
                        <w:rFonts w:ascii="Cambria Math" w:hAnsi="Cambria Math"/>
                        <w:sz w:val="24"/>
                      </w:rPr>
                      <m:t>L</m:t>
                    </m:r>
                    <m:ctrlPr>
                      <w:rPr>
                        <w:rFonts w:ascii="Cambria Math" w:hAnsi="Cambria Math"/>
                        <w:sz w:val="24"/>
                      </w:rPr>
                    </m:ctrlPr>
                  </m:e>
                  <m:sub>
                    <m:r>
                      <m:rPr/>
                      <w:rPr>
                        <w:rFonts w:ascii="Cambria Math" w:hAnsi="Cambria Math"/>
                        <w:sz w:val="24"/>
                      </w:rPr>
                      <m:t>p</m:t>
                    </m:r>
                    <m:ctrlPr>
                      <w:rPr>
                        <w:rFonts w:ascii="Cambria Math" w:hAnsi="Cambria Math"/>
                        <w:sz w:val="24"/>
                      </w:rPr>
                    </m:ctrlPr>
                  </m:sub>
                </m:sSub>
                <m:d>
                  <m:dPr>
                    <m:ctrlPr>
                      <w:rPr>
                        <w:rFonts w:ascii="Cambria Math" w:hAnsi="Cambria Math"/>
                        <w:sz w:val="24"/>
                      </w:rPr>
                    </m:ctrlPr>
                  </m:dPr>
                  <m:e>
                    <m:r>
                      <m:rPr/>
                      <w:rPr>
                        <w:rFonts w:ascii="Cambria Math" w:hAnsi="Cambria Math"/>
                        <w:sz w:val="24"/>
                      </w:rPr>
                      <m:t>r</m:t>
                    </m:r>
                    <m:ctrlPr>
                      <w:rPr>
                        <w:rFonts w:ascii="Cambria Math" w:hAnsi="Cambria Math"/>
                        <w:sz w:val="24"/>
                      </w:rPr>
                    </m:ctrlPr>
                  </m:e>
                </m:d>
                <m:r>
                  <m:rPr/>
                  <w:rPr>
                    <w:rFonts w:ascii="Cambria Math" w:hAnsi="Cambria Math"/>
                    <w:sz w:val="24"/>
                  </w:rPr>
                  <m: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e>
                </m:d>
                <m:r>
                  <m:rPr/>
                  <w:rPr>
                    <w:rFonts w:ascii="Cambria Math" w:hAnsi="Cambria Math"/>
                    <w:sz w:val="24"/>
                  </w:rPr>
                  <m:t>−20lg</m:t>
                </m:r>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r</m:t>
                        </m:r>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ctrlPr>
                          <w:rPr>
                            <w:rFonts w:ascii="Cambria Math" w:hAnsi="Cambria Math"/>
                            <w:i/>
                            <w:sz w:val="24"/>
                          </w:rPr>
                        </m:ctrlPr>
                      </m:den>
                    </m:f>
                    <m:ctrlPr>
                      <w:rPr>
                        <w:rFonts w:ascii="Cambria Math" w:hAnsi="Cambria Math"/>
                        <w:i/>
                        <w:sz w:val="24"/>
                      </w:rPr>
                    </m:ctrlPr>
                  </m:e>
                </m:d>
              </m:oMath>
            </m:oMathPara>
          </w:p>
          <w:p>
            <w:pPr>
              <w:spacing w:line="360" w:lineRule="auto"/>
              <w:ind w:firstLine="480" w:firstLineChars="200"/>
              <w:contextualSpacing/>
              <w:rPr>
                <w:sz w:val="24"/>
              </w:rPr>
            </w:pPr>
            <w:r>
              <w:rPr>
                <w:sz w:val="24"/>
              </w:rPr>
              <w:t>式中：Lp（r）--距声源 r 处的施工噪声预测值，dB(A)；</w:t>
            </w:r>
          </w:p>
          <w:p>
            <w:pPr>
              <w:spacing w:line="360" w:lineRule="auto"/>
              <w:ind w:firstLine="1200" w:firstLineChars="500"/>
              <w:contextualSpacing/>
              <w:rPr>
                <w:sz w:val="24"/>
              </w:rPr>
            </w:pPr>
            <w:r>
              <w:rPr>
                <w:sz w:val="24"/>
              </w:rPr>
              <w:t>Lp（r</w:t>
            </w:r>
            <w:r>
              <w:rPr>
                <w:sz w:val="24"/>
                <w:vertAlign w:val="subscript"/>
              </w:rPr>
              <w:t>0</w:t>
            </w:r>
            <w:r>
              <w:rPr>
                <w:sz w:val="24"/>
              </w:rPr>
              <w:t>）--距声源 r0 处的参考声压级，dB(A)；</w:t>
            </w:r>
          </w:p>
          <w:p>
            <w:pPr>
              <w:spacing w:line="360" w:lineRule="auto"/>
              <w:ind w:firstLine="1200" w:firstLineChars="500"/>
              <w:contextualSpacing/>
              <w:rPr>
                <w:sz w:val="24"/>
              </w:rPr>
            </w:pPr>
            <w:r>
              <w:rPr>
                <w:sz w:val="24"/>
              </w:rPr>
              <w:t>r--预测点距声源的距离，m；</w:t>
            </w:r>
          </w:p>
          <w:p>
            <w:pPr>
              <w:spacing w:line="360" w:lineRule="auto"/>
              <w:ind w:firstLine="1200" w:firstLineChars="500"/>
              <w:contextualSpacing/>
              <w:rPr>
                <w:sz w:val="24"/>
              </w:rPr>
            </w:pPr>
            <w:r>
              <w:rPr>
                <w:sz w:val="24"/>
              </w:rPr>
              <w:t>r0—参考点距声源的距离，m。</w:t>
            </w:r>
          </w:p>
          <w:p>
            <w:pPr>
              <w:spacing w:line="360" w:lineRule="auto"/>
              <w:ind w:firstLine="480" w:firstLineChars="200"/>
              <w:contextualSpacing/>
              <w:rPr>
                <w:sz w:val="24"/>
              </w:rPr>
            </w:pPr>
            <w:r>
              <w:rPr>
                <w:sz w:val="24"/>
              </w:rPr>
              <w:t>根据噪声衰减模式，各施工机具声源在不同距离处的噪声影响值参见下表</w:t>
            </w:r>
            <w:r>
              <w:rPr>
                <w:spacing w:val="-4"/>
                <w:sz w:val="24"/>
              </w:rPr>
              <w:t>。</w:t>
            </w:r>
          </w:p>
          <w:p>
            <w:pPr>
              <w:autoSpaceDE w:val="0"/>
              <w:autoSpaceDN w:val="0"/>
              <w:spacing w:line="360" w:lineRule="auto"/>
              <w:contextualSpacing/>
              <w:jc w:val="center"/>
              <w:rPr>
                <w:b/>
                <w:sz w:val="24"/>
              </w:rPr>
            </w:pPr>
            <w:r>
              <w:rPr>
                <w:b/>
                <w:sz w:val="24"/>
              </w:rPr>
              <w:t>表4-2 主要施工机械在不同距离的噪声值  单位： dB(A)</w:t>
            </w:r>
          </w:p>
          <w:tbl>
            <w:tblPr>
              <w:tblStyle w:val="44"/>
              <w:tblW w:w="8110"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01"/>
              <w:gridCol w:w="921"/>
              <w:gridCol w:w="919"/>
              <w:gridCol w:w="688"/>
              <w:gridCol w:w="921"/>
              <w:gridCol w:w="921"/>
              <w:gridCol w:w="921"/>
              <w:gridCol w:w="69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szCs w:val="21"/>
                    </w:rPr>
                  </w:pPr>
                  <w:r>
                    <w:rPr>
                      <w:szCs w:val="21"/>
                    </w:rPr>
                    <w:t>序号</w:t>
                  </w:r>
                </w:p>
              </w:tc>
              <w:tc>
                <w:tcPr>
                  <w:tcW w:w="1301" w:type="dxa"/>
                  <w:tcBorders>
                    <w:tl2br w:val="nil"/>
                    <w:tr2bl w:val="nil"/>
                  </w:tcBorders>
                  <w:shd w:val="clear" w:color="auto" w:fill="auto"/>
                  <w:vAlign w:val="center"/>
                </w:tcPr>
                <w:p>
                  <w:pPr>
                    <w:autoSpaceDE w:val="0"/>
                    <w:autoSpaceDN w:val="0"/>
                    <w:contextualSpacing/>
                    <w:jc w:val="center"/>
                    <w:rPr>
                      <w:szCs w:val="21"/>
                    </w:rPr>
                  </w:pPr>
                  <w:r>
                    <w:rPr>
                      <w:spacing w:val="-2"/>
                      <w:szCs w:val="21"/>
                    </w:rPr>
                    <w:t>施工机具</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5"/>
                      <w:szCs w:val="21"/>
                    </w:rPr>
                    <w:t>10m</w:t>
                  </w:r>
                </w:p>
              </w:tc>
              <w:tc>
                <w:tcPr>
                  <w:tcW w:w="919" w:type="dxa"/>
                  <w:tcBorders>
                    <w:tl2br w:val="nil"/>
                    <w:tr2bl w:val="nil"/>
                  </w:tcBorders>
                  <w:shd w:val="clear" w:color="auto" w:fill="auto"/>
                  <w:vAlign w:val="center"/>
                </w:tcPr>
                <w:p>
                  <w:pPr>
                    <w:autoSpaceDE w:val="0"/>
                    <w:autoSpaceDN w:val="0"/>
                    <w:contextualSpacing/>
                    <w:jc w:val="center"/>
                    <w:rPr>
                      <w:szCs w:val="21"/>
                    </w:rPr>
                  </w:pPr>
                  <w:r>
                    <w:rPr>
                      <w:spacing w:val="-1"/>
                      <w:szCs w:val="21"/>
                    </w:rPr>
                    <w:t>20m</w:t>
                  </w:r>
                </w:p>
              </w:tc>
              <w:tc>
                <w:tcPr>
                  <w:tcW w:w="688" w:type="dxa"/>
                  <w:tcBorders>
                    <w:tl2br w:val="nil"/>
                    <w:tr2bl w:val="nil"/>
                  </w:tcBorders>
                  <w:shd w:val="clear" w:color="auto" w:fill="auto"/>
                  <w:vAlign w:val="center"/>
                </w:tcPr>
                <w:p>
                  <w:pPr>
                    <w:autoSpaceDE w:val="0"/>
                    <w:autoSpaceDN w:val="0"/>
                    <w:contextualSpacing/>
                    <w:jc w:val="center"/>
                    <w:rPr>
                      <w:szCs w:val="21"/>
                    </w:rPr>
                  </w:pPr>
                  <w:r>
                    <w:rPr>
                      <w:spacing w:val="-2"/>
                      <w:szCs w:val="21"/>
                    </w:rPr>
                    <w:t>30m</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2"/>
                      <w:szCs w:val="21"/>
                    </w:rPr>
                    <w:t>50m</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80m</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6"/>
                      <w:szCs w:val="21"/>
                    </w:rPr>
                    <w:t>100m</w:t>
                  </w:r>
                </w:p>
              </w:tc>
              <w:tc>
                <w:tcPr>
                  <w:tcW w:w="691" w:type="dxa"/>
                  <w:tcBorders>
                    <w:tl2br w:val="nil"/>
                    <w:tr2bl w:val="nil"/>
                  </w:tcBorders>
                  <w:shd w:val="clear" w:color="auto" w:fill="auto"/>
                  <w:vAlign w:val="center"/>
                </w:tcPr>
                <w:p>
                  <w:pPr>
                    <w:autoSpaceDE w:val="0"/>
                    <w:autoSpaceDN w:val="0"/>
                    <w:contextualSpacing/>
                    <w:jc w:val="center"/>
                    <w:rPr>
                      <w:szCs w:val="21"/>
                    </w:rPr>
                  </w:pPr>
                  <w:r>
                    <w:rPr>
                      <w:spacing w:val="-1"/>
                      <w:szCs w:val="21"/>
                    </w:rPr>
                    <w:t>200m</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szCs w:val="21"/>
                    </w:rPr>
                  </w:pPr>
                  <w:r>
                    <w:rPr>
                      <w:szCs w:val="21"/>
                    </w:rPr>
                    <w:t>1</w:t>
                  </w:r>
                </w:p>
              </w:tc>
              <w:tc>
                <w:tcPr>
                  <w:tcW w:w="1301" w:type="dxa"/>
                  <w:tcBorders>
                    <w:tl2br w:val="nil"/>
                    <w:tr2bl w:val="nil"/>
                  </w:tcBorders>
                  <w:shd w:val="clear" w:color="auto" w:fill="auto"/>
                  <w:vAlign w:val="center"/>
                </w:tcPr>
                <w:p>
                  <w:pPr>
                    <w:autoSpaceDE w:val="0"/>
                    <w:autoSpaceDN w:val="0"/>
                    <w:contextualSpacing/>
                    <w:jc w:val="center"/>
                    <w:rPr>
                      <w:szCs w:val="21"/>
                    </w:rPr>
                  </w:pPr>
                  <w:r>
                    <w:rPr>
                      <w:spacing w:val="-2"/>
                      <w:szCs w:val="21"/>
                    </w:rPr>
                    <w:t>挖掘机</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2"/>
                      <w:szCs w:val="21"/>
                    </w:rPr>
                    <w:t>79</w:t>
                  </w:r>
                </w:p>
              </w:tc>
              <w:tc>
                <w:tcPr>
                  <w:tcW w:w="919" w:type="dxa"/>
                  <w:tcBorders>
                    <w:tl2br w:val="nil"/>
                    <w:tr2bl w:val="nil"/>
                  </w:tcBorders>
                  <w:shd w:val="clear" w:color="auto" w:fill="auto"/>
                  <w:vAlign w:val="center"/>
                </w:tcPr>
                <w:p>
                  <w:pPr>
                    <w:autoSpaceDE w:val="0"/>
                    <w:autoSpaceDN w:val="0"/>
                    <w:contextualSpacing/>
                    <w:jc w:val="center"/>
                    <w:rPr>
                      <w:szCs w:val="21"/>
                    </w:rPr>
                  </w:pPr>
                  <w:r>
                    <w:rPr>
                      <w:spacing w:val="-2"/>
                      <w:szCs w:val="21"/>
                    </w:rPr>
                    <w:t>73</w:t>
                  </w:r>
                </w:p>
              </w:tc>
              <w:tc>
                <w:tcPr>
                  <w:tcW w:w="688" w:type="dxa"/>
                  <w:tcBorders>
                    <w:tl2br w:val="nil"/>
                    <w:tr2bl w:val="nil"/>
                  </w:tcBorders>
                  <w:shd w:val="clear" w:color="auto" w:fill="auto"/>
                  <w:vAlign w:val="center"/>
                </w:tcPr>
                <w:p>
                  <w:pPr>
                    <w:autoSpaceDE w:val="0"/>
                    <w:autoSpaceDN w:val="0"/>
                    <w:contextualSpacing/>
                    <w:jc w:val="center"/>
                    <w:rPr>
                      <w:szCs w:val="21"/>
                    </w:rPr>
                  </w:pPr>
                  <w:r>
                    <w:rPr>
                      <w:spacing w:val="-3"/>
                      <w:szCs w:val="21"/>
                    </w:rPr>
                    <w:t>69</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65</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61</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59</w:t>
                  </w:r>
                </w:p>
              </w:tc>
              <w:tc>
                <w:tcPr>
                  <w:tcW w:w="691" w:type="dxa"/>
                  <w:tcBorders>
                    <w:tl2br w:val="nil"/>
                    <w:tr2bl w:val="nil"/>
                  </w:tcBorders>
                  <w:shd w:val="clear" w:color="auto" w:fill="auto"/>
                  <w:vAlign w:val="center"/>
                </w:tcPr>
                <w:p>
                  <w:pPr>
                    <w:autoSpaceDE w:val="0"/>
                    <w:autoSpaceDN w:val="0"/>
                    <w:contextualSpacing/>
                    <w:jc w:val="center"/>
                    <w:rPr>
                      <w:szCs w:val="21"/>
                    </w:rPr>
                  </w:pPr>
                  <w:r>
                    <w:rPr>
                      <w:spacing w:val="-3"/>
                      <w:szCs w:val="21"/>
                    </w:rPr>
                    <w:t>53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szCs w:val="21"/>
                    </w:rPr>
                  </w:pPr>
                  <w:r>
                    <w:rPr>
                      <w:szCs w:val="21"/>
                    </w:rPr>
                    <w:t>2</w:t>
                  </w:r>
                </w:p>
              </w:tc>
              <w:tc>
                <w:tcPr>
                  <w:tcW w:w="1301" w:type="dxa"/>
                  <w:tcBorders>
                    <w:tl2br w:val="nil"/>
                    <w:tr2bl w:val="nil"/>
                  </w:tcBorders>
                  <w:shd w:val="clear" w:color="auto" w:fill="auto"/>
                  <w:vAlign w:val="center"/>
                </w:tcPr>
                <w:p>
                  <w:pPr>
                    <w:autoSpaceDE w:val="0"/>
                    <w:autoSpaceDN w:val="0"/>
                    <w:contextualSpacing/>
                    <w:jc w:val="center"/>
                    <w:rPr>
                      <w:szCs w:val="21"/>
                    </w:rPr>
                  </w:pPr>
                  <w:r>
                    <w:rPr>
                      <w:spacing w:val="-8"/>
                      <w:szCs w:val="21"/>
                    </w:rPr>
                    <w:t>电焊机</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64</w:t>
                  </w:r>
                </w:p>
              </w:tc>
              <w:tc>
                <w:tcPr>
                  <w:tcW w:w="919" w:type="dxa"/>
                  <w:tcBorders>
                    <w:tl2br w:val="nil"/>
                    <w:tr2bl w:val="nil"/>
                  </w:tcBorders>
                  <w:shd w:val="clear" w:color="auto" w:fill="auto"/>
                  <w:vAlign w:val="center"/>
                </w:tcPr>
                <w:p>
                  <w:pPr>
                    <w:autoSpaceDE w:val="0"/>
                    <w:autoSpaceDN w:val="0"/>
                    <w:contextualSpacing/>
                    <w:jc w:val="center"/>
                    <w:rPr>
                      <w:szCs w:val="21"/>
                    </w:rPr>
                  </w:pPr>
                  <w:r>
                    <w:rPr>
                      <w:spacing w:val="-3"/>
                      <w:szCs w:val="21"/>
                    </w:rPr>
                    <w:t>58</w:t>
                  </w:r>
                </w:p>
              </w:tc>
              <w:tc>
                <w:tcPr>
                  <w:tcW w:w="688" w:type="dxa"/>
                  <w:tcBorders>
                    <w:tl2br w:val="nil"/>
                    <w:tr2bl w:val="nil"/>
                  </w:tcBorders>
                  <w:shd w:val="clear" w:color="auto" w:fill="auto"/>
                  <w:vAlign w:val="center"/>
                </w:tcPr>
                <w:p>
                  <w:pPr>
                    <w:autoSpaceDE w:val="0"/>
                    <w:autoSpaceDN w:val="0"/>
                    <w:contextualSpacing/>
                    <w:jc w:val="center"/>
                    <w:rPr>
                      <w:szCs w:val="21"/>
                    </w:rPr>
                  </w:pPr>
                  <w:r>
                    <w:rPr>
                      <w:spacing w:val="-3"/>
                      <w:szCs w:val="21"/>
                    </w:rPr>
                    <w:t>54</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50</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1"/>
                      <w:szCs w:val="21"/>
                    </w:rPr>
                    <w:t>46</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1"/>
                      <w:szCs w:val="21"/>
                    </w:rPr>
                    <w:t>44</w:t>
                  </w:r>
                </w:p>
              </w:tc>
              <w:tc>
                <w:tcPr>
                  <w:tcW w:w="691" w:type="dxa"/>
                  <w:tcBorders>
                    <w:tl2br w:val="nil"/>
                    <w:tr2bl w:val="nil"/>
                  </w:tcBorders>
                  <w:shd w:val="clear" w:color="auto" w:fill="auto"/>
                  <w:vAlign w:val="center"/>
                </w:tcPr>
                <w:p>
                  <w:pPr>
                    <w:autoSpaceDE w:val="0"/>
                    <w:autoSpaceDN w:val="0"/>
                    <w:contextualSpacing/>
                    <w:jc w:val="center"/>
                    <w:rPr>
                      <w:szCs w:val="21"/>
                    </w:rPr>
                  </w:pPr>
                  <w:r>
                    <w:rPr>
                      <w:spacing w:val="-3"/>
                      <w:szCs w:val="21"/>
                    </w:rPr>
                    <w:t>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autoSpaceDE w:val="0"/>
                    <w:autoSpaceDN w:val="0"/>
                    <w:contextualSpacing/>
                    <w:jc w:val="center"/>
                    <w:rPr>
                      <w:szCs w:val="21"/>
                    </w:rPr>
                  </w:pPr>
                  <w:r>
                    <w:rPr>
                      <w:szCs w:val="21"/>
                    </w:rPr>
                    <w:t>3</w:t>
                  </w:r>
                </w:p>
              </w:tc>
              <w:tc>
                <w:tcPr>
                  <w:tcW w:w="1301" w:type="dxa"/>
                  <w:tcBorders>
                    <w:tl2br w:val="nil"/>
                    <w:tr2bl w:val="nil"/>
                  </w:tcBorders>
                  <w:shd w:val="clear" w:color="auto" w:fill="auto"/>
                  <w:vAlign w:val="center"/>
                </w:tcPr>
                <w:p>
                  <w:pPr>
                    <w:autoSpaceDE w:val="0"/>
                    <w:autoSpaceDN w:val="0"/>
                    <w:contextualSpacing/>
                    <w:jc w:val="center"/>
                    <w:rPr>
                      <w:szCs w:val="21"/>
                    </w:rPr>
                  </w:pPr>
                  <w:r>
                    <w:rPr>
                      <w:spacing w:val="-2"/>
                      <w:szCs w:val="21"/>
                    </w:rPr>
                    <w:t>运输车辆</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2"/>
                      <w:szCs w:val="21"/>
                    </w:rPr>
                    <w:t>79</w:t>
                  </w:r>
                </w:p>
              </w:tc>
              <w:tc>
                <w:tcPr>
                  <w:tcW w:w="919" w:type="dxa"/>
                  <w:tcBorders>
                    <w:tl2br w:val="nil"/>
                    <w:tr2bl w:val="nil"/>
                  </w:tcBorders>
                  <w:shd w:val="clear" w:color="auto" w:fill="auto"/>
                  <w:vAlign w:val="center"/>
                </w:tcPr>
                <w:p>
                  <w:pPr>
                    <w:autoSpaceDE w:val="0"/>
                    <w:autoSpaceDN w:val="0"/>
                    <w:contextualSpacing/>
                    <w:jc w:val="center"/>
                    <w:rPr>
                      <w:szCs w:val="21"/>
                    </w:rPr>
                  </w:pPr>
                  <w:r>
                    <w:rPr>
                      <w:spacing w:val="-2"/>
                      <w:szCs w:val="21"/>
                    </w:rPr>
                    <w:t>73</w:t>
                  </w:r>
                </w:p>
              </w:tc>
              <w:tc>
                <w:tcPr>
                  <w:tcW w:w="688" w:type="dxa"/>
                  <w:tcBorders>
                    <w:tl2br w:val="nil"/>
                    <w:tr2bl w:val="nil"/>
                  </w:tcBorders>
                  <w:shd w:val="clear" w:color="auto" w:fill="auto"/>
                  <w:vAlign w:val="center"/>
                </w:tcPr>
                <w:p>
                  <w:pPr>
                    <w:autoSpaceDE w:val="0"/>
                    <w:autoSpaceDN w:val="0"/>
                    <w:contextualSpacing/>
                    <w:jc w:val="center"/>
                    <w:rPr>
                      <w:szCs w:val="21"/>
                    </w:rPr>
                  </w:pPr>
                  <w:r>
                    <w:rPr>
                      <w:spacing w:val="-3"/>
                      <w:szCs w:val="21"/>
                    </w:rPr>
                    <w:t>69</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65</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61</w:t>
                  </w:r>
                </w:p>
              </w:tc>
              <w:tc>
                <w:tcPr>
                  <w:tcW w:w="921" w:type="dxa"/>
                  <w:tcBorders>
                    <w:tl2br w:val="nil"/>
                    <w:tr2bl w:val="nil"/>
                  </w:tcBorders>
                  <w:shd w:val="clear" w:color="auto" w:fill="auto"/>
                  <w:vAlign w:val="center"/>
                </w:tcPr>
                <w:p>
                  <w:pPr>
                    <w:autoSpaceDE w:val="0"/>
                    <w:autoSpaceDN w:val="0"/>
                    <w:contextualSpacing/>
                    <w:jc w:val="center"/>
                    <w:rPr>
                      <w:szCs w:val="21"/>
                    </w:rPr>
                  </w:pPr>
                  <w:r>
                    <w:rPr>
                      <w:spacing w:val="-3"/>
                      <w:szCs w:val="21"/>
                    </w:rPr>
                    <w:t>59</w:t>
                  </w:r>
                </w:p>
              </w:tc>
              <w:tc>
                <w:tcPr>
                  <w:tcW w:w="691" w:type="dxa"/>
                  <w:tcBorders>
                    <w:tl2br w:val="nil"/>
                    <w:tr2bl w:val="nil"/>
                  </w:tcBorders>
                  <w:shd w:val="clear" w:color="auto" w:fill="auto"/>
                  <w:vAlign w:val="center"/>
                </w:tcPr>
                <w:p>
                  <w:pPr>
                    <w:autoSpaceDE w:val="0"/>
                    <w:autoSpaceDN w:val="0"/>
                    <w:contextualSpacing/>
                    <w:jc w:val="center"/>
                    <w:rPr>
                      <w:szCs w:val="21"/>
                    </w:rPr>
                  </w:pPr>
                  <w:r>
                    <w:rPr>
                      <w:spacing w:val="-3"/>
                      <w:szCs w:val="21"/>
                    </w:rPr>
                    <w:t>53</w:t>
                  </w:r>
                </w:p>
              </w:tc>
            </w:tr>
          </w:tbl>
          <w:p>
            <w:pPr>
              <w:spacing w:line="360" w:lineRule="auto"/>
              <w:ind w:firstLine="480" w:firstLineChars="200"/>
              <w:contextualSpacing/>
              <w:rPr>
                <w:sz w:val="24"/>
              </w:rPr>
            </w:pPr>
            <w:r>
              <w:rPr>
                <w:sz w:val="24"/>
              </w:rPr>
              <w:t>本项目施工期仅昼间施工，由上表可知，距施工机具100m外昼间可满足《声环境质量标准》（GB12348-2008）2类标准。本项目使用的机械设备种类较少，施工期较短，施工噪声将随施工结束而消失，施工噪声对周边环境的影响可以接受。</w:t>
            </w:r>
          </w:p>
          <w:p>
            <w:pPr>
              <w:spacing w:line="360" w:lineRule="auto"/>
              <w:rPr>
                <w:b/>
                <w:sz w:val="24"/>
              </w:rPr>
            </w:pPr>
            <w:r>
              <w:rPr>
                <w:b/>
                <w:sz w:val="24"/>
              </w:rPr>
              <w:t>4.1.4固废</w:t>
            </w:r>
          </w:p>
          <w:p>
            <w:pPr>
              <w:spacing w:line="360" w:lineRule="auto"/>
              <w:ind w:firstLine="480" w:firstLineChars="200"/>
              <w:rPr>
                <w:sz w:val="24"/>
              </w:rPr>
            </w:pPr>
            <w:r>
              <w:rPr>
                <w:sz w:val="24"/>
              </w:rPr>
              <w:t>项目施工期主要固废污染物包括建筑垃圾及生活垃圾。</w:t>
            </w:r>
          </w:p>
          <w:p>
            <w:pPr>
              <w:spacing w:line="360" w:lineRule="auto"/>
              <w:ind w:firstLine="480" w:firstLineChars="200"/>
              <w:rPr>
                <w:sz w:val="24"/>
              </w:rPr>
            </w:pPr>
            <w:r>
              <w:rPr>
                <w:sz w:val="24"/>
              </w:rPr>
              <w:t>①建筑垃圾</w:t>
            </w:r>
          </w:p>
          <w:p>
            <w:pPr>
              <w:spacing w:line="360" w:lineRule="auto"/>
              <w:ind w:firstLine="480" w:firstLineChars="200"/>
              <w:rPr>
                <w:sz w:val="24"/>
              </w:rPr>
            </w:pPr>
            <w:r>
              <w:rPr>
                <w:sz w:val="24"/>
              </w:rPr>
              <w:t>在项目施工过程中，产生的建筑垃圾（如水泥袋、铁质废料、木材弃料等）等。根据同类施工统计资料，项目施工期产生的建筑垃圾产生量约为2t。</w:t>
            </w:r>
          </w:p>
          <w:p>
            <w:pPr>
              <w:spacing w:line="360" w:lineRule="auto"/>
              <w:ind w:firstLine="480" w:firstLineChars="200"/>
              <w:rPr>
                <w:sz w:val="24"/>
              </w:rPr>
            </w:pPr>
            <w:r>
              <w:rPr>
                <w:sz w:val="24"/>
              </w:rPr>
              <w:t>工地建筑垃圾中的一部分如建筑废模块、建筑材料下脚料、破钢管、断残钢筋头、包装袋以及废旧设备等基本上可以回收；而另一部分如弃土、废砂石等建筑材料废弃物等没有回收价值，如果随意倾倒和堆放，不但占用了土地，而且污染了周围环境，影响周围环境的景观。因此无回收价值的建筑废料必须统一分类收集后，作为填充材料充垫场地、便道、路堤等。</w:t>
            </w:r>
          </w:p>
          <w:p>
            <w:pPr>
              <w:spacing w:line="360" w:lineRule="auto"/>
              <w:ind w:firstLine="480" w:firstLineChars="200"/>
              <w:rPr>
                <w:sz w:val="24"/>
              </w:rPr>
            </w:pPr>
            <w:r>
              <w:rPr>
                <w:sz w:val="24"/>
              </w:rPr>
              <w:t>②生活垃圾</w:t>
            </w:r>
          </w:p>
          <w:p>
            <w:pPr>
              <w:spacing w:line="360" w:lineRule="auto"/>
              <w:ind w:firstLine="480" w:firstLineChars="200"/>
              <w:rPr>
                <w:sz w:val="24"/>
              </w:rPr>
            </w:pPr>
            <w:r>
              <w:rPr>
                <w:sz w:val="24"/>
              </w:rPr>
              <w:t>项目按照生活垃圾产生系数0.5kg/人·d计算，钻前工程生活垃圾产生总量为10kg/d。生活垃圾集中收集后，定期交由环卫部门统一清运、处理。</w:t>
            </w:r>
          </w:p>
          <w:p>
            <w:pPr>
              <w:spacing w:line="360" w:lineRule="auto"/>
              <w:rPr>
                <w:b/>
                <w:sz w:val="24"/>
              </w:rPr>
            </w:pPr>
            <w:r>
              <w:rPr>
                <w:b/>
                <w:sz w:val="24"/>
              </w:rPr>
              <w:t>4.2钻井工程污染源强核算及环境影响分析</w:t>
            </w:r>
          </w:p>
          <w:p>
            <w:pPr>
              <w:spacing w:line="360" w:lineRule="auto"/>
              <w:rPr>
                <w:b/>
                <w:bCs/>
                <w:sz w:val="24"/>
              </w:rPr>
            </w:pPr>
            <w:r>
              <w:rPr>
                <w:b/>
                <w:bCs/>
                <w:sz w:val="24"/>
              </w:rPr>
              <w:t>4.2.1废气环境影响分析</w:t>
            </w:r>
          </w:p>
          <w:p>
            <w:pPr>
              <w:spacing w:line="360" w:lineRule="auto"/>
              <w:ind w:firstLine="480" w:firstLineChars="200"/>
              <w:rPr>
                <w:bCs/>
                <w:sz w:val="24"/>
              </w:rPr>
            </w:pPr>
            <w:r>
              <w:rPr>
                <w:bCs/>
                <w:sz w:val="24"/>
              </w:rPr>
              <w:t>（1）废气排放情况</w:t>
            </w:r>
          </w:p>
          <w:p>
            <w:pPr>
              <w:spacing w:line="360" w:lineRule="auto"/>
              <w:ind w:firstLine="480" w:firstLineChars="200"/>
              <w:rPr>
                <w:bCs/>
                <w:sz w:val="24"/>
              </w:rPr>
            </w:pPr>
            <w:r>
              <w:rPr>
                <w:bCs/>
                <w:sz w:val="24"/>
              </w:rPr>
              <w:t>本项目为钻井期间的废气主要包括柴油发电机组燃烧废气、非正常生产时事故放喷天然气经点燃后排放废气等。</w:t>
            </w:r>
          </w:p>
          <w:p>
            <w:pPr>
              <w:spacing w:line="360" w:lineRule="auto"/>
              <w:ind w:firstLine="480" w:firstLineChars="200"/>
              <w:rPr>
                <w:bCs/>
                <w:sz w:val="24"/>
              </w:rPr>
            </w:pPr>
            <w:r>
              <w:rPr>
                <w:bCs/>
                <w:sz w:val="24"/>
              </w:rPr>
              <w:fldChar w:fldCharType="begin"/>
            </w:r>
            <w:r>
              <w:rPr>
                <w:bCs/>
                <w:sz w:val="24"/>
              </w:rPr>
              <w:instrText xml:space="preserve"> = 1 \* GB3 \* MERGEFORMAT </w:instrText>
            </w:r>
            <w:r>
              <w:rPr>
                <w:bCs/>
                <w:sz w:val="24"/>
              </w:rPr>
              <w:fldChar w:fldCharType="separate"/>
            </w:r>
            <w:r>
              <w:rPr>
                <w:sz w:val="24"/>
                <w:szCs w:val="32"/>
              </w:rPr>
              <w:t>①</w:t>
            </w:r>
            <w:r>
              <w:rPr>
                <w:bCs/>
                <w:sz w:val="24"/>
              </w:rPr>
              <w:fldChar w:fldCharType="end"/>
            </w:r>
            <w:r>
              <w:rPr>
                <w:bCs/>
                <w:sz w:val="24"/>
              </w:rPr>
              <w:t>正常生产时柴油发电机组燃烧排放废气</w:t>
            </w:r>
          </w:p>
          <w:p>
            <w:pPr>
              <w:spacing w:line="360" w:lineRule="auto"/>
              <w:ind w:firstLine="480" w:firstLineChars="200"/>
              <w:rPr>
                <w:bCs/>
                <w:sz w:val="24"/>
              </w:rPr>
            </w:pPr>
            <w:r>
              <w:rPr>
                <w:bCs/>
                <w:sz w:val="24"/>
              </w:rPr>
              <w:t>本项目</w:t>
            </w:r>
            <w:r>
              <w:rPr>
                <w:rFonts w:hint="eastAsia"/>
                <w:bCs/>
                <w:sz w:val="24"/>
              </w:rPr>
              <w:t>优先</w:t>
            </w:r>
            <w:r>
              <w:rPr>
                <w:bCs/>
                <w:sz w:val="24"/>
              </w:rPr>
              <w:t>采用</w:t>
            </w:r>
            <w:r>
              <w:rPr>
                <w:rFonts w:hint="eastAsia"/>
                <w:bCs/>
                <w:sz w:val="24"/>
              </w:rPr>
              <w:t>网电钻井，在停电情况下采用</w:t>
            </w:r>
            <w:r>
              <w:rPr>
                <w:bCs/>
                <w:sz w:val="24"/>
              </w:rPr>
              <w:t>柴油发电机组进行发电，并给钻机上的各种设备如泥浆泵、天车、转盘等提供动力，钻井柴油发电机组燃烧排放的废气主要污染物为NOx，其次还有少量CO、CO</w:t>
            </w:r>
            <w:r>
              <w:rPr>
                <w:bCs/>
                <w:sz w:val="24"/>
                <w:vertAlign w:val="subscript"/>
              </w:rPr>
              <w:t>2</w:t>
            </w:r>
            <w:r>
              <w:rPr>
                <w:bCs/>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pPr>
              <w:spacing w:line="360" w:lineRule="auto"/>
              <w:ind w:firstLine="480" w:firstLineChars="200"/>
              <w:rPr>
                <w:bCs/>
                <w:sz w:val="24"/>
              </w:rPr>
            </w:pPr>
            <w:r>
              <w:rPr>
                <w:bCs/>
                <w:sz w:val="24"/>
              </w:rPr>
              <w:fldChar w:fldCharType="begin"/>
            </w:r>
            <w:r>
              <w:rPr>
                <w:bCs/>
                <w:sz w:val="24"/>
              </w:rPr>
              <w:instrText xml:space="preserve"> = 2 \* GB3 \* MERGEFORMAT </w:instrText>
            </w:r>
            <w:r>
              <w:rPr>
                <w:bCs/>
                <w:sz w:val="24"/>
              </w:rPr>
              <w:fldChar w:fldCharType="separate"/>
            </w:r>
            <w:r>
              <w:rPr>
                <w:sz w:val="24"/>
                <w:szCs w:val="32"/>
              </w:rPr>
              <w:t>②</w:t>
            </w:r>
            <w:r>
              <w:rPr>
                <w:bCs/>
                <w:sz w:val="24"/>
              </w:rPr>
              <w:fldChar w:fldCharType="end"/>
            </w:r>
            <w:r>
              <w:rPr>
                <w:bCs/>
                <w:sz w:val="24"/>
              </w:rPr>
              <w:t>非正常生产时事故放喷天然气经点燃后排放废气</w:t>
            </w:r>
          </w:p>
          <w:p>
            <w:pPr>
              <w:spacing w:line="360" w:lineRule="auto"/>
              <w:ind w:firstLine="480" w:firstLineChars="200"/>
              <w:rPr>
                <w:bCs/>
                <w:sz w:val="24"/>
              </w:rPr>
            </w:pPr>
            <w:r>
              <w:rPr>
                <w:bCs/>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4h，属于临时排放，放喷的天然气经专用放喷管线引至放喷池后点火燃烧，其燃烧主要产物为NOx、CO</w:t>
            </w:r>
            <w:r>
              <w:rPr>
                <w:bCs/>
                <w:sz w:val="24"/>
                <w:vertAlign w:val="subscript"/>
              </w:rPr>
              <w:t>2</w:t>
            </w:r>
            <w:r>
              <w:rPr>
                <w:bCs/>
                <w:sz w:val="24"/>
              </w:rPr>
              <w:t>和水。</w:t>
            </w:r>
          </w:p>
          <w:p>
            <w:pPr>
              <w:spacing w:line="360" w:lineRule="auto"/>
              <w:ind w:firstLine="480" w:firstLineChars="200"/>
              <w:rPr>
                <w:sz w:val="24"/>
              </w:rPr>
            </w:pPr>
            <w:r>
              <w:rPr>
                <w:sz w:val="24"/>
              </w:rPr>
              <w:t>（2）环境影响分析</w:t>
            </w:r>
          </w:p>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钻井工程</w:t>
            </w:r>
          </w:p>
          <w:p>
            <w:pPr>
              <w:spacing w:line="360" w:lineRule="auto"/>
              <w:ind w:firstLine="480" w:firstLineChars="200"/>
              <w:rPr>
                <w:sz w:val="24"/>
              </w:rPr>
            </w:pPr>
            <w:r>
              <w:rPr>
                <w:rFonts w:hint="eastAsia"/>
                <w:sz w:val="24"/>
              </w:rPr>
              <w:t>停电情况下使用</w:t>
            </w:r>
            <w:r>
              <w:rPr>
                <w:sz w:val="24"/>
              </w:rPr>
              <w:t>柴油发电机燃烧排放的废气主要污染物为NOx，其次还有少量CO、CO</w:t>
            </w:r>
            <w:r>
              <w:rPr>
                <w:sz w:val="24"/>
                <w:vertAlign w:val="subscript"/>
              </w:rPr>
              <w:t>2</w:t>
            </w:r>
            <w:r>
              <w:rPr>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非正常生产、事故放喷天然气经点燃后排放废气</w:t>
            </w:r>
          </w:p>
          <w:p>
            <w:pPr>
              <w:spacing w:line="360" w:lineRule="auto"/>
              <w:ind w:firstLine="480" w:firstLineChars="200"/>
              <w:rPr>
                <w:sz w:val="24"/>
              </w:rPr>
            </w:pPr>
            <w:r>
              <w:rPr>
                <w:sz w:val="24"/>
              </w:rPr>
              <w:t>非正常生产、事故放喷的天然气经点火燃烧，其主要污染物为</w:t>
            </w:r>
            <w:r>
              <w:rPr>
                <w:rFonts w:hint="eastAsia"/>
                <w:sz w:val="24"/>
              </w:rPr>
              <w:t>SO</w:t>
            </w:r>
            <w:r>
              <w:rPr>
                <w:rFonts w:hint="eastAsia"/>
                <w:sz w:val="24"/>
                <w:vertAlign w:val="subscript"/>
              </w:rPr>
              <w:t>2</w:t>
            </w:r>
            <w:r>
              <w:rPr>
                <w:rFonts w:hint="eastAsia"/>
                <w:sz w:val="24"/>
              </w:rPr>
              <w:t>、</w:t>
            </w:r>
            <w:r>
              <w:rPr>
                <w:sz w:val="24"/>
              </w:rPr>
              <w:t>CO</w:t>
            </w:r>
            <w:r>
              <w:rPr>
                <w:sz w:val="24"/>
                <w:vertAlign w:val="subscript"/>
              </w:rPr>
              <w:t>2</w:t>
            </w:r>
            <w:r>
              <w:rPr>
                <w:sz w:val="24"/>
              </w:rPr>
              <w:t>。对周边环境造成影响较小。</w:t>
            </w:r>
          </w:p>
          <w:p>
            <w:pPr>
              <w:spacing w:line="360" w:lineRule="auto"/>
              <w:rPr>
                <w:b/>
                <w:sz w:val="24"/>
              </w:rPr>
            </w:pPr>
            <w:r>
              <w:rPr>
                <w:b/>
                <w:sz w:val="24"/>
              </w:rPr>
              <w:t>4.2.2废水环境影响分析</w:t>
            </w:r>
          </w:p>
          <w:p>
            <w:pPr>
              <w:tabs>
                <w:tab w:val="left" w:pos="2321"/>
              </w:tabs>
              <w:overflowPunct w:val="0"/>
              <w:autoSpaceDE w:val="0"/>
              <w:spacing w:line="360" w:lineRule="auto"/>
              <w:ind w:firstLine="480" w:firstLineChars="200"/>
              <w:rPr>
                <w:sz w:val="24"/>
              </w:rPr>
            </w:pPr>
            <w:r>
              <w:rPr>
                <w:sz w:val="24"/>
              </w:rPr>
              <w:t>（1）废水源强分析</w:t>
            </w:r>
          </w:p>
          <w:p>
            <w:pPr>
              <w:spacing w:line="360" w:lineRule="auto"/>
              <w:ind w:firstLine="480" w:firstLineChars="200"/>
              <w:rPr>
                <w:bCs/>
                <w:sz w:val="24"/>
              </w:rPr>
            </w:pPr>
            <w:r>
              <w:rPr>
                <w:bCs/>
                <w:sz w:val="24"/>
              </w:rPr>
              <w:t>拟建项目井场采用清污分流制，井场四周设置污水截流沟。</w:t>
            </w:r>
          </w:p>
          <w:p>
            <w:pPr>
              <w:spacing w:line="360" w:lineRule="auto"/>
              <w:ind w:firstLine="480" w:firstLineChars="200"/>
              <w:rPr>
                <w:bCs/>
                <w:sz w:val="24"/>
              </w:rPr>
            </w:pPr>
            <w:r>
              <w:rPr>
                <w:bCs/>
                <w:sz w:val="24"/>
              </w:rPr>
              <w:t>钻井期间产生的废水主要包括钻井废水、洗井废水、方井雨水、压裂返排废水和生活污水。不能回用的钻井废水、洗井废水、方井雨水汇至井场清洁化操作平台处理后回用于本井站压裂液配制。</w:t>
            </w:r>
          </w:p>
          <w:p>
            <w:pPr>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bCs/>
                <w:sz w:val="24"/>
              </w:rPr>
              <w:t>①</w:t>
            </w:r>
            <w:r>
              <w:rPr>
                <w:bCs/>
                <w:sz w:val="24"/>
              </w:rPr>
              <w:fldChar w:fldCharType="end"/>
            </w:r>
            <w:r>
              <w:rPr>
                <w:bCs/>
                <w:sz w:val="24"/>
              </w:rPr>
              <w:t>场地雨水</w:t>
            </w:r>
          </w:p>
          <w:p>
            <w:pPr>
              <w:spacing w:line="360" w:lineRule="auto"/>
              <w:ind w:firstLine="480" w:firstLineChars="200"/>
              <w:rPr>
                <w:bCs/>
                <w:sz w:val="24"/>
              </w:rPr>
            </w:pPr>
            <w:r>
              <w:rPr>
                <w:bCs/>
                <w:sz w:val="24"/>
              </w:rPr>
              <w:t>由于拟建项目井场采用清污分流制，井场设置有污水截流沟，截留井场散落的污水，截流沟中的污水泵入废水罐中，以避免进入雨水排水系统。方井区域的雨水收集在方井内，通过污水泵泵入废水罐中，用于配置本</w:t>
            </w:r>
            <w:r>
              <w:rPr>
                <w:rFonts w:hint="eastAsia"/>
                <w:bCs/>
                <w:sz w:val="24"/>
              </w:rPr>
              <w:t>井</w:t>
            </w:r>
            <w:r>
              <w:rPr>
                <w:bCs/>
                <w:sz w:val="24"/>
              </w:rPr>
              <w:t>压裂液。</w:t>
            </w:r>
          </w:p>
          <w:p>
            <w:pPr>
              <w:spacing w:line="360" w:lineRule="auto"/>
              <w:ind w:firstLine="480" w:firstLineChars="200"/>
              <w:rPr>
                <w:bCs/>
                <w:sz w:val="24"/>
              </w:rPr>
            </w:pPr>
            <w:r>
              <w:rPr>
                <w:bCs/>
                <w:sz w:val="24"/>
              </w:rPr>
              <w:t>根据</w:t>
            </w:r>
            <w:r>
              <w:rPr>
                <w:rFonts w:hint="eastAsia"/>
                <w:bCs/>
                <w:sz w:val="24"/>
              </w:rPr>
              <w:t>宣汉地区</w:t>
            </w:r>
            <w:r>
              <w:rPr>
                <w:bCs/>
                <w:sz w:val="24"/>
              </w:rPr>
              <w:t>气象资料，并结合项目井场区域占地情况，本项目方井区域的最大雨水量约为15m</w:t>
            </w:r>
            <w:r>
              <w:rPr>
                <w:bCs/>
                <w:sz w:val="24"/>
                <w:vertAlign w:val="superscript"/>
              </w:rPr>
              <w:t>3</w:t>
            </w:r>
            <w:r>
              <w:rPr>
                <w:bCs/>
                <w:sz w:val="24"/>
              </w:rPr>
              <w:t>。同时在钻井过程中，方井具有收集井场散落废水的功能，因此会产生少量方井污水。方井雨水和污水定期通过水泵泵入</w:t>
            </w:r>
            <w:r>
              <w:rPr>
                <w:rFonts w:hint="eastAsia"/>
                <w:bCs/>
                <w:sz w:val="24"/>
              </w:rPr>
              <w:t>废水池</w:t>
            </w:r>
            <w:r>
              <w:rPr>
                <w:bCs/>
                <w:sz w:val="24"/>
              </w:rPr>
              <w:t>后用于配制压裂液。结合项目特征，方井雨水主要污染物为SS和石油类，产生浓度分别为200mg/L和20mg/L。</w:t>
            </w:r>
          </w:p>
          <w:p>
            <w:pPr>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bCs/>
                <w:sz w:val="24"/>
              </w:rPr>
              <w:t>②</w:t>
            </w:r>
            <w:r>
              <w:rPr>
                <w:bCs/>
                <w:sz w:val="24"/>
              </w:rPr>
              <w:fldChar w:fldCharType="end"/>
            </w:r>
            <w:r>
              <w:rPr>
                <w:bCs/>
                <w:sz w:val="24"/>
              </w:rPr>
              <w:t>钻井废水</w:t>
            </w:r>
          </w:p>
          <w:p>
            <w:pPr>
              <w:spacing w:line="360" w:lineRule="auto"/>
              <w:ind w:firstLine="480" w:firstLineChars="200"/>
              <w:rPr>
                <w:bCs/>
                <w:sz w:val="24"/>
              </w:rPr>
            </w:pPr>
            <w:r>
              <w:rPr>
                <w:bCs/>
                <w:sz w:val="24"/>
              </w:rPr>
              <w:t>钻井过程中产生的钻井废水主要包括水基泥浆钻井阶段产生的废水，钻台及钻具等冲洗水；油基泥浆钻井阶段不产生钻井作业废水。</w:t>
            </w:r>
          </w:p>
          <w:p>
            <w:pPr>
              <w:spacing w:line="360" w:lineRule="auto"/>
              <w:ind w:firstLine="480" w:firstLineChars="200"/>
              <w:rPr>
                <w:bCs/>
                <w:sz w:val="24"/>
              </w:rPr>
            </w:pPr>
            <w:r>
              <w:rPr>
                <w:bCs/>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清洁化生产区，经固液分离后回用于配制压裂液。</w:t>
            </w:r>
          </w:p>
          <w:p>
            <w:pPr>
              <w:spacing w:line="360" w:lineRule="auto"/>
              <w:ind w:firstLine="480" w:firstLineChars="200"/>
              <w:rPr>
                <w:bCs/>
                <w:sz w:val="24"/>
              </w:rPr>
            </w:pPr>
            <w:r>
              <w:rPr>
                <w:bCs/>
                <w:sz w:val="24"/>
              </w:rPr>
              <w:t>根据</w:t>
            </w:r>
            <w:r>
              <w:rPr>
                <w:rFonts w:hint="eastAsia"/>
                <w:bCs/>
                <w:sz w:val="24"/>
              </w:rPr>
              <w:t>宣汉地区</w:t>
            </w:r>
            <w:r>
              <w:rPr>
                <w:bCs/>
                <w:sz w:val="24"/>
              </w:rPr>
              <w:t>大量钻井数据的统计分析，常规钻井阶段新鲜水用量约为用水量的10%，每米进尺产生钻井废水量为0.</w:t>
            </w:r>
            <w:r>
              <w:rPr>
                <w:rFonts w:hint="eastAsia"/>
                <w:bCs/>
                <w:sz w:val="24"/>
              </w:rPr>
              <w:t>5</w:t>
            </w:r>
            <w:r>
              <w:rPr>
                <w:bCs/>
                <w:sz w:val="24"/>
              </w:rPr>
              <w:t>m</w:t>
            </w:r>
            <w:r>
              <w:rPr>
                <w:bCs/>
                <w:sz w:val="24"/>
                <w:vertAlign w:val="superscript"/>
              </w:rPr>
              <w:t>3</w:t>
            </w:r>
            <w:r>
              <w:rPr>
                <w:bCs/>
                <w:sz w:val="24"/>
              </w:rPr>
              <w:t>，由于钻井用水量相对较少，因此钻井用水通过罐车从</w:t>
            </w:r>
            <w:r>
              <w:rPr>
                <w:rFonts w:hint="eastAsia"/>
                <w:bCs/>
                <w:sz w:val="24"/>
              </w:rPr>
              <w:t>当地自来水管网</w:t>
            </w:r>
            <w:r>
              <w:rPr>
                <w:bCs/>
                <w:sz w:val="24"/>
              </w:rPr>
              <w:t>拉运清水至井场水池中。钻井过程中产生的废水经清洁化生产平台处理后回用于配制钻井液，根据调查，最终剩余的钻井废水用于配制压裂液。</w:t>
            </w:r>
          </w:p>
          <w:p>
            <w:pPr>
              <w:spacing w:line="360" w:lineRule="auto"/>
              <w:ind w:firstLine="480" w:firstLineChars="200"/>
              <w:rPr>
                <w:bCs/>
                <w:sz w:val="24"/>
              </w:rPr>
            </w:pPr>
            <w:r>
              <w:rPr>
                <w:bCs/>
                <w:sz w:val="24"/>
              </w:rPr>
              <w:t>新鲜水用量和废水具体产生情况见表4-3，</w:t>
            </w:r>
            <w:r>
              <w:rPr>
                <w:rFonts w:hint="eastAsia"/>
                <w:bCs/>
                <w:sz w:val="24"/>
              </w:rPr>
              <w:t>本项目钻井废水主要污染物浓度根据普光气田钻井工程钻井废水类比，钻井工程</w:t>
            </w:r>
            <w:r>
              <w:rPr>
                <w:bCs/>
                <w:sz w:val="24"/>
              </w:rPr>
              <w:t>废水水质情况见表4-4。</w:t>
            </w:r>
          </w:p>
          <w:p>
            <w:pPr>
              <w:spacing w:line="360" w:lineRule="auto"/>
              <w:ind w:firstLine="482" w:firstLineChars="200"/>
              <w:jc w:val="center"/>
              <w:rPr>
                <w:b/>
                <w:bCs/>
                <w:sz w:val="24"/>
              </w:rPr>
            </w:pPr>
            <w:r>
              <w:rPr>
                <w:b/>
                <w:bCs/>
                <w:sz w:val="24"/>
              </w:rPr>
              <w:t>表4-3 项目钻井阶段水量一览表 单位：m</w:t>
            </w:r>
            <w:r>
              <w:rPr>
                <w:b/>
                <w:bCs/>
                <w:sz w:val="24"/>
                <w:vertAlign w:val="superscript"/>
              </w:rPr>
              <w:t>3</w:t>
            </w:r>
          </w:p>
          <w:tbl>
            <w:tblPr>
              <w:tblStyle w:val="45"/>
              <w:tblW w:w="81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359"/>
              <w:gridCol w:w="1359"/>
              <w:gridCol w:w="1360"/>
              <w:gridCol w:w="1360"/>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9" w:type="dxa"/>
                  <w:tcBorders>
                    <w:tl2br w:val="nil"/>
                    <w:tr2bl w:val="nil"/>
                  </w:tcBorders>
                  <w:vAlign w:val="center"/>
                </w:tcPr>
                <w:p>
                  <w:pPr>
                    <w:jc w:val="center"/>
                    <w:rPr>
                      <w:bCs/>
                      <w:szCs w:val="21"/>
                    </w:rPr>
                  </w:pPr>
                  <w:r>
                    <w:rPr>
                      <w:bCs/>
                      <w:szCs w:val="21"/>
                    </w:rPr>
                    <w:t>井号</w:t>
                  </w:r>
                </w:p>
              </w:tc>
              <w:tc>
                <w:tcPr>
                  <w:tcW w:w="1359" w:type="dxa"/>
                  <w:tcBorders>
                    <w:tl2br w:val="nil"/>
                    <w:tr2bl w:val="nil"/>
                  </w:tcBorders>
                  <w:vAlign w:val="center"/>
                </w:tcPr>
                <w:p>
                  <w:pPr>
                    <w:jc w:val="center"/>
                    <w:rPr>
                      <w:bCs/>
                      <w:szCs w:val="21"/>
                    </w:rPr>
                  </w:pPr>
                  <w:r>
                    <w:rPr>
                      <w:bCs/>
                      <w:szCs w:val="21"/>
                    </w:rPr>
                    <w:t>用水量</w:t>
                  </w:r>
                </w:p>
              </w:tc>
              <w:tc>
                <w:tcPr>
                  <w:tcW w:w="1359" w:type="dxa"/>
                  <w:tcBorders>
                    <w:tl2br w:val="nil"/>
                    <w:tr2bl w:val="nil"/>
                  </w:tcBorders>
                  <w:vAlign w:val="center"/>
                </w:tcPr>
                <w:p>
                  <w:pPr>
                    <w:jc w:val="center"/>
                    <w:rPr>
                      <w:bCs/>
                      <w:szCs w:val="21"/>
                    </w:rPr>
                  </w:pPr>
                  <w:r>
                    <w:rPr>
                      <w:bCs/>
                      <w:szCs w:val="21"/>
                    </w:rPr>
                    <w:t>补充水量</w:t>
                  </w:r>
                </w:p>
              </w:tc>
              <w:tc>
                <w:tcPr>
                  <w:tcW w:w="1360" w:type="dxa"/>
                  <w:tcBorders>
                    <w:tl2br w:val="nil"/>
                    <w:tr2bl w:val="nil"/>
                  </w:tcBorders>
                  <w:vAlign w:val="center"/>
                </w:tcPr>
                <w:p>
                  <w:pPr>
                    <w:jc w:val="center"/>
                    <w:rPr>
                      <w:bCs/>
                      <w:szCs w:val="21"/>
                    </w:rPr>
                  </w:pPr>
                  <w:r>
                    <w:rPr>
                      <w:bCs/>
                      <w:szCs w:val="21"/>
                    </w:rPr>
                    <w:t>损耗量</w:t>
                  </w:r>
                </w:p>
              </w:tc>
              <w:tc>
                <w:tcPr>
                  <w:tcW w:w="1360" w:type="dxa"/>
                  <w:tcBorders>
                    <w:tl2br w:val="nil"/>
                    <w:tr2bl w:val="nil"/>
                  </w:tcBorders>
                  <w:vAlign w:val="center"/>
                </w:tcPr>
                <w:p>
                  <w:pPr>
                    <w:jc w:val="center"/>
                    <w:rPr>
                      <w:bCs/>
                      <w:szCs w:val="21"/>
                    </w:rPr>
                  </w:pPr>
                  <w:r>
                    <w:rPr>
                      <w:bCs/>
                      <w:szCs w:val="21"/>
                    </w:rPr>
                    <w:t>回用量</w:t>
                  </w:r>
                </w:p>
              </w:tc>
              <w:tc>
                <w:tcPr>
                  <w:tcW w:w="1360" w:type="dxa"/>
                  <w:tcBorders>
                    <w:tl2br w:val="nil"/>
                    <w:tr2bl w:val="nil"/>
                  </w:tcBorders>
                  <w:vAlign w:val="center"/>
                </w:tcPr>
                <w:p>
                  <w:pPr>
                    <w:jc w:val="center"/>
                    <w:rPr>
                      <w:bCs/>
                      <w:szCs w:val="21"/>
                    </w:rPr>
                  </w:pPr>
                  <w:r>
                    <w:rPr>
                      <w:bCs/>
                      <w:szCs w:val="21"/>
                    </w:rPr>
                    <w:t>剩余废水量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9" w:type="dxa"/>
                  <w:tcBorders>
                    <w:tl2br w:val="nil"/>
                    <w:tr2bl w:val="nil"/>
                  </w:tcBorders>
                  <w:vAlign w:val="center"/>
                </w:tcPr>
                <w:p>
                  <w:pPr>
                    <w:jc w:val="center"/>
                    <w:rPr>
                      <w:bCs/>
                      <w:szCs w:val="21"/>
                    </w:rPr>
                  </w:pPr>
                  <w:r>
                    <w:rPr>
                      <w:rFonts w:hint="eastAsia"/>
                      <w:bCs/>
                      <w:szCs w:val="21"/>
                    </w:rPr>
                    <w:t>铁北1侧HF井</w:t>
                  </w:r>
                </w:p>
              </w:tc>
              <w:tc>
                <w:tcPr>
                  <w:tcW w:w="1359" w:type="dxa"/>
                  <w:tcBorders>
                    <w:tl2br w:val="nil"/>
                    <w:tr2bl w:val="nil"/>
                  </w:tcBorders>
                  <w:vAlign w:val="center"/>
                </w:tcPr>
                <w:p>
                  <w:pPr>
                    <w:widowControl/>
                    <w:jc w:val="center"/>
                    <w:textAlignment w:val="center"/>
                    <w:rPr>
                      <w:bCs/>
                      <w:szCs w:val="21"/>
                    </w:rPr>
                  </w:pPr>
                  <w:r>
                    <w:rPr>
                      <w:rFonts w:hint="eastAsia"/>
                      <w:bCs/>
                      <w:szCs w:val="21"/>
                    </w:rPr>
                    <w:t>343</w:t>
                  </w:r>
                </w:p>
              </w:tc>
              <w:tc>
                <w:tcPr>
                  <w:tcW w:w="1359" w:type="dxa"/>
                  <w:tcBorders>
                    <w:tl2br w:val="nil"/>
                    <w:tr2bl w:val="nil"/>
                  </w:tcBorders>
                  <w:vAlign w:val="center"/>
                </w:tcPr>
                <w:p>
                  <w:pPr>
                    <w:widowControl/>
                    <w:jc w:val="center"/>
                    <w:textAlignment w:val="center"/>
                    <w:rPr>
                      <w:bCs/>
                      <w:szCs w:val="21"/>
                    </w:rPr>
                  </w:pPr>
                  <w:r>
                    <w:rPr>
                      <w:rFonts w:hint="eastAsia"/>
                      <w:bCs/>
                      <w:szCs w:val="21"/>
                    </w:rPr>
                    <w:t>34.3</w:t>
                  </w:r>
                </w:p>
              </w:tc>
              <w:tc>
                <w:tcPr>
                  <w:tcW w:w="1360" w:type="dxa"/>
                  <w:tcBorders>
                    <w:tl2br w:val="nil"/>
                    <w:tr2bl w:val="nil"/>
                  </w:tcBorders>
                  <w:vAlign w:val="center"/>
                </w:tcPr>
                <w:p>
                  <w:pPr>
                    <w:widowControl/>
                    <w:jc w:val="center"/>
                    <w:textAlignment w:val="center"/>
                    <w:rPr>
                      <w:bCs/>
                      <w:szCs w:val="21"/>
                    </w:rPr>
                  </w:pPr>
                  <w:r>
                    <w:rPr>
                      <w:rFonts w:hint="eastAsia"/>
                      <w:bCs/>
                      <w:szCs w:val="21"/>
                    </w:rPr>
                    <w:t>17.2</w:t>
                  </w:r>
                </w:p>
              </w:tc>
              <w:tc>
                <w:tcPr>
                  <w:tcW w:w="1360" w:type="dxa"/>
                  <w:tcBorders>
                    <w:tl2br w:val="nil"/>
                    <w:tr2bl w:val="nil"/>
                  </w:tcBorders>
                  <w:vAlign w:val="center"/>
                </w:tcPr>
                <w:p>
                  <w:pPr>
                    <w:widowControl/>
                    <w:jc w:val="center"/>
                    <w:textAlignment w:val="center"/>
                    <w:rPr>
                      <w:bCs/>
                      <w:szCs w:val="21"/>
                    </w:rPr>
                  </w:pPr>
                  <w:r>
                    <w:rPr>
                      <w:rFonts w:hint="eastAsia"/>
                      <w:bCs/>
                      <w:szCs w:val="21"/>
                    </w:rPr>
                    <w:t>308.7</w:t>
                  </w:r>
                </w:p>
              </w:tc>
              <w:tc>
                <w:tcPr>
                  <w:tcW w:w="1360" w:type="dxa"/>
                  <w:tcBorders>
                    <w:tl2br w:val="nil"/>
                    <w:tr2bl w:val="nil"/>
                  </w:tcBorders>
                  <w:vAlign w:val="center"/>
                </w:tcPr>
                <w:p>
                  <w:pPr>
                    <w:widowControl/>
                    <w:jc w:val="center"/>
                    <w:textAlignment w:val="center"/>
                    <w:rPr>
                      <w:bCs/>
                      <w:szCs w:val="21"/>
                    </w:rPr>
                  </w:pPr>
                  <w:r>
                    <w:rPr>
                      <w:rFonts w:hint="eastAsia"/>
                      <w:bCs/>
                      <w:szCs w:val="21"/>
                    </w:rPr>
                    <w:t>17.2</w:t>
                  </w:r>
                </w:p>
              </w:tc>
            </w:tr>
          </w:tbl>
          <w:p>
            <w:pPr>
              <w:spacing w:line="360" w:lineRule="auto"/>
              <w:ind w:firstLine="422" w:firstLineChars="200"/>
              <w:jc w:val="center"/>
              <w:rPr>
                <w:bCs/>
                <w:szCs w:val="21"/>
              </w:rPr>
            </w:pPr>
            <w:r>
              <w:rPr>
                <w:b/>
                <w:bCs/>
                <w:szCs w:val="21"/>
              </w:rPr>
              <w:t>表4-4 钻井废水水质情况</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2712"/>
              <w:gridCol w:w="2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6" w:type="dxa"/>
                  <w:vMerge w:val="restart"/>
                  <w:tcBorders>
                    <w:tl2br w:val="nil"/>
                    <w:tr2bl w:val="nil"/>
                  </w:tcBorders>
                  <w:vAlign w:val="center"/>
                </w:tcPr>
                <w:p>
                  <w:pPr>
                    <w:jc w:val="center"/>
                    <w:rPr>
                      <w:bCs/>
                      <w:szCs w:val="21"/>
                    </w:rPr>
                  </w:pPr>
                  <w:r>
                    <w:rPr>
                      <w:bCs/>
                      <w:szCs w:val="21"/>
                    </w:rPr>
                    <w:t>废水种类</w:t>
                  </w:r>
                </w:p>
              </w:tc>
              <w:tc>
                <w:tcPr>
                  <w:tcW w:w="6781" w:type="dxa"/>
                  <w:gridSpan w:val="3"/>
                  <w:tcBorders>
                    <w:tl2br w:val="nil"/>
                    <w:tr2bl w:val="nil"/>
                  </w:tcBorders>
                  <w:vAlign w:val="center"/>
                </w:tcPr>
                <w:p>
                  <w:pPr>
                    <w:jc w:val="center"/>
                    <w:rPr>
                      <w:bCs/>
                      <w:szCs w:val="21"/>
                    </w:rPr>
                  </w:pPr>
                  <w:r>
                    <w:rPr>
                      <w:bCs/>
                      <w:szCs w:val="21"/>
                    </w:rPr>
                    <w:t>主要污染物浓度（单位mg/L，pH无量纲）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6" w:type="dxa"/>
                  <w:vMerge w:val="continue"/>
                  <w:tcBorders>
                    <w:tl2br w:val="nil"/>
                    <w:tr2bl w:val="nil"/>
                  </w:tcBorders>
                  <w:vAlign w:val="center"/>
                </w:tcPr>
                <w:p>
                  <w:pPr>
                    <w:jc w:val="center"/>
                    <w:rPr>
                      <w:bCs/>
                      <w:szCs w:val="21"/>
                    </w:rPr>
                  </w:pPr>
                </w:p>
              </w:tc>
              <w:tc>
                <w:tcPr>
                  <w:tcW w:w="1356" w:type="dxa"/>
                  <w:tcBorders>
                    <w:tl2br w:val="nil"/>
                    <w:tr2bl w:val="nil"/>
                  </w:tcBorders>
                  <w:vAlign w:val="center"/>
                </w:tcPr>
                <w:p>
                  <w:pPr>
                    <w:jc w:val="center"/>
                    <w:rPr>
                      <w:bCs/>
                      <w:szCs w:val="21"/>
                    </w:rPr>
                  </w:pPr>
                  <w:r>
                    <w:rPr>
                      <w:bCs/>
                      <w:szCs w:val="21"/>
                    </w:rPr>
                    <w:t>pH</w:t>
                  </w:r>
                </w:p>
              </w:tc>
              <w:tc>
                <w:tcPr>
                  <w:tcW w:w="2712" w:type="dxa"/>
                  <w:tcBorders>
                    <w:tl2br w:val="nil"/>
                    <w:tr2bl w:val="nil"/>
                  </w:tcBorders>
                  <w:vAlign w:val="center"/>
                </w:tcPr>
                <w:p>
                  <w:pPr>
                    <w:jc w:val="center"/>
                    <w:rPr>
                      <w:bCs/>
                      <w:szCs w:val="21"/>
                    </w:rPr>
                  </w:pPr>
                  <w:r>
                    <w:rPr>
                      <w:bCs/>
                      <w:szCs w:val="21"/>
                    </w:rPr>
                    <w:t>石油类</w:t>
                  </w:r>
                </w:p>
              </w:tc>
              <w:tc>
                <w:tcPr>
                  <w:tcW w:w="2713" w:type="dxa"/>
                  <w:tcBorders>
                    <w:tl2br w:val="nil"/>
                    <w:tr2bl w:val="nil"/>
                  </w:tcBorders>
                  <w:vAlign w:val="center"/>
                </w:tcPr>
                <w:p>
                  <w:pPr>
                    <w:jc w:val="center"/>
                    <w:rPr>
                      <w:bCs/>
                      <w:szCs w:val="21"/>
                    </w:rPr>
                  </w:pPr>
                  <w:r>
                    <w:rPr>
                      <w:bCs/>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6" w:type="dxa"/>
                  <w:tcBorders>
                    <w:tl2br w:val="nil"/>
                    <w:tr2bl w:val="nil"/>
                  </w:tcBorders>
                  <w:vAlign w:val="center"/>
                </w:tcPr>
                <w:p>
                  <w:pPr>
                    <w:jc w:val="center"/>
                    <w:rPr>
                      <w:bCs/>
                      <w:szCs w:val="21"/>
                    </w:rPr>
                  </w:pPr>
                  <w:r>
                    <w:rPr>
                      <w:bCs/>
                      <w:szCs w:val="21"/>
                    </w:rPr>
                    <w:t>水基钻井液钻井后废水</w:t>
                  </w:r>
                </w:p>
              </w:tc>
              <w:tc>
                <w:tcPr>
                  <w:tcW w:w="1356" w:type="dxa"/>
                  <w:tcBorders>
                    <w:tl2br w:val="nil"/>
                    <w:tr2bl w:val="nil"/>
                  </w:tcBorders>
                  <w:vAlign w:val="center"/>
                </w:tcPr>
                <w:p>
                  <w:pPr>
                    <w:jc w:val="center"/>
                    <w:rPr>
                      <w:bCs/>
                      <w:szCs w:val="21"/>
                    </w:rPr>
                  </w:pPr>
                  <w:r>
                    <w:rPr>
                      <w:bCs/>
                      <w:szCs w:val="21"/>
                    </w:rPr>
                    <w:t>8.3～12.5</w:t>
                  </w:r>
                </w:p>
              </w:tc>
              <w:tc>
                <w:tcPr>
                  <w:tcW w:w="2712" w:type="dxa"/>
                  <w:tcBorders>
                    <w:tl2br w:val="nil"/>
                    <w:tr2bl w:val="nil"/>
                  </w:tcBorders>
                  <w:vAlign w:val="center"/>
                </w:tcPr>
                <w:p>
                  <w:pPr>
                    <w:jc w:val="center"/>
                    <w:rPr>
                      <w:bCs/>
                      <w:szCs w:val="21"/>
                    </w:rPr>
                  </w:pPr>
                  <w:r>
                    <w:rPr>
                      <w:bCs/>
                      <w:szCs w:val="21"/>
                    </w:rPr>
                    <w:t>≤</w:t>
                  </w:r>
                  <w:r>
                    <w:rPr>
                      <w:rFonts w:hint="eastAsia"/>
                      <w:bCs/>
                      <w:szCs w:val="21"/>
                    </w:rPr>
                    <w:t>200</w:t>
                  </w:r>
                </w:p>
              </w:tc>
              <w:tc>
                <w:tcPr>
                  <w:tcW w:w="2713" w:type="dxa"/>
                  <w:tcBorders>
                    <w:tl2br w:val="nil"/>
                    <w:tr2bl w:val="nil"/>
                  </w:tcBorders>
                  <w:vAlign w:val="center"/>
                </w:tcPr>
                <w:p>
                  <w:pPr>
                    <w:jc w:val="center"/>
                    <w:rPr>
                      <w:bCs/>
                      <w:szCs w:val="21"/>
                    </w:rPr>
                  </w:pPr>
                  <w:r>
                    <w:rPr>
                      <w:bCs/>
                      <w:szCs w:val="21"/>
                    </w:rPr>
                    <w:t>≤</w:t>
                  </w:r>
                  <w:r>
                    <w:rPr>
                      <w:rFonts w:hint="eastAsia"/>
                      <w:bCs/>
                      <w:szCs w:val="21"/>
                    </w:rPr>
                    <w:t>7</w:t>
                  </w:r>
                  <w:r>
                    <w:rPr>
                      <w:bCs/>
                      <w:szCs w:val="21"/>
                    </w:rPr>
                    <w:t>500</w:t>
                  </w:r>
                </w:p>
              </w:tc>
            </w:tr>
          </w:tbl>
          <w:p>
            <w:pPr>
              <w:spacing w:line="360" w:lineRule="auto"/>
              <w:ind w:firstLine="480" w:firstLineChars="200"/>
              <w:rPr>
                <w:bCs/>
                <w:sz w:val="24"/>
              </w:rPr>
            </w:pPr>
            <w:r>
              <w:rPr>
                <w:bCs/>
                <w:sz w:val="24"/>
              </w:rPr>
              <w:fldChar w:fldCharType="begin"/>
            </w:r>
            <w:r>
              <w:rPr>
                <w:bCs/>
                <w:sz w:val="24"/>
              </w:rPr>
              <w:instrText xml:space="preserve"> = 3 \* GB3 </w:instrText>
            </w:r>
            <w:r>
              <w:rPr>
                <w:bCs/>
                <w:sz w:val="24"/>
              </w:rPr>
              <w:fldChar w:fldCharType="separate"/>
            </w:r>
            <w:r>
              <w:rPr>
                <w:bCs/>
                <w:sz w:val="24"/>
              </w:rPr>
              <w:t>③</w:t>
            </w:r>
            <w:r>
              <w:rPr>
                <w:bCs/>
                <w:sz w:val="24"/>
              </w:rPr>
              <w:fldChar w:fldCharType="end"/>
            </w:r>
            <w:r>
              <w:rPr>
                <w:bCs/>
                <w:sz w:val="24"/>
              </w:rPr>
              <w:t>生活污水</w:t>
            </w:r>
          </w:p>
          <w:p>
            <w:pPr>
              <w:spacing w:line="360" w:lineRule="auto"/>
              <w:ind w:firstLine="480" w:firstLineChars="200"/>
              <w:rPr>
                <w:bCs/>
                <w:sz w:val="24"/>
              </w:rPr>
            </w:pPr>
            <w:r>
              <w:rPr>
                <w:rFonts w:hint="eastAsia"/>
                <w:bCs/>
                <w:sz w:val="24"/>
              </w:rPr>
              <w:t>铁北1侧HF井</w:t>
            </w:r>
            <w:r>
              <w:rPr>
                <w:bCs/>
                <w:sz w:val="24"/>
              </w:rPr>
              <w:t>井队人员为40人，类比其他井钻井情况，钻井期间施工人员生活用水按200L/d*人计，整个钻井周期（</w:t>
            </w:r>
            <w:r>
              <w:rPr>
                <w:rFonts w:hint="eastAsia"/>
                <w:bCs/>
                <w:sz w:val="24"/>
              </w:rPr>
              <w:t>3</w:t>
            </w:r>
            <w:r>
              <w:rPr>
                <w:bCs/>
                <w:sz w:val="24"/>
              </w:rPr>
              <w:t>0d）内生活用水量约为</w:t>
            </w:r>
            <w:r>
              <w:rPr>
                <w:rFonts w:hint="eastAsia"/>
                <w:bCs/>
                <w:sz w:val="24"/>
              </w:rPr>
              <w:t>240</w:t>
            </w:r>
            <w:r>
              <w:rPr>
                <w:bCs/>
                <w:sz w:val="24"/>
              </w:rPr>
              <w:t>m</w:t>
            </w:r>
            <w:r>
              <w:rPr>
                <w:bCs/>
                <w:sz w:val="24"/>
                <w:vertAlign w:val="superscript"/>
              </w:rPr>
              <w:t>3</w:t>
            </w:r>
            <w:r>
              <w:rPr>
                <w:bCs/>
                <w:sz w:val="24"/>
              </w:rPr>
              <w:t>，污水按用水量的90%计，则整个钻井工程期间生活污水产生量共计</w:t>
            </w:r>
            <w:r>
              <w:rPr>
                <w:rFonts w:hint="eastAsia"/>
                <w:bCs/>
                <w:sz w:val="24"/>
              </w:rPr>
              <w:t>216</w:t>
            </w:r>
            <w:r>
              <w:rPr>
                <w:bCs/>
                <w:sz w:val="24"/>
              </w:rPr>
              <w:t>m</w:t>
            </w:r>
            <w:r>
              <w:rPr>
                <w:bCs/>
                <w:sz w:val="24"/>
                <w:vertAlign w:val="superscript"/>
              </w:rPr>
              <w:t>3</w:t>
            </w:r>
            <w:r>
              <w:rPr>
                <w:bCs/>
                <w:sz w:val="24"/>
              </w:rPr>
              <w:t>（约7.2m</w:t>
            </w:r>
            <w:r>
              <w:rPr>
                <w:bCs/>
                <w:sz w:val="24"/>
                <w:vertAlign w:val="superscript"/>
              </w:rPr>
              <w:t>3</w:t>
            </w:r>
            <w:r>
              <w:rPr>
                <w:bCs/>
                <w:sz w:val="24"/>
              </w:rPr>
              <w:t>/d），生活污水产生量较少，主要污染物为：SS、COD、BOD</w:t>
            </w:r>
            <w:r>
              <w:rPr>
                <w:bCs/>
                <w:sz w:val="24"/>
                <w:vertAlign w:val="subscript"/>
              </w:rPr>
              <w:t>5</w:t>
            </w:r>
            <w:r>
              <w:rPr>
                <w:bCs/>
                <w:sz w:val="24"/>
              </w:rPr>
              <w:t>、NH</w:t>
            </w:r>
            <w:r>
              <w:rPr>
                <w:bCs/>
                <w:sz w:val="24"/>
                <w:vertAlign w:val="subscript"/>
              </w:rPr>
              <w:t>3</w:t>
            </w:r>
            <w:r>
              <w:rPr>
                <w:bCs/>
                <w:sz w:val="24"/>
              </w:rPr>
              <w:t>-N。主要污染物COD约为400mg/L，BOD</w:t>
            </w:r>
            <w:r>
              <w:rPr>
                <w:bCs/>
                <w:sz w:val="24"/>
                <w:vertAlign w:val="subscript"/>
              </w:rPr>
              <w:t>5</w:t>
            </w:r>
            <w:r>
              <w:rPr>
                <w:bCs/>
                <w:sz w:val="24"/>
              </w:rPr>
              <w:t>约为200mg/L，SS约为250mg/L、NH</w:t>
            </w:r>
            <w:r>
              <w:rPr>
                <w:bCs/>
                <w:sz w:val="24"/>
                <w:vertAlign w:val="subscript"/>
              </w:rPr>
              <w:t>3</w:t>
            </w:r>
            <w:r>
              <w:rPr>
                <w:bCs/>
                <w:sz w:val="24"/>
              </w:rPr>
              <w:t>-N约为25mg/L。</w:t>
            </w:r>
          </w:p>
          <w:p>
            <w:pPr>
              <w:spacing w:line="360" w:lineRule="auto"/>
              <w:ind w:firstLine="480" w:firstLineChars="200"/>
              <w:rPr>
                <w:bCs/>
                <w:sz w:val="24"/>
              </w:rPr>
            </w:pPr>
            <w:r>
              <w:rPr>
                <w:bCs/>
                <w:sz w:val="24"/>
              </w:rPr>
              <w:t>井场旁新建生态一体化厕所1座，生活污水经生态一体化厕所收集后由吸污车转运至</w:t>
            </w:r>
            <w:r>
              <w:rPr>
                <w:rFonts w:hint="eastAsia"/>
                <w:bCs/>
                <w:sz w:val="24"/>
              </w:rPr>
              <w:t>大成镇</w:t>
            </w:r>
            <w:r>
              <w:rPr>
                <w:bCs/>
                <w:sz w:val="24"/>
              </w:rPr>
              <w:t>污水处理厂处理，现场不外排；生活区设1座10m</w:t>
            </w:r>
            <w:r>
              <w:rPr>
                <w:bCs/>
                <w:sz w:val="24"/>
                <w:vertAlign w:val="superscript"/>
              </w:rPr>
              <w:t>3</w:t>
            </w:r>
            <w:r>
              <w:rPr>
                <w:bCs/>
                <w:sz w:val="24"/>
              </w:rPr>
              <w:t>的污水隔油池处理后同生活污水处理，不外排。</w:t>
            </w:r>
          </w:p>
          <w:p>
            <w:pPr>
              <w:pStyle w:val="20"/>
              <w:tabs>
                <w:tab w:val="left" w:pos="0"/>
                <w:tab w:val="left" w:pos="833"/>
              </w:tabs>
              <w:spacing w:before="0" w:after="0" w:line="360" w:lineRule="auto"/>
              <w:ind w:left="420" w:right="0"/>
              <w:jc w:val="center"/>
              <w:rPr>
                <w:b/>
                <w:bCs/>
                <w:sz w:val="21"/>
                <w:szCs w:val="21"/>
              </w:rPr>
            </w:pPr>
            <w:r>
              <w:rPr>
                <w:b/>
                <w:bCs/>
                <w:sz w:val="21"/>
                <w:szCs w:val="21"/>
              </w:rPr>
              <w:t>表4-5 生活污水产生量情况一览表    单位：mg/L，pH无量纲</w:t>
            </w:r>
          </w:p>
          <w:tbl>
            <w:tblPr>
              <w:tblStyle w:val="44"/>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6"/>
                    <w:tabs>
                      <w:tab w:val="left" w:pos="2321"/>
                    </w:tabs>
                    <w:spacing w:line="240" w:lineRule="auto"/>
                    <w:jc w:val="center"/>
                    <w:rPr>
                      <w:sz w:val="21"/>
                      <w:szCs w:val="21"/>
                    </w:rPr>
                  </w:pPr>
                  <w:r>
                    <w:rPr>
                      <w:sz w:val="21"/>
                      <w:szCs w:val="21"/>
                    </w:rPr>
                    <w:t>污染物</w:t>
                  </w:r>
                </w:p>
              </w:tc>
              <w:tc>
                <w:tcPr>
                  <w:tcW w:w="1277" w:type="dxa"/>
                  <w:tcBorders>
                    <w:tl2br w:val="nil"/>
                    <w:tr2bl w:val="nil"/>
                  </w:tcBorders>
                  <w:vAlign w:val="center"/>
                </w:tcPr>
                <w:p>
                  <w:pPr>
                    <w:pStyle w:val="26"/>
                    <w:tabs>
                      <w:tab w:val="left" w:pos="2321"/>
                    </w:tabs>
                    <w:spacing w:line="240" w:lineRule="auto"/>
                    <w:jc w:val="center"/>
                    <w:rPr>
                      <w:sz w:val="21"/>
                      <w:szCs w:val="21"/>
                    </w:rPr>
                  </w:pPr>
                  <w:r>
                    <w:rPr>
                      <w:sz w:val="21"/>
                      <w:szCs w:val="21"/>
                    </w:rPr>
                    <w:t>污水量m</w:t>
                  </w:r>
                  <w:r>
                    <w:rPr>
                      <w:sz w:val="21"/>
                      <w:szCs w:val="21"/>
                      <w:vertAlign w:val="superscript"/>
                    </w:rPr>
                    <w:t>3</w:t>
                  </w:r>
                </w:p>
              </w:tc>
              <w:tc>
                <w:tcPr>
                  <w:tcW w:w="992" w:type="dxa"/>
                  <w:tcBorders>
                    <w:tl2br w:val="nil"/>
                    <w:tr2bl w:val="nil"/>
                  </w:tcBorders>
                  <w:vAlign w:val="center"/>
                </w:tcPr>
                <w:p>
                  <w:pPr>
                    <w:pStyle w:val="26"/>
                    <w:tabs>
                      <w:tab w:val="left" w:pos="2321"/>
                    </w:tabs>
                    <w:spacing w:line="240" w:lineRule="auto"/>
                    <w:jc w:val="center"/>
                    <w:rPr>
                      <w:sz w:val="21"/>
                      <w:szCs w:val="21"/>
                    </w:rPr>
                  </w:pPr>
                  <w:r>
                    <w:rPr>
                      <w:sz w:val="21"/>
                      <w:szCs w:val="21"/>
                    </w:rPr>
                    <w:t>pH</w:t>
                  </w:r>
                </w:p>
              </w:tc>
              <w:tc>
                <w:tcPr>
                  <w:tcW w:w="1134" w:type="dxa"/>
                  <w:tcBorders>
                    <w:tl2br w:val="nil"/>
                    <w:tr2bl w:val="nil"/>
                  </w:tcBorders>
                  <w:vAlign w:val="center"/>
                </w:tcPr>
                <w:p>
                  <w:pPr>
                    <w:pStyle w:val="26"/>
                    <w:tabs>
                      <w:tab w:val="left" w:pos="2321"/>
                    </w:tabs>
                    <w:spacing w:line="240" w:lineRule="auto"/>
                    <w:jc w:val="center"/>
                    <w:rPr>
                      <w:sz w:val="21"/>
                      <w:szCs w:val="21"/>
                    </w:rPr>
                  </w:pPr>
                  <w:r>
                    <w:rPr>
                      <w:sz w:val="21"/>
                      <w:szCs w:val="21"/>
                    </w:rPr>
                    <w:t>COD</w:t>
                  </w:r>
                </w:p>
              </w:tc>
              <w:tc>
                <w:tcPr>
                  <w:tcW w:w="1277" w:type="dxa"/>
                  <w:tcBorders>
                    <w:tl2br w:val="nil"/>
                    <w:tr2bl w:val="nil"/>
                  </w:tcBorders>
                  <w:vAlign w:val="center"/>
                </w:tcPr>
                <w:p>
                  <w:pPr>
                    <w:pStyle w:val="26"/>
                    <w:tabs>
                      <w:tab w:val="left" w:pos="2321"/>
                    </w:tabs>
                    <w:spacing w:line="240" w:lineRule="auto"/>
                    <w:jc w:val="center"/>
                    <w:rPr>
                      <w:sz w:val="21"/>
                      <w:szCs w:val="21"/>
                    </w:rPr>
                  </w:pPr>
                  <w:r>
                    <w:rPr>
                      <w:sz w:val="21"/>
                      <w:szCs w:val="21"/>
                    </w:rPr>
                    <w:t>BOD</w:t>
                  </w:r>
                  <w:r>
                    <w:rPr>
                      <w:sz w:val="21"/>
                      <w:szCs w:val="21"/>
                      <w:vertAlign w:val="subscript"/>
                    </w:rPr>
                    <w:t>5</w:t>
                  </w:r>
                </w:p>
              </w:tc>
              <w:tc>
                <w:tcPr>
                  <w:tcW w:w="1277" w:type="dxa"/>
                  <w:tcBorders>
                    <w:tl2br w:val="nil"/>
                    <w:tr2bl w:val="nil"/>
                  </w:tcBorders>
                  <w:vAlign w:val="center"/>
                </w:tcPr>
                <w:p>
                  <w:pPr>
                    <w:pStyle w:val="26"/>
                    <w:tabs>
                      <w:tab w:val="left" w:pos="2321"/>
                    </w:tabs>
                    <w:spacing w:line="240" w:lineRule="auto"/>
                    <w:jc w:val="center"/>
                    <w:rPr>
                      <w:sz w:val="21"/>
                      <w:szCs w:val="21"/>
                    </w:rPr>
                  </w:pPr>
                  <w:r>
                    <w:rPr>
                      <w:sz w:val="21"/>
                      <w:szCs w:val="21"/>
                    </w:rPr>
                    <w:t>NH</w:t>
                  </w:r>
                  <w:r>
                    <w:rPr>
                      <w:sz w:val="21"/>
                      <w:szCs w:val="21"/>
                      <w:vertAlign w:val="subscript"/>
                    </w:rPr>
                    <w:t>3</w:t>
                  </w:r>
                  <w:r>
                    <w:rPr>
                      <w:sz w:val="21"/>
                      <w:szCs w:val="21"/>
                    </w:rPr>
                    <w:t>-N</w:t>
                  </w:r>
                </w:p>
              </w:tc>
              <w:tc>
                <w:tcPr>
                  <w:tcW w:w="1002" w:type="dxa"/>
                  <w:tcBorders>
                    <w:tl2br w:val="nil"/>
                    <w:tr2bl w:val="nil"/>
                  </w:tcBorders>
                  <w:vAlign w:val="center"/>
                </w:tcPr>
                <w:p>
                  <w:pPr>
                    <w:pStyle w:val="26"/>
                    <w:tabs>
                      <w:tab w:val="left" w:pos="2321"/>
                    </w:tabs>
                    <w:spacing w:line="240" w:lineRule="auto"/>
                    <w:jc w:val="center"/>
                    <w:rPr>
                      <w:sz w:val="21"/>
                      <w:szCs w:val="21"/>
                    </w:rPr>
                  </w:pPr>
                  <w:r>
                    <w:rPr>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6"/>
                    <w:tabs>
                      <w:tab w:val="left" w:pos="2321"/>
                    </w:tabs>
                    <w:spacing w:line="240" w:lineRule="auto"/>
                    <w:jc w:val="center"/>
                    <w:rPr>
                      <w:sz w:val="21"/>
                      <w:szCs w:val="21"/>
                    </w:rPr>
                  </w:pPr>
                  <w:r>
                    <w:rPr>
                      <w:sz w:val="21"/>
                      <w:szCs w:val="21"/>
                    </w:rPr>
                    <w:t>生活污水</w:t>
                  </w:r>
                </w:p>
              </w:tc>
              <w:tc>
                <w:tcPr>
                  <w:tcW w:w="1277" w:type="dxa"/>
                  <w:tcBorders>
                    <w:tl2br w:val="nil"/>
                    <w:tr2bl w:val="nil"/>
                  </w:tcBorders>
                  <w:vAlign w:val="center"/>
                </w:tcPr>
                <w:p>
                  <w:pPr>
                    <w:pStyle w:val="26"/>
                    <w:tabs>
                      <w:tab w:val="left" w:pos="2321"/>
                    </w:tabs>
                    <w:spacing w:line="240" w:lineRule="auto"/>
                    <w:jc w:val="center"/>
                    <w:rPr>
                      <w:sz w:val="21"/>
                      <w:szCs w:val="21"/>
                    </w:rPr>
                  </w:pPr>
                  <w:r>
                    <w:rPr>
                      <w:rFonts w:hint="eastAsia"/>
                      <w:sz w:val="21"/>
                      <w:szCs w:val="21"/>
                    </w:rPr>
                    <w:t>216</w:t>
                  </w:r>
                </w:p>
              </w:tc>
              <w:tc>
                <w:tcPr>
                  <w:tcW w:w="992" w:type="dxa"/>
                  <w:tcBorders>
                    <w:tl2br w:val="nil"/>
                    <w:tr2bl w:val="nil"/>
                  </w:tcBorders>
                  <w:vAlign w:val="center"/>
                </w:tcPr>
                <w:p>
                  <w:pPr>
                    <w:pStyle w:val="26"/>
                    <w:tabs>
                      <w:tab w:val="left" w:pos="2321"/>
                    </w:tabs>
                    <w:spacing w:line="240" w:lineRule="auto"/>
                    <w:jc w:val="center"/>
                    <w:rPr>
                      <w:sz w:val="21"/>
                      <w:szCs w:val="21"/>
                    </w:rPr>
                  </w:pPr>
                  <w:r>
                    <w:rPr>
                      <w:sz w:val="21"/>
                      <w:szCs w:val="21"/>
                    </w:rPr>
                    <w:t>6~9</w:t>
                  </w:r>
                </w:p>
              </w:tc>
              <w:tc>
                <w:tcPr>
                  <w:tcW w:w="1134" w:type="dxa"/>
                  <w:tcBorders>
                    <w:tl2br w:val="nil"/>
                    <w:tr2bl w:val="nil"/>
                  </w:tcBorders>
                  <w:vAlign w:val="center"/>
                </w:tcPr>
                <w:p>
                  <w:pPr>
                    <w:pStyle w:val="26"/>
                    <w:tabs>
                      <w:tab w:val="left" w:pos="2321"/>
                    </w:tabs>
                    <w:spacing w:line="240" w:lineRule="auto"/>
                    <w:jc w:val="center"/>
                    <w:rPr>
                      <w:sz w:val="21"/>
                      <w:szCs w:val="21"/>
                    </w:rPr>
                  </w:pPr>
                  <w:r>
                    <w:rPr>
                      <w:sz w:val="21"/>
                      <w:szCs w:val="21"/>
                    </w:rPr>
                    <w:t>400</w:t>
                  </w:r>
                </w:p>
              </w:tc>
              <w:tc>
                <w:tcPr>
                  <w:tcW w:w="1277" w:type="dxa"/>
                  <w:tcBorders>
                    <w:tl2br w:val="nil"/>
                    <w:tr2bl w:val="nil"/>
                  </w:tcBorders>
                  <w:vAlign w:val="center"/>
                </w:tcPr>
                <w:p>
                  <w:pPr>
                    <w:pStyle w:val="26"/>
                    <w:tabs>
                      <w:tab w:val="left" w:pos="2321"/>
                    </w:tabs>
                    <w:spacing w:line="240" w:lineRule="auto"/>
                    <w:jc w:val="center"/>
                    <w:rPr>
                      <w:sz w:val="21"/>
                      <w:szCs w:val="21"/>
                    </w:rPr>
                  </w:pPr>
                  <w:r>
                    <w:rPr>
                      <w:sz w:val="21"/>
                      <w:szCs w:val="21"/>
                    </w:rPr>
                    <w:t>200</w:t>
                  </w:r>
                </w:p>
              </w:tc>
              <w:tc>
                <w:tcPr>
                  <w:tcW w:w="1277" w:type="dxa"/>
                  <w:tcBorders>
                    <w:tl2br w:val="nil"/>
                    <w:tr2bl w:val="nil"/>
                  </w:tcBorders>
                  <w:vAlign w:val="center"/>
                </w:tcPr>
                <w:p>
                  <w:pPr>
                    <w:pStyle w:val="26"/>
                    <w:tabs>
                      <w:tab w:val="left" w:pos="2321"/>
                    </w:tabs>
                    <w:spacing w:line="240" w:lineRule="auto"/>
                    <w:jc w:val="center"/>
                    <w:rPr>
                      <w:sz w:val="21"/>
                      <w:szCs w:val="21"/>
                    </w:rPr>
                  </w:pPr>
                  <w:r>
                    <w:rPr>
                      <w:sz w:val="21"/>
                      <w:szCs w:val="21"/>
                    </w:rPr>
                    <w:t>25</w:t>
                  </w:r>
                </w:p>
              </w:tc>
              <w:tc>
                <w:tcPr>
                  <w:tcW w:w="1002" w:type="dxa"/>
                  <w:tcBorders>
                    <w:tl2br w:val="nil"/>
                    <w:tr2bl w:val="nil"/>
                  </w:tcBorders>
                  <w:vAlign w:val="center"/>
                </w:tcPr>
                <w:p>
                  <w:pPr>
                    <w:pStyle w:val="26"/>
                    <w:tabs>
                      <w:tab w:val="left" w:pos="2321"/>
                    </w:tabs>
                    <w:spacing w:line="240" w:lineRule="auto"/>
                    <w:jc w:val="center"/>
                    <w:rPr>
                      <w:sz w:val="21"/>
                      <w:szCs w:val="21"/>
                    </w:rPr>
                  </w:pPr>
                  <w:r>
                    <w:rPr>
                      <w:sz w:val="21"/>
                      <w:szCs w:val="21"/>
                    </w:rPr>
                    <w:t>250</w:t>
                  </w:r>
                </w:p>
              </w:tc>
            </w:tr>
          </w:tbl>
          <w:p>
            <w:pPr>
              <w:tabs>
                <w:tab w:val="left" w:pos="2321"/>
              </w:tabs>
              <w:overflowPunct w:val="0"/>
              <w:autoSpaceDE w:val="0"/>
              <w:spacing w:line="360" w:lineRule="auto"/>
              <w:ind w:firstLine="480" w:firstLineChars="200"/>
              <w:rPr>
                <w:sz w:val="24"/>
              </w:rPr>
            </w:pPr>
            <w:r>
              <w:rPr>
                <w:sz w:val="24"/>
              </w:rPr>
              <w:t>（2）环境影响分析</w:t>
            </w:r>
          </w:p>
          <w:p>
            <w:pPr>
              <w:tabs>
                <w:tab w:val="left" w:pos="2321"/>
              </w:tabs>
              <w:overflowPunct w:val="0"/>
              <w:autoSpaceDE w:val="0"/>
              <w:spacing w:line="360" w:lineRule="auto"/>
              <w:ind w:firstLine="480" w:firstLineChars="200"/>
              <w:rPr>
                <w:sz w:val="24"/>
              </w:rPr>
            </w:pPr>
            <w:r>
              <w:rPr>
                <w:sz w:val="24"/>
              </w:rPr>
              <w:t>本项目钻井阶段产生的废水主要包括钻井液钻进阶段产生的钻井废水、场地雨水及生活污水。</w:t>
            </w:r>
          </w:p>
          <w:p>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场地雨水</w:t>
            </w:r>
          </w:p>
          <w:p>
            <w:pPr>
              <w:tabs>
                <w:tab w:val="left" w:pos="2321"/>
              </w:tabs>
              <w:overflowPunct w:val="0"/>
              <w:autoSpaceDE w:val="0"/>
              <w:spacing w:line="360" w:lineRule="auto"/>
              <w:ind w:firstLine="480" w:firstLineChars="200"/>
              <w:rPr>
                <w:sz w:val="24"/>
              </w:rPr>
            </w:pPr>
            <w:r>
              <w:rPr>
                <w:sz w:val="24"/>
              </w:rPr>
              <w:t>本项目钻井期间井场方井区域产生的方井雨水约为15m</w:t>
            </w:r>
            <w:r>
              <w:rPr>
                <w:sz w:val="24"/>
                <w:vertAlign w:val="superscript"/>
              </w:rPr>
              <w:t>3</w:t>
            </w:r>
            <w:r>
              <w:rPr>
                <w:sz w:val="24"/>
              </w:rPr>
              <w:t>，主要污染物为石油类和SS。方井雨水定期通过泵泵入</w:t>
            </w:r>
            <w:r>
              <w:rPr>
                <w:rFonts w:hint="eastAsia"/>
                <w:sz w:val="24"/>
              </w:rPr>
              <w:t>废水池</w:t>
            </w:r>
            <w:r>
              <w:rPr>
                <w:sz w:val="24"/>
              </w:rPr>
              <w:t>中，用于项目后期配制压裂液，不外排，因此不会对周边地表水环境造成影响。</w:t>
            </w:r>
          </w:p>
          <w:p>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钻井废水</w:t>
            </w:r>
          </w:p>
          <w:p>
            <w:pPr>
              <w:tabs>
                <w:tab w:val="left" w:pos="2321"/>
              </w:tabs>
              <w:overflowPunct w:val="0"/>
              <w:autoSpaceDE w:val="0"/>
              <w:spacing w:line="360" w:lineRule="auto"/>
              <w:ind w:firstLine="480" w:firstLineChars="200"/>
              <w:rPr>
                <w:sz w:val="24"/>
              </w:rPr>
            </w:pPr>
            <w:r>
              <w:rPr>
                <w:sz w:val="24"/>
              </w:rPr>
              <w:t>本项目钻井废水最终产生的量约1</w:t>
            </w:r>
            <w:r>
              <w:rPr>
                <w:rFonts w:hint="eastAsia"/>
                <w:sz w:val="24"/>
              </w:rPr>
              <w:t>7.2</w:t>
            </w:r>
            <w:r>
              <w:rPr>
                <w:sz w:val="24"/>
              </w:rPr>
              <w:t>m</w:t>
            </w:r>
            <w:r>
              <w:rPr>
                <w:sz w:val="24"/>
                <w:vertAlign w:val="superscript"/>
              </w:rPr>
              <w:t>3</w:t>
            </w:r>
            <w:r>
              <w:rPr>
                <w:sz w:val="24"/>
              </w:rPr>
              <w:t>，暂存于废水罐中，用于配制压裂液，不外排，因此不会对周边地表水环境造成影响。</w:t>
            </w:r>
          </w:p>
          <w:p>
            <w:pPr>
              <w:tabs>
                <w:tab w:val="left" w:pos="2321"/>
              </w:tabs>
              <w:overflowPunct w:val="0"/>
              <w:autoSpaceDE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生活污水</w:t>
            </w:r>
          </w:p>
          <w:p>
            <w:pPr>
              <w:tabs>
                <w:tab w:val="left" w:pos="2321"/>
              </w:tabs>
              <w:overflowPunct w:val="0"/>
              <w:autoSpaceDE w:val="0"/>
              <w:spacing w:line="360" w:lineRule="auto"/>
              <w:ind w:firstLine="480" w:firstLineChars="200"/>
              <w:rPr>
                <w:sz w:val="24"/>
              </w:rPr>
            </w:pPr>
            <w:r>
              <w:rPr>
                <w:sz w:val="24"/>
              </w:rPr>
              <w:t>本项目井场及生活区设置生态一体化厕所，生活污水经生态一体化厕所收集后由吸污车运至</w:t>
            </w:r>
            <w:r>
              <w:rPr>
                <w:rFonts w:hint="eastAsia"/>
                <w:sz w:val="24"/>
              </w:rPr>
              <w:t>大成镇</w:t>
            </w:r>
            <w:r>
              <w:rPr>
                <w:sz w:val="24"/>
              </w:rPr>
              <w:t>污水处理厂处理后排放，</w:t>
            </w:r>
            <w:r>
              <w:rPr>
                <w:bCs/>
                <w:sz w:val="24"/>
              </w:rPr>
              <w:t>对地表水环境影响小。</w:t>
            </w:r>
          </w:p>
          <w:p>
            <w:pPr>
              <w:tabs>
                <w:tab w:val="left" w:pos="2321"/>
              </w:tabs>
              <w:overflowPunct w:val="0"/>
              <w:autoSpaceDE w:val="0"/>
              <w:spacing w:line="360" w:lineRule="auto"/>
              <w:ind w:firstLine="480" w:firstLineChars="200"/>
              <w:rPr>
                <w:sz w:val="24"/>
              </w:rPr>
            </w:pPr>
            <w:r>
              <w:rPr>
                <w:sz w:val="24"/>
              </w:rPr>
              <w:t>综上所述，采取以上措施后，废水对周边环境影响较小。</w:t>
            </w:r>
          </w:p>
          <w:p>
            <w:pPr>
              <w:spacing w:line="360" w:lineRule="auto"/>
              <w:rPr>
                <w:b/>
                <w:sz w:val="24"/>
              </w:rPr>
            </w:pPr>
            <w:r>
              <w:rPr>
                <w:b/>
                <w:sz w:val="24"/>
              </w:rPr>
              <w:t>4.2.3噪声环境影响分析</w:t>
            </w:r>
          </w:p>
          <w:p>
            <w:pPr>
              <w:tabs>
                <w:tab w:val="left" w:pos="2321"/>
              </w:tabs>
              <w:overflowPunct w:val="0"/>
              <w:autoSpaceDE w:val="0"/>
              <w:spacing w:line="360" w:lineRule="auto"/>
              <w:ind w:firstLine="480" w:firstLineChars="200"/>
              <w:rPr>
                <w:bCs/>
                <w:sz w:val="24"/>
              </w:rPr>
            </w:pPr>
            <w:r>
              <w:rPr>
                <w:bCs/>
                <w:sz w:val="24"/>
              </w:rPr>
              <w:t>（1）噪声源强</w:t>
            </w:r>
          </w:p>
          <w:p>
            <w:pPr>
              <w:spacing w:line="360" w:lineRule="auto"/>
              <w:ind w:firstLine="480" w:firstLineChars="200"/>
              <w:rPr>
                <w:sz w:val="24"/>
              </w:rPr>
            </w:pPr>
            <w:r>
              <w:rPr>
                <w:sz w:val="24"/>
              </w:rPr>
              <w:t>工程噪声主要为钻井作业过程的钻机、振动筛、离心机等设备运行产生的机械噪声等，由于本项目钻井过程为24小时连续运行，钻井工程主要噪声源设备噪声值见下表。</w:t>
            </w:r>
          </w:p>
          <w:p>
            <w:pPr>
              <w:pStyle w:val="20"/>
              <w:tabs>
                <w:tab w:val="left" w:pos="0"/>
                <w:tab w:val="left" w:pos="833"/>
              </w:tabs>
              <w:spacing w:before="0" w:after="0" w:line="360" w:lineRule="auto"/>
              <w:ind w:left="420" w:right="0"/>
              <w:jc w:val="center"/>
              <w:rPr>
                <w:b/>
                <w:sz w:val="21"/>
                <w:szCs w:val="21"/>
              </w:rPr>
            </w:pPr>
            <w:r>
              <w:rPr>
                <w:b/>
                <w:sz w:val="21"/>
                <w:szCs w:val="21"/>
              </w:rPr>
              <w:t>表4-6 钻井工程主要噪声源特性</w:t>
            </w:r>
          </w:p>
          <w:tbl>
            <w:tblPr>
              <w:tblStyle w:val="44"/>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36"/>
              <w:gridCol w:w="839"/>
              <w:gridCol w:w="698"/>
              <w:gridCol w:w="699"/>
              <w:gridCol w:w="774"/>
              <w:gridCol w:w="700"/>
              <w:gridCol w:w="1601"/>
              <w:gridCol w:w="698"/>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71" w:type="dxa"/>
                  <w:vMerge w:val="restart"/>
                  <w:tcBorders>
                    <w:tl2br w:val="nil"/>
                    <w:tr2bl w:val="nil"/>
                  </w:tcBorders>
                  <w:vAlign w:val="center"/>
                </w:tcPr>
                <w:p>
                  <w:pPr>
                    <w:contextualSpacing/>
                    <w:jc w:val="center"/>
                  </w:pPr>
                  <w:r>
                    <w:rPr>
                      <w:kern w:val="0"/>
                    </w:rPr>
                    <w:t>序号</w:t>
                  </w:r>
                </w:p>
              </w:tc>
              <w:tc>
                <w:tcPr>
                  <w:tcW w:w="1575" w:type="dxa"/>
                  <w:gridSpan w:val="2"/>
                  <w:vMerge w:val="restart"/>
                  <w:tcBorders>
                    <w:tl2br w:val="nil"/>
                    <w:tr2bl w:val="nil"/>
                  </w:tcBorders>
                  <w:vAlign w:val="center"/>
                </w:tcPr>
                <w:p>
                  <w:pPr>
                    <w:contextualSpacing/>
                    <w:jc w:val="center"/>
                  </w:pPr>
                  <w:r>
                    <w:rPr>
                      <w:kern w:val="0"/>
                    </w:rPr>
                    <w:t>声源名称</w:t>
                  </w:r>
                </w:p>
              </w:tc>
              <w:tc>
                <w:tcPr>
                  <w:tcW w:w="698" w:type="dxa"/>
                  <w:vMerge w:val="restart"/>
                  <w:tcBorders>
                    <w:tl2br w:val="nil"/>
                    <w:tr2bl w:val="nil"/>
                  </w:tcBorders>
                  <w:vAlign w:val="center"/>
                </w:tcPr>
                <w:p>
                  <w:pPr>
                    <w:contextualSpacing/>
                    <w:jc w:val="center"/>
                    <w:rPr>
                      <w:kern w:val="0"/>
                    </w:rPr>
                  </w:pPr>
                  <w:r>
                    <w:rPr>
                      <w:kern w:val="0"/>
                    </w:rPr>
                    <w:t>型号</w:t>
                  </w:r>
                </w:p>
              </w:tc>
              <w:tc>
                <w:tcPr>
                  <w:tcW w:w="2173" w:type="dxa"/>
                  <w:gridSpan w:val="3"/>
                  <w:tcBorders>
                    <w:tl2br w:val="nil"/>
                    <w:tr2bl w:val="nil"/>
                  </w:tcBorders>
                  <w:vAlign w:val="center"/>
                </w:tcPr>
                <w:p>
                  <w:pPr>
                    <w:contextualSpacing/>
                    <w:jc w:val="center"/>
                    <w:rPr>
                      <w:kern w:val="0"/>
                    </w:rPr>
                  </w:pPr>
                  <w:r>
                    <w:rPr>
                      <w:kern w:val="0"/>
                    </w:rPr>
                    <w:t>空间相对位置/m</w:t>
                  </w:r>
                </w:p>
              </w:tc>
              <w:tc>
                <w:tcPr>
                  <w:tcW w:w="1601" w:type="dxa"/>
                  <w:vMerge w:val="restart"/>
                  <w:tcBorders>
                    <w:tl2br w:val="nil"/>
                    <w:tr2bl w:val="nil"/>
                  </w:tcBorders>
                  <w:vAlign w:val="center"/>
                </w:tcPr>
                <w:p>
                  <w:pPr>
                    <w:contextualSpacing/>
                    <w:jc w:val="center"/>
                    <w:rPr>
                      <w:kern w:val="0"/>
                    </w:rPr>
                  </w:pPr>
                  <w:r>
                    <w:rPr>
                      <w:kern w:val="0"/>
                    </w:rPr>
                    <w:t>声源源强</w:t>
                  </w:r>
                </w:p>
                <w:p>
                  <w:pPr>
                    <w:contextualSpacing/>
                    <w:jc w:val="center"/>
                  </w:pPr>
                  <w:r>
                    <w:rPr>
                      <w:kern w:val="0"/>
                    </w:rPr>
                    <w:t>（声压级/距声源距离）/（dB(A)/m）</w:t>
                  </w:r>
                </w:p>
              </w:tc>
              <w:tc>
                <w:tcPr>
                  <w:tcW w:w="698" w:type="dxa"/>
                  <w:vMerge w:val="restart"/>
                  <w:tcBorders>
                    <w:tl2br w:val="nil"/>
                    <w:tr2bl w:val="nil"/>
                  </w:tcBorders>
                  <w:vAlign w:val="center"/>
                </w:tcPr>
                <w:p>
                  <w:pPr>
                    <w:contextualSpacing/>
                    <w:jc w:val="center"/>
                  </w:pPr>
                  <w:r>
                    <w:t>声源控制措施</w:t>
                  </w:r>
                </w:p>
              </w:tc>
              <w:tc>
                <w:tcPr>
                  <w:tcW w:w="802" w:type="dxa"/>
                  <w:vMerge w:val="restart"/>
                  <w:tcBorders>
                    <w:tl2br w:val="nil"/>
                    <w:tr2bl w:val="nil"/>
                  </w:tcBorders>
                  <w:vAlign w:val="center"/>
                </w:tcPr>
                <w:p>
                  <w:pPr>
                    <w:contextualSpacing/>
                    <w:jc w:val="center"/>
                  </w:pPr>
                  <w:r>
                    <w:rPr>
                      <w:kern w:val="0"/>
                    </w:rPr>
                    <w:t>运行时间(h)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671" w:type="dxa"/>
                  <w:vMerge w:val="continue"/>
                  <w:tcBorders>
                    <w:tl2br w:val="nil"/>
                    <w:tr2bl w:val="nil"/>
                  </w:tcBorders>
                  <w:vAlign w:val="center"/>
                </w:tcPr>
                <w:p>
                  <w:pPr>
                    <w:contextualSpacing/>
                    <w:jc w:val="center"/>
                    <w:rPr>
                      <w:kern w:val="0"/>
                    </w:rPr>
                  </w:pPr>
                </w:p>
              </w:tc>
              <w:tc>
                <w:tcPr>
                  <w:tcW w:w="1575" w:type="dxa"/>
                  <w:gridSpan w:val="2"/>
                  <w:vMerge w:val="continue"/>
                  <w:tcBorders>
                    <w:tl2br w:val="nil"/>
                    <w:tr2bl w:val="nil"/>
                  </w:tcBorders>
                  <w:vAlign w:val="center"/>
                </w:tcPr>
                <w:p>
                  <w:pPr>
                    <w:contextualSpacing/>
                    <w:jc w:val="center"/>
                    <w:rPr>
                      <w:kern w:val="0"/>
                    </w:rPr>
                  </w:pPr>
                </w:p>
              </w:tc>
              <w:tc>
                <w:tcPr>
                  <w:tcW w:w="698" w:type="dxa"/>
                  <w:vMerge w:val="continue"/>
                  <w:tcBorders>
                    <w:tl2br w:val="nil"/>
                    <w:tr2bl w:val="nil"/>
                  </w:tcBorders>
                  <w:vAlign w:val="center"/>
                </w:tcPr>
                <w:p>
                  <w:pPr>
                    <w:contextualSpacing/>
                    <w:jc w:val="center"/>
                    <w:rPr>
                      <w:kern w:val="0"/>
                    </w:rPr>
                  </w:pPr>
                </w:p>
              </w:tc>
              <w:tc>
                <w:tcPr>
                  <w:tcW w:w="699" w:type="dxa"/>
                  <w:tcBorders>
                    <w:tl2br w:val="nil"/>
                    <w:tr2bl w:val="nil"/>
                  </w:tcBorders>
                  <w:vAlign w:val="center"/>
                </w:tcPr>
                <w:p>
                  <w:pPr>
                    <w:contextualSpacing/>
                    <w:jc w:val="center"/>
                  </w:pPr>
                  <w:r>
                    <w:t>X</w:t>
                  </w:r>
                </w:p>
              </w:tc>
              <w:tc>
                <w:tcPr>
                  <w:tcW w:w="774" w:type="dxa"/>
                  <w:tcBorders>
                    <w:tl2br w:val="nil"/>
                    <w:tr2bl w:val="nil"/>
                  </w:tcBorders>
                  <w:vAlign w:val="center"/>
                </w:tcPr>
                <w:p>
                  <w:pPr>
                    <w:contextualSpacing/>
                    <w:jc w:val="center"/>
                  </w:pPr>
                  <w:r>
                    <w:t>Y</w:t>
                  </w:r>
                </w:p>
              </w:tc>
              <w:tc>
                <w:tcPr>
                  <w:tcW w:w="700" w:type="dxa"/>
                  <w:tcBorders>
                    <w:tl2br w:val="nil"/>
                    <w:tr2bl w:val="nil"/>
                  </w:tcBorders>
                  <w:vAlign w:val="center"/>
                </w:tcPr>
                <w:p>
                  <w:pPr>
                    <w:contextualSpacing/>
                    <w:jc w:val="center"/>
                    <w:rPr>
                      <w:kern w:val="0"/>
                    </w:rPr>
                  </w:pPr>
                  <w:r>
                    <w:rPr>
                      <w:kern w:val="0"/>
                    </w:rPr>
                    <w:t>Z</w:t>
                  </w:r>
                </w:p>
              </w:tc>
              <w:tc>
                <w:tcPr>
                  <w:tcW w:w="1601" w:type="dxa"/>
                  <w:vMerge w:val="continue"/>
                  <w:tcBorders>
                    <w:tl2br w:val="nil"/>
                    <w:tr2bl w:val="nil"/>
                  </w:tcBorders>
                  <w:vAlign w:val="center"/>
                </w:tcPr>
                <w:p>
                  <w:pPr>
                    <w:contextualSpacing/>
                    <w:jc w:val="center"/>
                    <w:rPr>
                      <w:kern w:val="0"/>
                    </w:rPr>
                  </w:pPr>
                </w:p>
              </w:tc>
              <w:tc>
                <w:tcPr>
                  <w:tcW w:w="698" w:type="dxa"/>
                  <w:vMerge w:val="continue"/>
                  <w:tcBorders>
                    <w:tl2br w:val="nil"/>
                    <w:tr2bl w:val="nil"/>
                  </w:tcBorders>
                  <w:vAlign w:val="center"/>
                </w:tcPr>
                <w:p>
                  <w:pPr>
                    <w:contextualSpacing/>
                    <w:jc w:val="center"/>
                    <w:rPr>
                      <w:kern w:val="0"/>
                    </w:rPr>
                  </w:pPr>
                </w:p>
              </w:tc>
              <w:tc>
                <w:tcPr>
                  <w:tcW w:w="802" w:type="dxa"/>
                  <w:vMerge w:val="continue"/>
                  <w:tcBorders>
                    <w:tl2br w:val="nil"/>
                    <w:tr2bl w:val="nil"/>
                  </w:tcBorders>
                  <w:vAlign w:val="center"/>
                </w:tcPr>
                <w:p>
                  <w:pPr>
                    <w:contextualSpacing/>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kern w:val="0"/>
                    </w:rPr>
                  </w:pPr>
                  <w:r>
                    <w:rPr>
                      <w:kern w:val="0"/>
                    </w:rPr>
                    <w:t>1</w:t>
                  </w:r>
                </w:p>
              </w:tc>
              <w:tc>
                <w:tcPr>
                  <w:tcW w:w="736" w:type="dxa"/>
                  <w:vMerge w:val="restart"/>
                  <w:tcBorders>
                    <w:tl2br w:val="nil"/>
                    <w:tr2bl w:val="nil"/>
                  </w:tcBorders>
                  <w:vAlign w:val="center"/>
                </w:tcPr>
                <w:p>
                  <w:pPr>
                    <w:jc w:val="center"/>
                    <w:rPr>
                      <w:bCs/>
                      <w:szCs w:val="21"/>
                    </w:rPr>
                  </w:pPr>
                  <w:r>
                    <w:rPr>
                      <w:bCs/>
                      <w:szCs w:val="21"/>
                    </w:rPr>
                    <w:t>钻井阶段</w:t>
                  </w:r>
                </w:p>
              </w:tc>
              <w:tc>
                <w:tcPr>
                  <w:tcW w:w="839" w:type="dxa"/>
                  <w:tcBorders>
                    <w:tl2br w:val="nil"/>
                    <w:tr2bl w:val="nil"/>
                  </w:tcBorders>
                  <w:vAlign w:val="center"/>
                </w:tcPr>
                <w:p>
                  <w:pPr>
                    <w:jc w:val="center"/>
                    <w:rPr>
                      <w:bCs/>
                      <w:szCs w:val="21"/>
                    </w:rPr>
                  </w:pPr>
                  <w:r>
                    <w:rPr>
                      <w:bCs/>
                      <w:szCs w:val="21"/>
                    </w:rPr>
                    <w:t>钻井设备</w:t>
                  </w:r>
                </w:p>
              </w:tc>
              <w:tc>
                <w:tcPr>
                  <w:tcW w:w="698" w:type="dxa"/>
                  <w:tcBorders>
                    <w:tl2br w:val="nil"/>
                    <w:tr2bl w:val="nil"/>
                  </w:tcBorders>
                  <w:vAlign w:val="center"/>
                </w:tcPr>
                <w:p>
                  <w:pPr>
                    <w:contextualSpacing/>
                    <w:jc w:val="center"/>
                    <w:rPr>
                      <w:kern w:val="0"/>
                    </w:rPr>
                  </w:pPr>
                  <w:r>
                    <w:rPr>
                      <w:kern w:val="0"/>
                    </w:rPr>
                    <w:t>/</w:t>
                  </w:r>
                </w:p>
              </w:tc>
              <w:tc>
                <w:tcPr>
                  <w:tcW w:w="699" w:type="dxa"/>
                  <w:tcBorders>
                    <w:tl2br w:val="nil"/>
                    <w:tr2bl w:val="nil"/>
                  </w:tcBorders>
                  <w:vAlign w:val="center"/>
                </w:tcPr>
                <w:p>
                  <w:pPr>
                    <w:widowControl/>
                    <w:jc w:val="center"/>
                    <w:textAlignment w:val="center"/>
                    <w:rPr>
                      <w:bCs/>
                      <w:szCs w:val="21"/>
                    </w:rPr>
                  </w:pPr>
                  <w:r>
                    <w:rPr>
                      <w:rFonts w:hint="eastAsia"/>
                      <w:bCs/>
                      <w:szCs w:val="21"/>
                    </w:rPr>
                    <w:t>7</w:t>
                  </w:r>
                </w:p>
              </w:tc>
              <w:tc>
                <w:tcPr>
                  <w:tcW w:w="774" w:type="dxa"/>
                  <w:tcBorders>
                    <w:tl2br w:val="nil"/>
                    <w:tr2bl w:val="nil"/>
                  </w:tcBorders>
                  <w:vAlign w:val="center"/>
                </w:tcPr>
                <w:p>
                  <w:pPr>
                    <w:widowControl/>
                    <w:jc w:val="center"/>
                    <w:textAlignment w:val="center"/>
                    <w:rPr>
                      <w:bCs/>
                      <w:szCs w:val="21"/>
                    </w:rPr>
                  </w:pPr>
                  <w:r>
                    <w:rPr>
                      <w:rFonts w:hint="eastAsia"/>
                      <w:bCs/>
                      <w:szCs w:val="21"/>
                    </w:rPr>
                    <w:t>-12</w:t>
                  </w:r>
                </w:p>
              </w:tc>
              <w:tc>
                <w:tcPr>
                  <w:tcW w:w="700" w:type="dxa"/>
                  <w:tcBorders>
                    <w:tl2br w:val="nil"/>
                    <w:tr2bl w:val="nil"/>
                  </w:tcBorders>
                  <w:vAlign w:val="center"/>
                </w:tcPr>
                <w:p>
                  <w:pPr>
                    <w:widowControl/>
                    <w:jc w:val="center"/>
                    <w:textAlignment w:val="center"/>
                    <w:rPr>
                      <w:bCs/>
                      <w:szCs w:val="21"/>
                    </w:rPr>
                  </w:pPr>
                  <w:r>
                    <w:rPr>
                      <w:rFonts w:hint="eastAsia"/>
                      <w:bCs/>
                      <w:szCs w:val="21"/>
                    </w:rPr>
                    <w:t>15</w:t>
                  </w:r>
                </w:p>
              </w:tc>
              <w:tc>
                <w:tcPr>
                  <w:tcW w:w="1601" w:type="dxa"/>
                  <w:tcBorders>
                    <w:tl2br w:val="nil"/>
                    <w:tr2bl w:val="nil"/>
                  </w:tcBorders>
                  <w:vAlign w:val="center"/>
                </w:tcPr>
                <w:p>
                  <w:pPr>
                    <w:jc w:val="center"/>
                    <w:rPr>
                      <w:bCs/>
                      <w:szCs w:val="21"/>
                    </w:rPr>
                  </w:pPr>
                  <w:r>
                    <w:rPr>
                      <w:rFonts w:hint="eastAsia"/>
                      <w:bCs/>
                      <w:szCs w:val="21"/>
                    </w:rPr>
                    <w:t>85</w:t>
                  </w:r>
                  <w:r>
                    <w:rPr>
                      <w:bCs/>
                      <w:szCs w:val="21"/>
                    </w:rPr>
                    <w:t>/1</w:t>
                  </w:r>
                </w:p>
              </w:tc>
              <w:tc>
                <w:tcPr>
                  <w:tcW w:w="698" w:type="dxa"/>
                  <w:tcBorders>
                    <w:tl2br w:val="nil"/>
                    <w:tr2bl w:val="nil"/>
                  </w:tcBorders>
                  <w:vAlign w:val="center"/>
                </w:tcPr>
                <w:p>
                  <w:pPr>
                    <w:contextualSpacing/>
                    <w:jc w:val="center"/>
                  </w:pPr>
                  <w:r>
                    <w:t>基础减震</w:t>
                  </w:r>
                </w:p>
              </w:tc>
              <w:tc>
                <w:tcPr>
                  <w:tcW w:w="802" w:type="dxa"/>
                  <w:tcBorders>
                    <w:tl2br w:val="nil"/>
                    <w:tr2bl w:val="nil"/>
                  </w:tcBorders>
                  <w:vAlign w:val="center"/>
                </w:tcPr>
                <w:p>
                  <w:pPr>
                    <w:contextualSpacing/>
                    <w:jc w:val="center"/>
                  </w:pPr>
                  <w:r>
                    <w:rPr>
                      <w:rFonts w:hint="eastAsia"/>
                    </w:rPr>
                    <w:t>72</w:t>
                  </w:r>
                  <w: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kern w:val="0"/>
                    </w:rPr>
                  </w:pPr>
                  <w:r>
                    <w:rPr>
                      <w:kern w:val="0"/>
                    </w:rPr>
                    <w:t>2</w:t>
                  </w:r>
                </w:p>
              </w:tc>
              <w:tc>
                <w:tcPr>
                  <w:tcW w:w="736" w:type="dxa"/>
                  <w:vMerge w:val="continue"/>
                  <w:tcBorders>
                    <w:tl2br w:val="nil"/>
                    <w:tr2bl w:val="nil"/>
                  </w:tcBorders>
                  <w:vAlign w:val="center"/>
                </w:tcPr>
                <w:p>
                  <w:pPr>
                    <w:jc w:val="center"/>
                    <w:rPr>
                      <w:bCs/>
                      <w:szCs w:val="21"/>
                    </w:rPr>
                  </w:pPr>
                </w:p>
              </w:tc>
              <w:tc>
                <w:tcPr>
                  <w:tcW w:w="839" w:type="dxa"/>
                  <w:tcBorders>
                    <w:tl2br w:val="nil"/>
                    <w:tr2bl w:val="nil"/>
                  </w:tcBorders>
                  <w:vAlign w:val="center"/>
                </w:tcPr>
                <w:p>
                  <w:pPr>
                    <w:jc w:val="center"/>
                    <w:rPr>
                      <w:bCs/>
                      <w:szCs w:val="21"/>
                    </w:rPr>
                  </w:pPr>
                  <w:r>
                    <w:rPr>
                      <w:bCs/>
                      <w:szCs w:val="21"/>
                    </w:rPr>
                    <w:t>泥浆泵</w:t>
                  </w:r>
                </w:p>
              </w:tc>
              <w:tc>
                <w:tcPr>
                  <w:tcW w:w="698" w:type="dxa"/>
                  <w:tcBorders>
                    <w:tl2br w:val="nil"/>
                    <w:tr2bl w:val="nil"/>
                  </w:tcBorders>
                  <w:vAlign w:val="center"/>
                </w:tcPr>
                <w:p>
                  <w:pPr>
                    <w:contextualSpacing/>
                    <w:jc w:val="center"/>
                    <w:rPr>
                      <w:kern w:val="0"/>
                    </w:rPr>
                  </w:pPr>
                  <w:r>
                    <w:rPr>
                      <w:kern w:val="0"/>
                    </w:rPr>
                    <w:t>/</w:t>
                  </w:r>
                </w:p>
              </w:tc>
              <w:tc>
                <w:tcPr>
                  <w:tcW w:w="699" w:type="dxa"/>
                  <w:tcBorders>
                    <w:tl2br w:val="nil"/>
                    <w:tr2bl w:val="nil"/>
                  </w:tcBorders>
                  <w:vAlign w:val="center"/>
                </w:tcPr>
                <w:p>
                  <w:pPr>
                    <w:widowControl/>
                    <w:jc w:val="center"/>
                    <w:textAlignment w:val="center"/>
                    <w:rPr>
                      <w:bCs/>
                      <w:szCs w:val="21"/>
                    </w:rPr>
                  </w:pPr>
                  <w:r>
                    <w:rPr>
                      <w:rFonts w:hint="eastAsia"/>
                      <w:bCs/>
                      <w:szCs w:val="21"/>
                    </w:rPr>
                    <w:t>-7</w:t>
                  </w:r>
                </w:p>
              </w:tc>
              <w:tc>
                <w:tcPr>
                  <w:tcW w:w="774" w:type="dxa"/>
                  <w:tcBorders>
                    <w:tl2br w:val="nil"/>
                    <w:tr2bl w:val="nil"/>
                  </w:tcBorders>
                  <w:vAlign w:val="center"/>
                </w:tcPr>
                <w:p>
                  <w:pPr>
                    <w:widowControl/>
                    <w:jc w:val="center"/>
                    <w:textAlignment w:val="center"/>
                    <w:rPr>
                      <w:bCs/>
                      <w:szCs w:val="21"/>
                    </w:rPr>
                  </w:pPr>
                  <w:r>
                    <w:rPr>
                      <w:rFonts w:hint="eastAsia"/>
                      <w:bCs/>
                      <w:szCs w:val="21"/>
                    </w:rPr>
                    <w:t>15</w:t>
                  </w:r>
                </w:p>
              </w:tc>
              <w:tc>
                <w:tcPr>
                  <w:tcW w:w="700" w:type="dxa"/>
                  <w:tcBorders>
                    <w:tl2br w:val="nil"/>
                    <w:tr2bl w:val="nil"/>
                  </w:tcBorders>
                  <w:vAlign w:val="center"/>
                </w:tcPr>
                <w:p>
                  <w:pPr>
                    <w:widowControl/>
                    <w:jc w:val="center"/>
                    <w:textAlignment w:val="center"/>
                    <w:rPr>
                      <w:bCs/>
                      <w:szCs w:val="21"/>
                    </w:rPr>
                  </w:pPr>
                  <w:r>
                    <w:rPr>
                      <w:rFonts w:hint="eastAsia"/>
                      <w:bCs/>
                      <w:szCs w:val="21"/>
                    </w:rPr>
                    <w:t>1.5</w:t>
                  </w:r>
                </w:p>
              </w:tc>
              <w:tc>
                <w:tcPr>
                  <w:tcW w:w="1601" w:type="dxa"/>
                  <w:tcBorders>
                    <w:tl2br w:val="nil"/>
                    <w:tr2bl w:val="nil"/>
                  </w:tcBorders>
                  <w:vAlign w:val="center"/>
                </w:tcPr>
                <w:p>
                  <w:pPr>
                    <w:jc w:val="center"/>
                    <w:rPr>
                      <w:bCs/>
                      <w:szCs w:val="21"/>
                    </w:rPr>
                  </w:pPr>
                  <w:r>
                    <w:rPr>
                      <w:rFonts w:hint="eastAsia"/>
                      <w:bCs/>
                      <w:szCs w:val="21"/>
                    </w:rPr>
                    <w:t>75</w:t>
                  </w:r>
                  <w:r>
                    <w:rPr>
                      <w:bCs/>
                      <w:szCs w:val="21"/>
                    </w:rPr>
                    <w:t>/1</w:t>
                  </w:r>
                </w:p>
              </w:tc>
              <w:tc>
                <w:tcPr>
                  <w:tcW w:w="698" w:type="dxa"/>
                  <w:tcBorders>
                    <w:tl2br w:val="nil"/>
                    <w:tr2bl w:val="nil"/>
                  </w:tcBorders>
                  <w:vAlign w:val="center"/>
                </w:tcPr>
                <w:p>
                  <w:pPr>
                    <w:contextualSpacing/>
                    <w:jc w:val="center"/>
                  </w:pPr>
                  <w:r>
                    <w:t>基础减震</w:t>
                  </w:r>
                </w:p>
              </w:tc>
              <w:tc>
                <w:tcPr>
                  <w:tcW w:w="802" w:type="dxa"/>
                  <w:tcBorders>
                    <w:tl2br w:val="nil"/>
                    <w:tr2bl w:val="nil"/>
                  </w:tcBorders>
                  <w:vAlign w:val="center"/>
                </w:tcPr>
                <w:p>
                  <w:pPr>
                    <w:contextualSpacing/>
                    <w:jc w:val="center"/>
                  </w:pPr>
                  <w:r>
                    <w:rPr>
                      <w:rFonts w:hint="eastAsia"/>
                    </w:rPr>
                    <w:t>72</w:t>
                  </w:r>
                  <w: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kern w:val="0"/>
                    </w:rPr>
                  </w:pPr>
                  <w:r>
                    <w:rPr>
                      <w:kern w:val="0"/>
                    </w:rPr>
                    <w:t>3</w:t>
                  </w:r>
                </w:p>
              </w:tc>
              <w:tc>
                <w:tcPr>
                  <w:tcW w:w="736" w:type="dxa"/>
                  <w:vMerge w:val="continue"/>
                  <w:tcBorders>
                    <w:tl2br w:val="nil"/>
                    <w:tr2bl w:val="nil"/>
                  </w:tcBorders>
                  <w:vAlign w:val="center"/>
                </w:tcPr>
                <w:p>
                  <w:pPr>
                    <w:jc w:val="center"/>
                    <w:rPr>
                      <w:bCs/>
                      <w:szCs w:val="21"/>
                    </w:rPr>
                  </w:pPr>
                </w:p>
              </w:tc>
              <w:tc>
                <w:tcPr>
                  <w:tcW w:w="839" w:type="dxa"/>
                  <w:tcBorders>
                    <w:tl2br w:val="nil"/>
                    <w:tr2bl w:val="nil"/>
                  </w:tcBorders>
                  <w:vAlign w:val="center"/>
                </w:tcPr>
                <w:p>
                  <w:pPr>
                    <w:jc w:val="center"/>
                    <w:rPr>
                      <w:bCs/>
                      <w:szCs w:val="21"/>
                    </w:rPr>
                  </w:pPr>
                  <w:r>
                    <w:rPr>
                      <w:bCs/>
                      <w:szCs w:val="21"/>
                    </w:rPr>
                    <w:t>振动筛</w:t>
                  </w:r>
                </w:p>
              </w:tc>
              <w:tc>
                <w:tcPr>
                  <w:tcW w:w="698" w:type="dxa"/>
                  <w:tcBorders>
                    <w:tl2br w:val="nil"/>
                    <w:tr2bl w:val="nil"/>
                  </w:tcBorders>
                  <w:vAlign w:val="center"/>
                </w:tcPr>
                <w:p>
                  <w:pPr>
                    <w:contextualSpacing/>
                    <w:jc w:val="center"/>
                    <w:rPr>
                      <w:kern w:val="0"/>
                    </w:rPr>
                  </w:pPr>
                  <w:r>
                    <w:rPr>
                      <w:kern w:val="0"/>
                    </w:rPr>
                    <w:t>/</w:t>
                  </w:r>
                </w:p>
              </w:tc>
              <w:tc>
                <w:tcPr>
                  <w:tcW w:w="699" w:type="dxa"/>
                  <w:tcBorders>
                    <w:tl2br w:val="nil"/>
                    <w:tr2bl w:val="nil"/>
                  </w:tcBorders>
                  <w:vAlign w:val="center"/>
                </w:tcPr>
                <w:p>
                  <w:pPr>
                    <w:widowControl/>
                    <w:jc w:val="center"/>
                    <w:textAlignment w:val="center"/>
                    <w:rPr>
                      <w:bCs/>
                      <w:szCs w:val="21"/>
                    </w:rPr>
                  </w:pPr>
                  <w:r>
                    <w:rPr>
                      <w:rFonts w:hint="eastAsia"/>
                      <w:bCs/>
                      <w:szCs w:val="21"/>
                    </w:rPr>
                    <w:t>-1</w:t>
                  </w:r>
                </w:p>
              </w:tc>
              <w:tc>
                <w:tcPr>
                  <w:tcW w:w="774" w:type="dxa"/>
                  <w:tcBorders>
                    <w:tl2br w:val="nil"/>
                    <w:tr2bl w:val="nil"/>
                  </w:tcBorders>
                  <w:vAlign w:val="center"/>
                </w:tcPr>
                <w:p>
                  <w:pPr>
                    <w:widowControl/>
                    <w:jc w:val="center"/>
                    <w:textAlignment w:val="center"/>
                    <w:rPr>
                      <w:bCs/>
                      <w:szCs w:val="21"/>
                    </w:rPr>
                  </w:pPr>
                  <w:r>
                    <w:rPr>
                      <w:rFonts w:hint="eastAsia"/>
                      <w:bCs/>
                      <w:szCs w:val="21"/>
                    </w:rPr>
                    <w:t>-20</w:t>
                  </w:r>
                </w:p>
              </w:tc>
              <w:tc>
                <w:tcPr>
                  <w:tcW w:w="700" w:type="dxa"/>
                  <w:tcBorders>
                    <w:tl2br w:val="nil"/>
                    <w:tr2bl w:val="nil"/>
                  </w:tcBorders>
                  <w:vAlign w:val="center"/>
                </w:tcPr>
                <w:p>
                  <w:pPr>
                    <w:widowControl/>
                    <w:jc w:val="center"/>
                    <w:textAlignment w:val="center"/>
                    <w:rPr>
                      <w:bCs/>
                      <w:szCs w:val="21"/>
                    </w:rPr>
                  </w:pPr>
                  <w:r>
                    <w:rPr>
                      <w:rFonts w:hint="eastAsia"/>
                      <w:bCs/>
                      <w:szCs w:val="21"/>
                    </w:rPr>
                    <w:t>1.5</w:t>
                  </w:r>
                </w:p>
              </w:tc>
              <w:tc>
                <w:tcPr>
                  <w:tcW w:w="1601" w:type="dxa"/>
                  <w:tcBorders>
                    <w:tl2br w:val="nil"/>
                    <w:tr2bl w:val="nil"/>
                  </w:tcBorders>
                  <w:vAlign w:val="center"/>
                </w:tcPr>
                <w:p>
                  <w:pPr>
                    <w:jc w:val="center"/>
                    <w:rPr>
                      <w:bCs/>
                      <w:szCs w:val="21"/>
                    </w:rPr>
                  </w:pPr>
                  <w:r>
                    <w:rPr>
                      <w:rFonts w:hint="eastAsia"/>
                      <w:bCs/>
                      <w:szCs w:val="21"/>
                    </w:rPr>
                    <w:t>7</w:t>
                  </w:r>
                  <w:r>
                    <w:rPr>
                      <w:bCs/>
                      <w:szCs w:val="21"/>
                    </w:rPr>
                    <w:t>5/1</w:t>
                  </w:r>
                </w:p>
              </w:tc>
              <w:tc>
                <w:tcPr>
                  <w:tcW w:w="698" w:type="dxa"/>
                  <w:tcBorders>
                    <w:tl2br w:val="nil"/>
                    <w:tr2bl w:val="nil"/>
                  </w:tcBorders>
                  <w:vAlign w:val="center"/>
                </w:tcPr>
                <w:p>
                  <w:pPr>
                    <w:contextualSpacing/>
                    <w:jc w:val="center"/>
                  </w:pPr>
                  <w:r>
                    <w:t>基础减震</w:t>
                  </w:r>
                </w:p>
              </w:tc>
              <w:tc>
                <w:tcPr>
                  <w:tcW w:w="802" w:type="dxa"/>
                  <w:tcBorders>
                    <w:tl2br w:val="nil"/>
                    <w:tr2bl w:val="nil"/>
                  </w:tcBorders>
                  <w:vAlign w:val="center"/>
                </w:tcPr>
                <w:p>
                  <w:pPr>
                    <w:contextualSpacing/>
                    <w:jc w:val="center"/>
                  </w:pPr>
                  <w:r>
                    <w:rPr>
                      <w:rFonts w:hint="eastAsia"/>
                    </w:rPr>
                    <w:t>72</w:t>
                  </w:r>
                  <w: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kern w:val="0"/>
                    </w:rPr>
                  </w:pPr>
                  <w:r>
                    <w:rPr>
                      <w:kern w:val="0"/>
                    </w:rPr>
                    <w:t>4</w:t>
                  </w:r>
                </w:p>
              </w:tc>
              <w:tc>
                <w:tcPr>
                  <w:tcW w:w="736" w:type="dxa"/>
                  <w:vMerge w:val="continue"/>
                  <w:tcBorders>
                    <w:tl2br w:val="nil"/>
                    <w:tr2bl w:val="nil"/>
                  </w:tcBorders>
                  <w:vAlign w:val="center"/>
                </w:tcPr>
                <w:p>
                  <w:pPr>
                    <w:jc w:val="center"/>
                    <w:rPr>
                      <w:bCs/>
                      <w:szCs w:val="21"/>
                    </w:rPr>
                  </w:pPr>
                </w:p>
              </w:tc>
              <w:tc>
                <w:tcPr>
                  <w:tcW w:w="839" w:type="dxa"/>
                  <w:tcBorders>
                    <w:tl2br w:val="nil"/>
                    <w:tr2bl w:val="nil"/>
                  </w:tcBorders>
                  <w:vAlign w:val="center"/>
                </w:tcPr>
                <w:p>
                  <w:pPr>
                    <w:jc w:val="center"/>
                    <w:rPr>
                      <w:bCs/>
                      <w:szCs w:val="21"/>
                    </w:rPr>
                  </w:pPr>
                  <w:r>
                    <w:rPr>
                      <w:rFonts w:hint="eastAsia"/>
                      <w:bCs/>
                      <w:szCs w:val="21"/>
                    </w:rPr>
                    <w:t>离心机</w:t>
                  </w:r>
                </w:p>
              </w:tc>
              <w:tc>
                <w:tcPr>
                  <w:tcW w:w="698" w:type="dxa"/>
                  <w:tcBorders>
                    <w:tl2br w:val="nil"/>
                    <w:tr2bl w:val="nil"/>
                  </w:tcBorders>
                  <w:vAlign w:val="center"/>
                </w:tcPr>
                <w:p>
                  <w:pPr>
                    <w:jc w:val="center"/>
                  </w:pPr>
                  <w:r>
                    <w:rPr>
                      <w:kern w:val="0"/>
                    </w:rPr>
                    <w:t>/</w:t>
                  </w:r>
                </w:p>
              </w:tc>
              <w:tc>
                <w:tcPr>
                  <w:tcW w:w="699" w:type="dxa"/>
                  <w:tcBorders>
                    <w:tl2br w:val="nil"/>
                    <w:tr2bl w:val="nil"/>
                  </w:tcBorders>
                  <w:vAlign w:val="center"/>
                </w:tcPr>
                <w:p>
                  <w:pPr>
                    <w:widowControl/>
                    <w:jc w:val="center"/>
                    <w:textAlignment w:val="center"/>
                    <w:rPr>
                      <w:bCs/>
                      <w:szCs w:val="21"/>
                    </w:rPr>
                  </w:pPr>
                  <w:r>
                    <w:rPr>
                      <w:rFonts w:hint="eastAsia"/>
                      <w:bCs/>
                      <w:szCs w:val="21"/>
                    </w:rPr>
                    <w:t>10</w:t>
                  </w:r>
                </w:p>
              </w:tc>
              <w:tc>
                <w:tcPr>
                  <w:tcW w:w="774" w:type="dxa"/>
                  <w:tcBorders>
                    <w:tl2br w:val="nil"/>
                    <w:tr2bl w:val="nil"/>
                  </w:tcBorders>
                  <w:vAlign w:val="center"/>
                </w:tcPr>
                <w:p>
                  <w:pPr>
                    <w:widowControl/>
                    <w:jc w:val="center"/>
                    <w:textAlignment w:val="center"/>
                    <w:rPr>
                      <w:bCs/>
                      <w:szCs w:val="21"/>
                    </w:rPr>
                  </w:pPr>
                  <w:r>
                    <w:rPr>
                      <w:rFonts w:hint="eastAsia"/>
                      <w:bCs/>
                      <w:szCs w:val="21"/>
                    </w:rPr>
                    <w:t>-24</w:t>
                  </w:r>
                </w:p>
              </w:tc>
              <w:tc>
                <w:tcPr>
                  <w:tcW w:w="700" w:type="dxa"/>
                  <w:tcBorders>
                    <w:tl2br w:val="nil"/>
                    <w:tr2bl w:val="nil"/>
                  </w:tcBorders>
                  <w:vAlign w:val="center"/>
                </w:tcPr>
                <w:p>
                  <w:pPr>
                    <w:widowControl/>
                    <w:jc w:val="center"/>
                    <w:textAlignment w:val="center"/>
                    <w:rPr>
                      <w:bCs/>
                      <w:szCs w:val="21"/>
                    </w:rPr>
                  </w:pPr>
                  <w:r>
                    <w:rPr>
                      <w:rFonts w:hint="eastAsia"/>
                      <w:bCs/>
                      <w:szCs w:val="21"/>
                    </w:rPr>
                    <w:t>1.5</w:t>
                  </w:r>
                </w:p>
              </w:tc>
              <w:tc>
                <w:tcPr>
                  <w:tcW w:w="1601" w:type="dxa"/>
                  <w:tcBorders>
                    <w:tl2br w:val="nil"/>
                    <w:tr2bl w:val="nil"/>
                  </w:tcBorders>
                  <w:vAlign w:val="center"/>
                </w:tcPr>
                <w:p>
                  <w:pPr>
                    <w:jc w:val="center"/>
                    <w:rPr>
                      <w:bCs/>
                      <w:szCs w:val="21"/>
                    </w:rPr>
                  </w:pPr>
                  <w:r>
                    <w:rPr>
                      <w:bCs/>
                      <w:szCs w:val="21"/>
                    </w:rPr>
                    <w:t>75/1</w:t>
                  </w:r>
                </w:p>
              </w:tc>
              <w:tc>
                <w:tcPr>
                  <w:tcW w:w="698" w:type="dxa"/>
                  <w:tcBorders>
                    <w:tl2br w:val="nil"/>
                    <w:tr2bl w:val="nil"/>
                  </w:tcBorders>
                  <w:vAlign w:val="center"/>
                </w:tcPr>
                <w:p>
                  <w:pPr>
                    <w:contextualSpacing/>
                    <w:jc w:val="center"/>
                  </w:pPr>
                  <w:r>
                    <w:t>基础减震</w:t>
                  </w:r>
                </w:p>
              </w:tc>
              <w:tc>
                <w:tcPr>
                  <w:tcW w:w="802" w:type="dxa"/>
                  <w:tcBorders>
                    <w:tl2br w:val="nil"/>
                    <w:tr2bl w:val="nil"/>
                  </w:tcBorders>
                  <w:vAlign w:val="center"/>
                </w:tcPr>
                <w:p>
                  <w:pPr>
                    <w:contextualSpacing/>
                    <w:jc w:val="center"/>
                  </w:pPr>
                  <w:r>
                    <w:rPr>
                      <w:rFonts w:hint="eastAsia"/>
                    </w:rPr>
                    <w:t>72</w:t>
                  </w:r>
                  <w: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contextualSpacing/>
                    <w:jc w:val="center"/>
                    <w:rPr>
                      <w:kern w:val="0"/>
                    </w:rPr>
                  </w:pPr>
                  <w:r>
                    <w:rPr>
                      <w:rFonts w:hint="eastAsia"/>
                      <w:kern w:val="0"/>
                    </w:rPr>
                    <w:t>5</w:t>
                  </w:r>
                </w:p>
              </w:tc>
              <w:tc>
                <w:tcPr>
                  <w:tcW w:w="736" w:type="dxa"/>
                  <w:vMerge w:val="continue"/>
                  <w:tcBorders>
                    <w:tl2br w:val="nil"/>
                    <w:tr2bl w:val="nil"/>
                  </w:tcBorders>
                  <w:vAlign w:val="center"/>
                </w:tcPr>
                <w:p>
                  <w:pPr>
                    <w:jc w:val="center"/>
                    <w:rPr>
                      <w:bCs/>
                      <w:szCs w:val="21"/>
                    </w:rPr>
                  </w:pPr>
                </w:p>
              </w:tc>
              <w:tc>
                <w:tcPr>
                  <w:tcW w:w="839" w:type="dxa"/>
                  <w:tcBorders>
                    <w:tl2br w:val="nil"/>
                    <w:tr2bl w:val="nil"/>
                  </w:tcBorders>
                  <w:vAlign w:val="center"/>
                </w:tcPr>
                <w:p>
                  <w:pPr>
                    <w:jc w:val="center"/>
                    <w:rPr>
                      <w:bCs/>
                      <w:szCs w:val="21"/>
                    </w:rPr>
                  </w:pPr>
                  <w:r>
                    <w:rPr>
                      <w:rFonts w:hint="eastAsia"/>
                      <w:bCs/>
                      <w:szCs w:val="21"/>
                    </w:rPr>
                    <w:t>搅拌机</w:t>
                  </w:r>
                </w:p>
              </w:tc>
              <w:tc>
                <w:tcPr>
                  <w:tcW w:w="698" w:type="dxa"/>
                  <w:tcBorders>
                    <w:tl2br w:val="nil"/>
                    <w:tr2bl w:val="nil"/>
                  </w:tcBorders>
                  <w:vAlign w:val="center"/>
                </w:tcPr>
                <w:p>
                  <w:pPr>
                    <w:jc w:val="center"/>
                    <w:rPr>
                      <w:kern w:val="0"/>
                    </w:rPr>
                  </w:pPr>
                  <w:r>
                    <w:rPr>
                      <w:rFonts w:hint="eastAsia"/>
                      <w:kern w:val="0"/>
                    </w:rPr>
                    <w:t>/</w:t>
                  </w:r>
                </w:p>
              </w:tc>
              <w:tc>
                <w:tcPr>
                  <w:tcW w:w="699" w:type="dxa"/>
                  <w:tcBorders>
                    <w:tl2br w:val="nil"/>
                    <w:tr2bl w:val="nil"/>
                  </w:tcBorders>
                  <w:vAlign w:val="center"/>
                </w:tcPr>
                <w:p>
                  <w:pPr>
                    <w:widowControl/>
                    <w:jc w:val="center"/>
                    <w:textAlignment w:val="center"/>
                    <w:rPr>
                      <w:bCs/>
                      <w:szCs w:val="21"/>
                    </w:rPr>
                  </w:pPr>
                  <w:r>
                    <w:rPr>
                      <w:rFonts w:hint="eastAsia"/>
                      <w:bCs/>
                      <w:szCs w:val="21"/>
                    </w:rPr>
                    <w:t>-5</w:t>
                  </w:r>
                </w:p>
              </w:tc>
              <w:tc>
                <w:tcPr>
                  <w:tcW w:w="774" w:type="dxa"/>
                  <w:tcBorders>
                    <w:tl2br w:val="nil"/>
                    <w:tr2bl w:val="nil"/>
                  </w:tcBorders>
                  <w:vAlign w:val="center"/>
                </w:tcPr>
                <w:p>
                  <w:pPr>
                    <w:widowControl/>
                    <w:jc w:val="center"/>
                    <w:textAlignment w:val="center"/>
                    <w:rPr>
                      <w:bCs/>
                      <w:szCs w:val="21"/>
                    </w:rPr>
                  </w:pPr>
                  <w:r>
                    <w:rPr>
                      <w:rFonts w:hint="eastAsia"/>
                      <w:bCs/>
                      <w:szCs w:val="21"/>
                    </w:rPr>
                    <w:t>-3</w:t>
                  </w:r>
                </w:p>
              </w:tc>
              <w:tc>
                <w:tcPr>
                  <w:tcW w:w="700" w:type="dxa"/>
                  <w:tcBorders>
                    <w:tl2br w:val="nil"/>
                    <w:tr2bl w:val="nil"/>
                  </w:tcBorders>
                  <w:vAlign w:val="center"/>
                </w:tcPr>
                <w:p>
                  <w:pPr>
                    <w:widowControl/>
                    <w:jc w:val="center"/>
                    <w:textAlignment w:val="center"/>
                    <w:rPr>
                      <w:bCs/>
                      <w:szCs w:val="21"/>
                    </w:rPr>
                  </w:pPr>
                  <w:r>
                    <w:rPr>
                      <w:rFonts w:hint="eastAsia"/>
                      <w:bCs/>
                      <w:szCs w:val="21"/>
                    </w:rPr>
                    <w:t>1.5</w:t>
                  </w:r>
                </w:p>
              </w:tc>
              <w:tc>
                <w:tcPr>
                  <w:tcW w:w="1601" w:type="dxa"/>
                  <w:tcBorders>
                    <w:tl2br w:val="nil"/>
                    <w:tr2bl w:val="nil"/>
                  </w:tcBorders>
                  <w:vAlign w:val="center"/>
                </w:tcPr>
                <w:p>
                  <w:pPr>
                    <w:jc w:val="center"/>
                    <w:rPr>
                      <w:bCs/>
                      <w:szCs w:val="21"/>
                    </w:rPr>
                  </w:pPr>
                  <w:r>
                    <w:rPr>
                      <w:rFonts w:hint="eastAsia"/>
                      <w:bCs/>
                      <w:szCs w:val="21"/>
                    </w:rPr>
                    <w:t>75/1</w:t>
                  </w:r>
                </w:p>
              </w:tc>
              <w:tc>
                <w:tcPr>
                  <w:tcW w:w="698" w:type="dxa"/>
                  <w:tcBorders>
                    <w:tl2br w:val="nil"/>
                    <w:tr2bl w:val="nil"/>
                  </w:tcBorders>
                  <w:vAlign w:val="center"/>
                </w:tcPr>
                <w:p>
                  <w:pPr>
                    <w:contextualSpacing/>
                    <w:jc w:val="center"/>
                  </w:pPr>
                  <w:r>
                    <w:t>基础减震</w:t>
                  </w:r>
                </w:p>
              </w:tc>
              <w:tc>
                <w:tcPr>
                  <w:tcW w:w="802" w:type="dxa"/>
                  <w:tcBorders>
                    <w:tl2br w:val="nil"/>
                    <w:tr2bl w:val="nil"/>
                  </w:tcBorders>
                  <w:vAlign w:val="center"/>
                </w:tcPr>
                <w:p>
                  <w:pPr>
                    <w:contextualSpacing/>
                    <w:jc w:val="center"/>
                  </w:pPr>
                  <w:r>
                    <w:rPr>
                      <w:rFonts w:hint="eastAsia"/>
                    </w:rPr>
                    <w:t>72</w:t>
                  </w:r>
                  <w: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218" w:type="dxa"/>
                  <w:gridSpan w:val="10"/>
                  <w:tcBorders>
                    <w:tl2br w:val="nil"/>
                    <w:tr2bl w:val="nil"/>
                  </w:tcBorders>
                  <w:vAlign w:val="center"/>
                </w:tcPr>
                <w:p>
                  <w:pPr>
                    <w:contextualSpacing/>
                    <w:rPr>
                      <w:b/>
                    </w:rPr>
                  </w:pPr>
                  <w:r>
                    <w:rPr>
                      <w:b/>
                    </w:rPr>
                    <w:t>注：以井场中心为原点</w:t>
                  </w:r>
                </w:p>
              </w:tc>
            </w:tr>
          </w:tbl>
          <w:p>
            <w:pPr>
              <w:tabs>
                <w:tab w:val="left" w:pos="2321"/>
              </w:tabs>
              <w:overflowPunct w:val="0"/>
              <w:autoSpaceDE w:val="0"/>
              <w:spacing w:line="360" w:lineRule="auto"/>
              <w:ind w:firstLine="480" w:firstLineChars="200"/>
              <w:rPr>
                <w:bCs/>
                <w:sz w:val="24"/>
              </w:rPr>
            </w:pPr>
            <w:r>
              <w:rPr>
                <w:bCs/>
                <w:sz w:val="24"/>
              </w:rPr>
              <w:t>（2）环境影响分析</w:t>
            </w:r>
          </w:p>
          <w:p>
            <w:pPr>
              <w:spacing w:line="360" w:lineRule="auto"/>
              <w:ind w:firstLine="480" w:firstLineChars="200"/>
              <w:rPr>
                <w:sz w:val="24"/>
              </w:rPr>
            </w:pPr>
            <w:r>
              <w:rPr>
                <w:sz w:val="24"/>
              </w:rPr>
              <w:t>本项目主要为钻井作业过程的钻机、柴油发电机组、振动筛、离心机等设备运行产生的机械噪声等。</w:t>
            </w:r>
          </w:p>
          <w:p>
            <w:pPr>
              <w:spacing w:line="360" w:lineRule="auto"/>
              <w:ind w:firstLine="480" w:firstLineChars="200"/>
              <w:rPr>
                <w:sz w:val="24"/>
              </w:rPr>
            </w:pPr>
            <w:r>
              <w:rPr>
                <w:sz w:val="24"/>
              </w:rPr>
              <w:t>钻井作业噪声：钻井过程中的噪声主要包括正常生产过程中的机械噪声、作业噪声以及事故放喷噪声，其产生情况为：</w:t>
            </w:r>
          </w:p>
          <w:p>
            <w:pPr>
              <w:spacing w:line="360" w:lineRule="auto"/>
              <w:ind w:firstLine="480" w:firstLineChars="200"/>
              <w:rPr>
                <w:sz w:val="24"/>
              </w:rPr>
            </w:pPr>
            <w:r>
              <w:rPr>
                <w:sz w:val="24"/>
              </w:rPr>
              <w:t>机械噪声：包括钻机、振动筛、泥浆泵、离心机以及其他各种机械转动所产生的噪声；</w:t>
            </w:r>
          </w:p>
          <w:p>
            <w:pPr>
              <w:spacing w:line="360" w:lineRule="auto"/>
              <w:ind w:firstLine="480" w:firstLineChars="200"/>
              <w:rPr>
                <w:sz w:val="24"/>
              </w:rPr>
            </w:pPr>
            <w:r>
              <w:rPr>
                <w:sz w:val="24"/>
              </w:rPr>
              <w:t>作业噪声：包括固井作业、下套管、起下钻具、钻机气路控制系统操作时快速放气阀放气、跳钻时吊环与水龙头的撞击等所产生的噪声；</w:t>
            </w:r>
          </w:p>
          <w:p>
            <w:pPr>
              <w:spacing w:line="360" w:lineRule="auto"/>
              <w:ind w:firstLine="480" w:firstLineChars="200"/>
              <w:rPr>
                <w:sz w:val="24"/>
              </w:rPr>
            </w:pPr>
            <w:r>
              <w:rPr>
                <w:sz w:val="24"/>
              </w:rPr>
              <w:t>①预测范围、预测点位</w:t>
            </w:r>
          </w:p>
          <w:p>
            <w:pPr>
              <w:spacing w:line="360" w:lineRule="auto"/>
              <w:ind w:firstLine="480" w:firstLineChars="200"/>
              <w:rPr>
                <w:sz w:val="24"/>
              </w:rPr>
            </w:pPr>
            <w:r>
              <w:rPr>
                <w:sz w:val="24"/>
              </w:rPr>
              <w:t>井口周边</w:t>
            </w:r>
            <w:r>
              <w:rPr>
                <w:rFonts w:hint="eastAsia"/>
                <w:sz w:val="24"/>
              </w:rPr>
              <w:t>3</w:t>
            </w:r>
            <w:r>
              <w:rPr>
                <w:sz w:val="24"/>
              </w:rPr>
              <w:t>00m范围的各居民点。</w:t>
            </w:r>
          </w:p>
          <w:p>
            <w:pPr>
              <w:spacing w:line="360" w:lineRule="auto"/>
              <w:ind w:firstLine="480" w:firstLineChars="200"/>
              <w:rPr>
                <w:sz w:val="24"/>
              </w:rPr>
            </w:pPr>
            <w:r>
              <w:rPr>
                <w:sz w:val="24"/>
              </w:rPr>
              <w:t>②声源分析</w:t>
            </w:r>
          </w:p>
          <w:p>
            <w:pPr>
              <w:spacing w:line="360" w:lineRule="auto"/>
              <w:ind w:firstLine="480" w:firstLineChars="200"/>
              <w:rPr>
                <w:sz w:val="24"/>
              </w:rPr>
            </w:pPr>
            <w:r>
              <w:rPr>
                <w:sz w:val="24"/>
              </w:rPr>
              <w:t>根据各噪声设备的噪声级和布置，主要噪声源主要分布于井场井口周边30m内，钻井过程中采取相应噪声防治措施，同时在钻井过程中平稳操作，避免特种作业时产生非正常的噪声</w:t>
            </w:r>
          </w:p>
          <w:p>
            <w:pPr>
              <w:spacing w:line="360" w:lineRule="auto"/>
              <w:ind w:firstLine="480" w:firstLineChars="200"/>
              <w:rPr>
                <w:sz w:val="24"/>
              </w:rPr>
            </w:pPr>
            <w:r>
              <w:rPr>
                <w:sz w:val="24"/>
              </w:rPr>
              <w:t>（3）预测模式</w:t>
            </w:r>
          </w:p>
          <w:p>
            <w:pPr>
              <w:tabs>
                <w:tab w:val="left" w:pos="750"/>
              </w:tabs>
              <w:spacing w:line="360" w:lineRule="auto"/>
              <w:ind w:firstLine="480" w:firstLineChars="200"/>
              <w:contextualSpacing/>
              <w:rPr>
                <w:bCs/>
                <w:sz w:val="24"/>
              </w:rPr>
            </w:pPr>
            <w:r>
              <w:rPr>
                <w:bCs/>
                <w:sz w:val="24"/>
              </w:rPr>
              <w:t>预测时</w:t>
            </w:r>
            <w:r>
              <w:rPr>
                <w:sz w:val="24"/>
              </w:rPr>
              <w:t>考虑</w:t>
            </w:r>
            <w:r>
              <w:rPr>
                <w:bCs/>
                <w:sz w:val="24"/>
              </w:rPr>
              <w:t>声源在传播过程中经过距离衰减，采用《环境影响评价技术导则</w:t>
            </w:r>
            <w:r>
              <w:rPr>
                <w:rFonts w:hint="eastAsia"/>
                <w:bCs/>
                <w:sz w:val="24"/>
              </w:rPr>
              <w:t xml:space="preserve"> </w:t>
            </w:r>
            <w:r>
              <w:rPr>
                <w:bCs/>
                <w:sz w:val="24"/>
              </w:rPr>
              <w:t>声环境》（HJ2.4-2021）中的“点声源的几何发散衰减”模式下的“无指向性点声源几何发散衰减”进行计算，预测模式如下：</w:t>
            </w:r>
          </w:p>
          <w:p>
            <w:pPr>
              <w:spacing w:line="360" w:lineRule="auto"/>
              <w:contextualSpacing/>
              <w:jc w:val="center"/>
              <w:rPr>
                <w:bCs/>
                <w:sz w:val="24"/>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m:sty m:val="p"/>
                  </m:rPr>
                  <w:rPr>
                    <w:rFonts w:ascii="Cambria Math" w:hAnsi="Cambria Math"/>
                    <w:sz w:val="24"/>
                  </w:rPr>
                  <m:t>）</m:t>
                </m:r>
              </m:oMath>
            </m:oMathPara>
          </w:p>
          <w:p>
            <w:pPr>
              <w:tabs>
                <w:tab w:val="left" w:pos="750"/>
              </w:tabs>
              <w:spacing w:line="360" w:lineRule="auto"/>
              <w:ind w:firstLine="480" w:firstLineChars="200"/>
              <w:contextualSpacing/>
              <w:rPr>
                <w:sz w:val="24"/>
                <w:lang w:val="pt-BR"/>
              </w:rPr>
            </w:pPr>
            <w:r>
              <w:rPr>
                <w:sz w:val="24"/>
              </w:rPr>
              <w:t>式中</w:t>
            </w:r>
            <w:r>
              <w:rPr>
                <w:sz w:val="24"/>
                <w:lang w:val="pt-BR"/>
              </w:rPr>
              <w:t>：</w:t>
            </w:r>
            <w:r>
              <w:rPr>
                <w:i/>
                <w:iCs/>
                <w:sz w:val="24"/>
                <w:lang w:val="pt-BR"/>
              </w:rPr>
              <w:t>L</w:t>
            </w:r>
            <w:r>
              <w:rPr>
                <w:i/>
                <w:iCs/>
                <w:sz w:val="24"/>
                <w:vertAlign w:val="subscript"/>
                <w:lang w:val="pt-BR"/>
              </w:rPr>
              <w:t>P</w:t>
            </w:r>
            <w:r>
              <w:rPr>
                <w:i/>
                <w:iCs/>
                <w:sz w:val="24"/>
                <w:lang w:val="pt-BR"/>
              </w:rPr>
              <w:t>（r）</w:t>
            </w:r>
            <w:r>
              <w:rPr>
                <w:sz w:val="24"/>
                <w:lang w:val="pt-BR"/>
              </w:rPr>
              <w:t>—预测点处声压级，dB；</w:t>
            </w:r>
          </w:p>
          <w:p>
            <w:pPr>
              <w:spacing w:line="360" w:lineRule="auto"/>
              <w:ind w:firstLine="1200" w:firstLineChars="500"/>
              <w:contextualSpacing/>
              <w:rPr>
                <w:sz w:val="24"/>
              </w:rPr>
            </w:pPr>
            <w:r>
              <w:rPr>
                <w:i/>
                <w:iCs/>
                <w:sz w:val="24"/>
              </w:rPr>
              <w:t>L</w:t>
            </w:r>
            <w:r>
              <w:rPr>
                <w:i/>
                <w:iCs/>
                <w:sz w:val="24"/>
                <w:vertAlign w:val="subscript"/>
              </w:rPr>
              <w:t>P</w:t>
            </w:r>
            <w:r>
              <w:rPr>
                <w:i/>
                <w:iCs/>
                <w:sz w:val="24"/>
              </w:rPr>
              <w:t>（r</w:t>
            </w:r>
            <w:r>
              <w:rPr>
                <w:i/>
                <w:iCs/>
                <w:sz w:val="24"/>
                <w:vertAlign w:val="subscript"/>
              </w:rPr>
              <w:t>0</w:t>
            </w:r>
            <w:r>
              <w:rPr>
                <w:i/>
                <w:iCs/>
                <w:sz w:val="24"/>
              </w:rPr>
              <w:t>）</w:t>
            </w:r>
            <w:r>
              <w:rPr>
                <w:sz w:val="24"/>
              </w:rPr>
              <w:t>—参考点r</w:t>
            </w:r>
            <w:r>
              <w:rPr>
                <w:sz w:val="24"/>
                <w:vertAlign w:val="subscript"/>
              </w:rPr>
              <w:t>0</w:t>
            </w:r>
            <w:r>
              <w:rPr>
                <w:sz w:val="24"/>
              </w:rPr>
              <w:t>处的声压级，dB；</w:t>
            </w:r>
          </w:p>
          <w:p>
            <w:pPr>
              <w:spacing w:line="360" w:lineRule="auto"/>
              <w:ind w:firstLine="1200" w:firstLineChars="500"/>
              <w:contextualSpacing/>
              <w:rPr>
                <w:sz w:val="24"/>
              </w:rPr>
            </w:pPr>
            <w:r>
              <w:rPr>
                <w:i/>
                <w:iCs/>
                <w:sz w:val="24"/>
              </w:rPr>
              <w:t xml:space="preserve">r </w:t>
            </w:r>
            <w:r>
              <w:rPr>
                <w:sz w:val="24"/>
              </w:rPr>
              <w:t>—预测点距声源的距离，m；</w:t>
            </w:r>
          </w:p>
          <w:p>
            <w:pPr>
              <w:spacing w:line="360" w:lineRule="auto"/>
              <w:ind w:firstLine="1200" w:firstLineChars="500"/>
              <w:contextualSpacing/>
              <w:rPr>
                <w:sz w:val="24"/>
              </w:rPr>
            </w:pPr>
            <w:r>
              <w:rPr>
                <w:i/>
                <w:iCs/>
                <w:sz w:val="24"/>
              </w:rPr>
              <w:t>r</w:t>
            </w:r>
            <w:r>
              <w:rPr>
                <w:i/>
                <w:iCs/>
                <w:sz w:val="24"/>
                <w:vertAlign w:val="subscript"/>
              </w:rPr>
              <w:t>0</w:t>
            </w:r>
            <w:r>
              <w:rPr>
                <w:sz w:val="24"/>
              </w:rPr>
              <w:t>—参考位置距声源的距离，m；</w:t>
            </w:r>
          </w:p>
          <w:p>
            <w:pPr>
              <w:tabs>
                <w:tab w:val="left" w:pos="750"/>
              </w:tabs>
              <w:spacing w:line="360" w:lineRule="auto"/>
              <w:ind w:firstLine="480" w:firstLineChars="200"/>
              <w:contextualSpacing/>
              <w:rPr>
                <w:sz w:val="24"/>
              </w:rPr>
            </w:pPr>
            <w:r>
              <w:rPr>
                <w:sz w:val="24"/>
              </w:rPr>
              <w:t>多个声源发出的噪声在同一受声点的共同影响，噪声在预测点处产生的等效声级贡献值叠加的计算公式如下：</w:t>
            </w:r>
          </w:p>
          <w:p>
            <w:pPr>
              <w:spacing w:line="360" w:lineRule="auto"/>
              <w:ind w:firstLine="480" w:firstLineChars="200"/>
              <w:contextualSpacing/>
              <w:jc w:val="center"/>
              <w:rPr>
                <w:sz w:val="24"/>
              </w:rPr>
            </w:pPr>
            <w:r>
              <w:rPr>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sz w:val="24"/>
              </w:rPr>
              <w:t>—建设项目在预测点的等效声级贡献值，dB；</w:t>
            </w:r>
          </w:p>
          <w:p>
            <w:pPr>
              <w:tabs>
                <w:tab w:val="left" w:pos="750"/>
              </w:tabs>
              <w:spacing w:line="360" w:lineRule="auto"/>
              <w:ind w:firstLine="1200" w:firstLineChars="500"/>
              <w:contextualSpacing/>
              <w:rPr>
                <w:sz w:val="24"/>
              </w:rPr>
            </w:pPr>
            <w:r>
              <w:rPr>
                <w:i/>
                <w:iCs/>
                <w:sz w:val="24"/>
              </w:rPr>
              <w:t>L</w:t>
            </w:r>
            <w:r>
              <w:rPr>
                <w:i/>
                <w:iCs/>
                <w:sz w:val="24"/>
                <w:vertAlign w:val="subscript"/>
              </w:rPr>
              <w:t>Ai</w:t>
            </w:r>
            <w:r>
              <w:rPr>
                <w:sz w:val="24"/>
              </w:rPr>
              <w:t>—</w:t>
            </w:r>
            <w:r>
              <w:rPr>
                <w:i/>
                <w:iCs/>
                <w:sz w:val="24"/>
              </w:rPr>
              <w:t>i</w:t>
            </w:r>
            <w:r>
              <w:rPr>
                <w:sz w:val="24"/>
              </w:rPr>
              <w:t>声源在预测点产生的A声级，dB；</w:t>
            </w:r>
          </w:p>
          <w:p>
            <w:pPr>
              <w:tabs>
                <w:tab w:val="left" w:pos="750"/>
              </w:tabs>
              <w:spacing w:line="360" w:lineRule="auto"/>
              <w:ind w:firstLine="1200" w:firstLineChars="500"/>
              <w:contextualSpacing/>
              <w:rPr>
                <w:sz w:val="24"/>
              </w:rPr>
            </w:pPr>
            <w:r>
              <w:rPr>
                <w:i/>
                <w:iCs/>
                <w:sz w:val="24"/>
              </w:rPr>
              <w:t>T</w:t>
            </w:r>
            <w:r>
              <w:rPr>
                <w:sz w:val="24"/>
              </w:rPr>
              <w:t>—预测计算的时间段，s；</w:t>
            </w:r>
          </w:p>
          <w:p>
            <w:pPr>
              <w:tabs>
                <w:tab w:val="left" w:pos="750"/>
              </w:tabs>
              <w:spacing w:line="360" w:lineRule="auto"/>
              <w:ind w:firstLine="1200" w:firstLineChars="500"/>
              <w:contextualSpacing/>
              <w:rPr>
                <w:sz w:val="24"/>
              </w:rPr>
            </w:pPr>
            <w:r>
              <w:rPr>
                <w:i/>
                <w:iCs/>
                <w:sz w:val="24"/>
              </w:rPr>
              <w:t>t</w:t>
            </w:r>
            <w:r>
              <w:rPr>
                <w:i/>
                <w:iCs/>
                <w:sz w:val="24"/>
                <w:vertAlign w:val="subscript"/>
              </w:rPr>
              <w:t>i</w:t>
            </w:r>
            <w:r>
              <w:rPr>
                <w:sz w:val="24"/>
              </w:rPr>
              <w:t>—</w:t>
            </w:r>
            <w:r>
              <w:rPr>
                <w:i/>
                <w:iCs/>
                <w:sz w:val="24"/>
              </w:rPr>
              <w:t>i</w:t>
            </w:r>
            <w:r>
              <w:rPr>
                <w:sz w:val="24"/>
              </w:rPr>
              <w:t>声源在T时段内的运行时间，s。</w:t>
            </w:r>
          </w:p>
          <w:p>
            <w:pPr>
              <w:tabs>
                <w:tab w:val="left" w:pos="750"/>
              </w:tabs>
              <w:spacing w:line="360" w:lineRule="auto"/>
              <w:ind w:firstLine="480" w:firstLineChars="200"/>
              <w:contextualSpacing/>
              <w:rPr>
                <w:sz w:val="24"/>
              </w:rPr>
            </w:pPr>
            <w:r>
              <w:rPr>
                <w:sz w:val="24"/>
              </w:rPr>
              <w:t>声源在敏感点处的贡献值叠加背景值即为该敏感点处噪声预测值，计算</w:t>
            </w:r>
            <w:r>
              <w:rPr>
                <w:bCs/>
                <w:sz w:val="24"/>
              </w:rPr>
              <w:t>采用《环境影响评价技术导则</w:t>
            </w:r>
            <w:r>
              <w:rPr>
                <w:rFonts w:hint="eastAsia"/>
                <w:bCs/>
                <w:sz w:val="24"/>
              </w:rPr>
              <w:t xml:space="preserve"> </w:t>
            </w:r>
            <w:r>
              <w:rPr>
                <w:bCs/>
                <w:sz w:val="24"/>
              </w:rPr>
              <w:t>声环境》（HJ2.4-2021）</w:t>
            </w:r>
            <w:r>
              <w:rPr>
                <w:sz w:val="24"/>
              </w:rPr>
              <w:t>3.11中（3）式，公式为：</w:t>
            </w:r>
          </w:p>
          <w:p>
            <w:pPr>
              <w:spacing w:line="360" w:lineRule="auto"/>
              <w:ind w:firstLine="480" w:firstLineChars="200"/>
              <w:contextualSpacing/>
              <w:jc w:val="center"/>
              <w:rPr>
                <w:sz w:val="24"/>
              </w:rPr>
            </w:pPr>
            <w:r>
              <w:rPr>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i/>
                <w:iCs/>
                <w:sz w:val="24"/>
              </w:rPr>
              <w:t xml:space="preserve"> </w:t>
            </w:r>
            <w:r>
              <w:rPr>
                <w:sz w:val="24"/>
              </w:rPr>
              <w:t>— 建设项目声源在预测点的等效声级贡献值，dB；</w:t>
            </w:r>
          </w:p>
          <w:p>
            <w:pPr>
              <w:spacing w:line="360" w:lineRule="auto"/>
              <w:ind w:firstLine="1200" w:firstLineChars="500"/>
              <w:contextualSpacing/>
              <w:rPr>
                <w:sz w:val="24"/>
              </w:rPr>
            </w:pPr>
            <w:r>
              <w:rPr>
                <w:i/>
                <w:iCs/>
                <w:sz w:val="24"/>
              </w:rPr>
              <w:t>L</w:t>
            </w:r>
            <w:r>
              <w:rPr>
                <w:i/>
                <w:iCs/>
                <w:sz w:val="24"/>
                <w:vertAlign w:val="subscript"/>
              </w:rPr>
              <w:t>eqb</w:t>
            </w:r>
            <w:r>
              <w:rPr>
                <w:sz w:val="24"/>
              </w:rPr>
              <w:t xml:space="preserve"> — 预测点的背景值，dB。</w:t>
            </w:r>
          </w:p>
          <w:p>
            <w:pPr>
              <w:tabs>
                <w:tab w:val="left" w:pos="750"/>
              </w:tabs>
              <w:spacing w:line="360" w:lineRule="auto"/>
              <w:ind w:firstLine="480" w:firstLineChars="200"/>
              <w:contextualSpacing/>
              <w:rPr>
                <w:sz w:val="24"/>
              </w:rPr>
            </w:pPr>
            <w:r>
              <w:rPr>
                <w:sz w:val="24"/>
              </w:rPr>
              <w:t>预测结果见下表。</w:t>
            </w:r>
          </w:p>
          <w:p>
            <w:pPr>
              <w:autoSpaceDE w:val="0"/>
              <w:autoSpaceDN w:val="0"/>
              <w:spacing w:line="360" w:lineRule="auto"/>
              <w:contextualSpacing/>
              <w:jc w:val="center"/>
              <w:rPr>
                <w:b/>
                <w:sz w:val="24"/>
              </w:rPr>
            </w:pPr>
            <w:r>
              <w:rPr>
                <w:b/>
                <w:sz w:val="24"/>
              </w:rPr>
              <w:t>表4-7 钻井设备厂界噪声预测结果与达标分析表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jc w:val="center"/>
                    <w:rPr>
                      <w:szCs w:val="21"/>
                    </w:rPr>
                  </w:pPr>
                  <w:r>
                    <w:rPr>
                      <w:b/>
                      <w:szCs w:val="21"/>
                    </w:rPr>
                    <w:t>预测方位</w:t>
                  </w:r>
                </w:p>
              </w:tc>
              <w:tc>
                <w:tcPr>
                  <w:tcW w:w="1318" w:type="dxa"/>
                  <w:vMerge w:val="restart"/>
                  <w:tcBorders>
                    <w:tl2br w:val="nil"/>
                    <w:tr2bl w:val="nil"/>
                  </w:tcBorders>
                  <w:vAlign w:val="center"/>
                </w:tcPr>
                <w:p>
                  <w:pPr>
                    <w:jc w:val="center"/>
                    <w:rPr>
                      <w:szCs w:val="21"/>
                    </w:rPr>
                  </w:pPr>
                  <w:r>
                    <w:rPr>
                      <w:b/>
                      <w:szCs w:val="21"/>
                    </w:rPr>
                    <w:t>时段</w:t>
                  </w:r>
                </w:p>
              </w:tc>
              <w:tc>
                <w:tcPr>
                  <w:tcW w:w="1880" w:type="dxa"/>
                  <w:vMerge w:val="restart"/>
                  <w:tcBorders>
                    <w:tl2br w:val="nil"/>
                    <w:tr2bl w:val="nil"/>
                  </w:tcBorders>
                  <w:vAlign w:val="center"/>
                </w:tcPr>
                <w:p>
                  <w:pPr>
                    <w:jc w:val="center"/>
                    <w:rPr>
                      <w:szCs w:val="21"/>
                    </w:rPr>
                  </w:pPr>
                  <w:r>
                    <w:rPr>
                      <w:b/>
                      <w:szCs w:val="21"/>
                    </w:rPr>
                    <w:t>厂界噪声贡献值预测值（dB(A)）</w:t>
                  </w:r>
                </w:p>
              </w:tc>
              <w:tc>
                <w:tcPr>
                  <w:tcW w:w="1882" w:type="dxa"/>
                  <w:vMerge w:val="restart"/>
                  <w:tcBorders>
                    <w:tl2br w:val="nil"/>
                    <w:tr2bl w:val="nil"/>
                  </w:tcBorders>
                  <w:vAlign w:val="center"/>
                </w:tcPr>
                <w:p>
                  <w:pPr>
                    <w:jc w:val="center"/>
                    <w:rPr>
                      <w:szCs w:val="21"/>
                    </w:rPr>
                  </w:pPr>
                  <w:r>
                    <w:rPr>
                      <w:b/>
                      <w:szCs w:val="21"/>
                    </w:rPr>
                    <w:t>标准限值（dB(A)）</w:t>
                  </w:r>
                </w:p>
              </w:tc>
              <w:tc>
                <w:tcPr>
                  <w:tcW w:w="1577" w:type="dxa"/>
                  <w:vMerge w:val="restart"/>
                  <w:tcBorders>
                    <w:tl2br w:val="nil"/>
                    <w:tr2bl w:val="nil"/>
                  </w:tcBorders>
                  <w:vAlign w:val="center"/>
                </w:tcPr>
                <w:p>
                  <w:pPr>
                    <w:jc w:val="center"/>
                    <w:rPr>
                      <w:szCs w:val="21"/>
                    </w:rPr>
                  </w:pPr>
                  <w:r>
                    <w:rPr>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jc w:val="center"/>
                    <w:rPr>
                      <w:szCs w:val="21"/>
                    </w:rPr>
                  </w:pPr>
                </w:p>
              </w:tc>
              <w:tc>
                <w:tcPr>
                  <w:tcW w:w="1318" w:type="dxa"/>
                  <w:vMerge w:val="continue"/>
                  <w:tcBorders>
                    <w:tl2br w:val="nil"/>
                    <w:tr2bl w:val="nil"/>
                  </w:tcBorders>
                  <w:shd w:val="clear" w:color="auto" w:fill="FFFFFF"/>
                  <w:vAlign w:val="center"/>
                </w:tcPr>
                <w:p>
                  <w:pPr>
                    <w:jc w:val="center"/>
                    <w:rPr>
                      <w:szCs w:val="21"/>
                    </w:rPr>
                  </w:pPr>
                </w:p>
              </w:tc>
              <w:tc>
                <w:tcPr>
                  <w:tcW w:w="1880" w:type="dxa"/>
                  <w:vMerge w:val="continue"/>
                  <w:tcBorders>
                    <w:tl2br w:val="nil"/>
                    <w:tr2bl w:val="nil"/>
                  </w:tcBorders>
                  <w:shd w:val="clear" w:color="auto" w:fill="FFFFFF"/>
                  <w:vAlign w:val="center"/>
                </w:tcPr>
                <w:p>
                  <w:pPr>
                    <w:jc w:val="center"/>
                    <w:rPr>
                      <w:szCs w:val="21"/>
                    </w:rPr>
                  </w:pPr>
                </w:p>
              </w:tc>
              <w:tc>
                <w:tcPr>
                  <w:tcW w:w="1882" w:type="dxa"/>
                  <w:vMerge w:val="continue"/>
                  <w:tcBorders>
                    <w:tl2br w:val="nil"/>
                    <w:tr2bl w:val="nil"/>
                  </w:tcBorders>
                  <w:shd w:val="clear" w:color="auto" w:fill="FFFFFF"/>
                  <w:vAlign w:val="center"/>
                </w:tcPr>
                <w:p>
                  <w:pPr>
                    <w:jc w:val="center"/>
                    <w:rPr>
                      <w:szCs w:val="21"/>
                    </w:rPr>
                  </w:pPr>
                </w:p>
              </w:tc>
              <w:tc>
                <w:tcPr>
                  <w:tcW w:w="1577" w:type="dxa"/>
                  <w:vMerge w:val="continue"/>
                  <w:tcBorders>
                    <w:tl2br w:val="nil"/>
                    <w:tr2bl w:val="nil"/>
                  </w:tcBorders>
                  <w:shd w:val="clear" w:color="auto" w:fill="FFFFFF"/>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szCs w:val="21"/>
                    </w:rPr>
                  </w:pPr>
                  <w:r>
                    <w:rPr>
                      <w:szCs w:val="21"/>
                    </w:rPr>
                    <w:t>东侧</w:t>
                  </w:r>
                </w:p>
              </w:tc>
              <w:tc>
                <w:tcPr>
                  <w:tcW w:w="1318" w:type="dxa"/>
                  <w:tcBorders>
                    <w:tl2br w:val="nil"/>
                    <w:tr2bl w:val="nil"/>
                  </w:tcBorders>
                  <w:shd w:val="clear" w:color="auto" w:fill="FFFFFF"/>
                  <w:vAlign w:val="center"/>
                </w:tcPr>
                <w:p>
                  <w:pPr>
                    <w:jc w:val="center"/>
                    <w:rPr>
                      <w:szCs w:val="21"/>
                    </w:rPr>
                  </w:pPr>
                  <w:r>
                    <w:rPr>
                      <w:szCs w:val="21"/>
                    </w:rPr>
                    <w:t>昼间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56.6</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szCs w:val="21"/>
                    </w:rPr>
                  </w:pPr>
                </w:p>
              </w:tc>
              <w:tc>
                <w:tcPr>
                  <w:tcW w:w="1318" w:type="dxa"/>
                  <w:tcBorders>
                    <w:tl2br w:val="nil"/>
                    <w:tr2bl w:val="nil"/>
                  </w:tcBorders>
                  <w:shd w:val="clear" w:color="auto" w:fill="FFFFFF"/>
                  <w:vAlign w:val="center"/>
                </w:tcPr>
                <w:p>
                  <w:pPr>
                    <w:jc w:val="center"/>
                    <w:rPr>
                      <w:szCs w:val="21"/>
                    </w:rPr>
                  </w:pPr>
                  <w:r>
                    <w:rPr>
                      <w:szCs w:val="21"/>
                    </w:rPr>
                    <w:t>夜间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56.6</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szCs w:val="21"/>
                    </w:rPr>
                  </w:pPr>
                  <w:r>
                    <w:rPr>
                      <w:szCs w:val="21"/>
                    </w:rPr>
                    <w:t>南侧</w:t>
                  </w:r>
                </w:p>
              </w:tc>
              <w:tc>
                <w:tcPr>
                  <w:tcW w:w="1318" w:type="dxa"/>
                  <w:tcBorders>
                    <w:tl2br w:val="nil"/>
                    <w:tr2bl w:val="nil"/>
                  </w:tcBorders>
                  <w:shd w:val="clear" w:color="auto" w:fill="FFFFFF"/>
                  <w:vAlign w:val="center"/>
                </w:tcPr>
                <w:p>
                  <w:pPr>
                    <w:jc w:val="center"/>
                    <w:rPr>
                      <w:szCs w:val="21"/>
                    </w:rPr>
                  </w:pPr>
                  <w:r>
                    <w:rPr>
                      <w:szCs w:val="21"/>
                    </w:rPr>
                    <w:t>昼间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50.7</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szCs w:val="21"/>
                    </w:rPr>
                  </w:pPr>
                </w:p>
              </w:tc>
              <w:tc>
                <w:tcPr>
                  <w:tcW w:w="1318" w:type="dxa"/>
                  <w:tcBorders>
                    <w:tl2br w:val="nil"/>
                    <w:tr2bl w:val="nil"/>
                  </w:tcBorders>
                  <w:shd w:val="clear" w:color="auto" w:fill="FFFFFF"/>
                  <w:vAlign w:val="center"/>
                </w:tcPr>
                <w:p>
                  <w:pPr>
                    <w:jc w:val="center"/>
                    <w:rPr>
                      <w:szCs w:val="21"/>
                    </w:rPr>
                  </w:pPr>
                  <w:r>
                    <w:rPr>
                      <w:szCs w:val="21"/>
                    </w:rPr>
                    <w:t>夜间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50.7</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szCs w:val="21"/>
                    </w:rPr>
                  </w:pPr>
                  <w:r>
                    <w:rPr>
                      <w:szCs w:val="21"/>
                    </w:rPr>
                    <w:t>西侧</w:t>
                  </w:r>
                </w:p>
              </w:tc>
              <w:tc>
                <w:tcPr>
                  <w:tcW w:w="1318" w:type="dxa"/>
                  <w:tcBorders>
                    <w:tl2br w:val="nil"/>
                    <w:tr2bl w:val="nil"/>
                  </w:tcBorders>
                  <w:shd w:val="clear" w:color="auto" w:fill="FFFFFF"/>
                  <w:vAlign w:val="center"/>
                </w:tcPr>
                <w:p>
                  <w:pPr>
                    <w:jc w:val="center"/>
                    <w:rPr>
                      <w:szCs w:val="21"/>
                    </w:rPr>
                  </w:pPr>
                  <w:r>
                    <w:rPr>
                      <w:szCs w:val="21"/>
                    </w:rPr>
                    <w:t>昼间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59.1</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szCs w:val="21"/>
                    </w:rPr>
                  </w:pPr>
                </w:p>
              </w:tc>
              <w:tc>
                <w:tcPr>
                  <w:tcW w:w="1318" w:type="dxa"/>
                  <w:tcBorders>
                    <w:tl2br w:val="nil"/>
                    <w:tr2bl w:val="nil"/>
                  </w:tcBorders>
                  <w:shd w:val="clear" w:color="auto" w:fill="FFFFFF"/>
                  <w:vAlign w:val="center"/>
                </w:tcPr>
                <w:p>
                  <w:pPr>
                    <w:jc w:val="center"/>
                    <w:rPr>
                      <w:szCs w:val="21"/>
                    </w:rPr>
                  </w:pPr>
                  <w:r>
                    <w:rPr>
                      <w:szCs w:val="21"/>
                    </w:rPr>
                    <w:t>夜间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59.1</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jc w:val="center"/>
                    <w:rPr>
                      <w:szCs w:val="21"/>
                    </w:rPr>
                  </w:pPr>
                  <w:r>
                    <w:rPr>
                      <w:szCs w:val="21"/>
                    </w:rPr>
                    <w:t>北侧</w:t>
                  </w:r>
                </w:p>
              </w:tc>
              <w:tc>
                <w:tcPr>
                  <w:tcW w:w="1318" w:type="dxa"/>
                  <w:tcBorders>
                    <w:tl2br w:val="nil"/>
                    <w:tr2bl w:val="nil"/>
                  </w:tcBorders>
                  <w:shd w:val="clear" w:color="auto" w:fill="FFFFFF"/>
                  <w:vAlign w:val="center"/>
                </w:tcPr>
                <w:p>
                  <w:pPr>
                    <w:jc w:val="center"/>
                    <w:rPr>
                      <w:szCs w:val="21"/>
                    </w:rPr>
                  </w:pPr>
                  <w:r>
                    <w:rPr>
                      <w:szCs w:val="21"/>
                    </w:rPr>
                    <w:t>昼间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55.1</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jc w:val="center"/>
                    <w:rPr>
                      <w:szCs w:val="21"/>
                    </w:rPr>
                  </w:pPr>
                </w:p>
              </w:tc>
              <w:tc>
                <w:tcPr>
                  <w:tcW w:w="1318" w:type="dxa"/>
                  <w:tcBorders>
                    <w:tl2br w:val="nil"/>
                    <w:tr2bl w:val="nil"/>
                  </w:tcBorders>
                  <w:shd w:val="clear" w:color="auto" w:fill="FFFFFF"/>
                  <w:vAlign w:val="center"/>
                </w:tcPr>
                <w:p>
                  <w:pPr>
                    <w:jc w:val="center"/>
                    <w:rPr>
                      <w:szCs w:val="21"/>
                    </w:rPr>
                  </w:pPr>
                  <w:r>
                    <w:rPr>
                      <w:szCs w:val="21"/>
                    </w:rPr>
                    <w:t>夜间</w:t>
                  </w:r>
                </w:p>
              </w:tc>
              <w:tc>
                <w:tcPr>
                  <w:tcW w:w="1880"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55.1</w:t>
                  </w:r>
                </w:p>
              </w:tc>
              <w:tc>
                <w:tcPr>
                  <w:tcW w:w="1882" w:type="dxa"/>
                  <w:tcBorders>
                    <w:tl2br w:val="nil"/>
                    <w:tr2bl w:val="nil"/>
                  </w:tcBorders>
                  <w:shd w:val="clear" w:color="auto" w:fill="FFFFFF"/>
                  <w:vAlign w:val="center"/>
                </w:tcPr>
                <w:p>
                  <w:pPr>
                    <w:widowControl/>
                    <w:jc w:val="center"/>
                    <w:textAlignment w:val="center"/>
                    <w:rPr>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rPr>
                      <w:szCs w:val="21"/>
                    </w:rPr>
                  </w:pPr>
                  <w:r>
                    <w:rPr>
                      <w:rFonts w:hint="eastAsia"/>
                      <w:szCs w:val="21"/>
                    </w:rPr>
                    <w:t>注：以铁北1侧HF井位中心。</w:t>
                  </w:r>
                </w:p>
              </w:tc>
            </w:tr>
          </w:tbl>
          <w:p>
            <w:pPr>
              <w:tabs>
                <w:tab w:val="left" w:pos="750"/>
              </w:tabs>
              <w:spacing w:line="360" w:lineRule="auto"/>
              <w:contextualSpacing/>
              <w:rPr>
                <w:sz w:val="24"/>
              </w:rPr>
            </w:pPr>
            <w:r>
              <w:rPr>
                <w:sz w:val="24"/>
              </w:rPr>
              <w:drawing>
                <wp:inline distT="0" distB="0" distL="114300" distR="114300">
                  <wp:extent cx="5169535" cy="4373880"/>
                  <wp:effectExtent l="0" t="0" r="12065"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5169535" cy="4373880"/>
                          </a:xfrm>
                          <a:prstGeom prst="rect">
                            <a:avLst/>
                          </a:prstGeom>
                          <a:noFill/>
                          <a:ln>
                            <a:noFill/>
                          </a:ln>
                        </pic:spPr>
                      </pic:pic>
                    </a:graphicData>
                  </a:graphic>
                </wp:inline>
              </w:drawing>
            </w:r>
          </w:p>
          <w:p>
            <w:pPr>
              <w:autoSpaceDE w:val="0"/>
              <w:autoSpaceDN w:val="0"/>
              <w:spacing w:line="360" w:lineRule="auto"/>
              <w:contextualSpacing/>
              <w:jc w:val="center"/>
              <w:rPr>
                <w:b/>
                <w:sz w:val="24"/>
              </w:rPr>
            </w:pPr>
            <w:r>
              <w:rPr>
                <w:b/>
                <w:sz w:val="24"/>
              </w:rPr>
              <w:t>表4-8 钻井设备噪声对周围居民影响预测</w:t>
            </w:r>
          </w:p>
          <w:tbl>
            <w:tblPr>
              <w:tblStyle w:val="44"/>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jc w:val="center"/>
                    <w:rPr>
                      <w:szCs w:val="21"/>
                    </w:rPr>
                  </w:pPr>
                  <w:r>
                    <w:rPr>
                      <w:b/>
                      <w:szCs w:val="21"/>
                    </w:rPr>
                    <w:t>序号</w:t>
                  </w:r>
                </w:p>
              </w:tc>
              <w:tc>
                <w:tcPr>
                  <w:tcW w:w="1007" w:type="dxa"/>
                  <w:vMerge w:val="restart"/>
                  <w:tcBorders>
                    <w:tl2br w:val="nil"/>
                    <w:tr2bl w:val="nil"/>
                  </w:tcBorders>
                  <w:vAlign w:val="center"/>
                </w:tcPr>
                <w:p>
                  <w:pPr>
                    <w:jc w:val="center"/>
                    <w:rPr>
                      <w:szCs w:val="21"/>
                    </w:rPr>
                  </w:pPr>
                  <w:r>
                    <w:rPr>
                      <w:b/>
                      <w:szCs w:val="21"/>
                    </w:rPr>
                    <w:t>声环境保护目标名称</w:t>
                  </w:r>
                </w:p>
              </w:tc>
              <w:tc>
                <w:tcPr>
                  <w:tcW w:w="1014" w:type="dxa"/>
                  <w:gridSpan w:val="2"/>
                  <w:tcBorders>
                    <w:tl2br w:val="nil"/>
                    <w:tr2bl w:val="nil"/>
                  </w:tcBorders>
                  <w:vAlign w:val="center"/>
                </w:tcPr>
                <w:p>
                  <w:pPr>
                    <w:jc w:val="center"/>
                    <w:rPr>
                      <w:szCs w:val="21"/>
                    </w:rPr>
                  </w:pPr>
                  <w:r>
                    <w:rPr>
                      <w:b/>
                      <w:szCs w:val="21"/>
                    </w:rPr>
                    <w:t>噪声背景值/dB(A)</w:t>
                  </w:r>
                </w:p>
              </w:tc>
              <w:tc>
                <w:tcPr>
                  <w:tcW w:w="1015" w:type="dxa"/>
                  <w:gridSpan w:val="2"/>
                  <w:tcBorders>
                    <w:tl2br w:val="nil"/>
                    <w:tr2bl w:val="nil"/>
                  </w:tcBorders>
                  <w:vAlign w:val="center"/>
                </w:tcPr>
                <w:p>
                  <w:pPr>
                    <w:jc w:val="center"/>
                    <w:rPr>
                      <w:szCs w:val="21"/>
                    </w:rPr>
                  </w:pPr>
                  <w:r>
                    <w:rPr>
                      <w:b/>
                      <w:szCs w:val="21"/>
                    </w:rPr>
                    <w:t>噪声现状值/dB(A)</w:t>
                  </w:r>
                </w:p>
              </w:tc>
              <w:tc>
                <w:tcPr>
                  <w:tcW w:w="873" w:type="dxa"/>
                  <w:gridSpan w:val="2"/>
                  <w:tcBorders>
                    <w:tl2br w:val="nil"/>
                    <w:tr2bl w:val="nil"/>
                  </w:tcBorders>
                  <w:vAlign w:val="center"/>
                </w:tcPr>
                <w:p>
                  <w:pPr>
                    <w:jc w:val="center"/>
                    <w:rPr>
                      <w:szCs w:val="21"/>
                    </w:rPr>
                  </w:pPr>
                  <w:r>
                    <w:rPr>
                      <w:b/>
                      <w:szCs w:val="21"/>
                    </w:rPr>
                    <w:t>噪声标准/dB(A)</w:t>
                  </w:r>
                </w:p>
              </w:tc>
              <w:tc>
                <w:tcPr>
                  <w:tcW w:w="1015" w:type="dxa"/>
                  <w:gridSpan w:val="2"/>
                  <w:tcBorders>
                    <w:tl2br w:val="nil"/>
                    <w:tr2bl w:val="nil"/>
                  </w:tcBorders>
                  <w:vAlign w:val="center"/>
                </w:tcPr>
                <w:p>
                  <w:pPr>
                    <w:jc w:val="center"/>
                    <w:rPr>
                      <w:szCs w:val="21"/>
                    </w:rPr>
                  </w:pPr>
                  <w:r>
                    <w:rPr>
                      <w:b/>
                      <w:szCs w:val="21"/>
                    </w:rPr>
                    <w:t>噪声贡献值/dB(A)</w:t>
                  </w:r>
                </w:p>
              </w:tc>
              <w:tc>
                <w:tcPr>
                  <w:tcW w:w="1015" w:type="dxa"/>
                  <w:gridSpan w:val="2"/>
                  <w:tcBorders>
                    <w:tl2br w:val="nil"/>
                    <w:tr2bl w:val="nil"/>
                  </w:tcBorders>
                  <w:vAlign w:val="center"/>
                </w:tcPr>
                <w:p>
                  <w:pPr>
                    <w:jc w:val="center"/>
                    <w:rPr>
                      <w:szCs w:val="21"/>
                    </w:rPr>
                  </w:pPr>
                  <w:r>
                    <w:rPr>
                      <w:b/>
                      <w:szCs w:val="21"/>
                    </w:rPr>
                    <w:t>噪声预测值/dB(A)</w:t>
                  </w:r>
                </w:p>
              </w:tc>
              <w:tc>
                <w:tcPr>
                  <w:tcW w:w="983" w:type="dxa"/>
                  <w:gridSpan w:val="2"/>
                  <w:tcBorders>
                    <w:tl2br w:val="nil"/>
                    <w:tr2bl w:val="nil"/>
                  </w:tcBorders>
                  <w:vAlign w:val="center"/>
                </w:tcPr>
                <w:p>
                  <w:pPr>
                    <w:jc w:val="center"/>
                    <w:rPr>
                      <w:szCs w:val="21"/>
                    </w:rPr>
                  </w:pPr>
                  <w:r>
                    <w:rPr>
                      <w:b/>
                      <w:szCs w:val="21"/>
                    </w:rPr>
                    <w:t>较现状增量/dB(A)</w:t>
                  </w:r>
                </w:p>
              </w:tc>
              <w:tc>
                <w:tcPr>
                  <w:tcW w:w="879" w:type="dxa"/>
                  <w:gridSpan w:val="2"/>
                  <w:tcBorders>
                    <w:tl2br w:val="nil"/>
                    <w:tr2bl w:val="nil"/>
                  </w:tcBorders>
                  <w:vAlign w:val="center"/>
                </w:tcPr>
                <w:p>
                  <w:pPr>
                    <w:jc w:val="center"/>
                    <w:rPr>
                      <w:szCs w:val="21"/>
                    </w:rPr>
                  </w:pPr>
                  <w:r>
                    <w:rPr>
                      <w:b/>
                      <w:szCs w:val="21"/>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jc w:val="center"/>
                    <w:rPr>
                      <w:szCs w:val="21"/>
                    </w:rPr>
                  </w:pPr>
                </w:p>
              </w:tc>
              <w:tc>
                <w:tcPr>
                  <w:tcW w:w="1007" w:type="dxa"/>
                  <w:vMerge w:val="continue"/>
                  <w:tcBorders>
                    <w:tl2br w:val="nil"/>
                    <w:tr2bl w:val="nil"/>
                  </w:tcBorders>
                  <w:shd w:val="clear" w:color="auto" w:fill="FFFFFF"/>
                  <w:vAlign w:val="center"/>
                </w:tcPr>
                <w:p>
                  <w:pPr>
                    <w:jc w:val="center"/>
                    <w:rPr>
                      <w:szCs w:val="21"/>
                    </w:rPr>
                  </w:pPr>
                </w:p>
              </w:tc>
              <w:tc>
                <w:tcPr>
                  <w:tcW w:w="506" w:type="dxa"/>
                  <w:tcBorders>
                    <w:tl2br w:val="nil"/>
                    <w:tr2bl w:val="nil"/>
                  </w:tcBorders>
                  <w:shd w:val="clear" w:color="auto" w:fill="FFFFFF"/>
                  <w:vAlign w:val="center"/>
                </w:tcPr>
                <w:p>
                  <w:pPr>
                    <w:jc w:val="center"/>
                    <w:rPr>
                      <w:szCs w:val="21"/>
                    </w:rPr>
                  </w:pPr>
                  <w:r>
                    <w:rPr>
                      <w:szCs w:val="21"/>
                    </w:rPr>
                    <w:t>昼间</w:t>
                  </w:r>
                </w:p>
              </w:tc>
              <w:tc>
                <w:tcPr>
                  <w:tcW w:w="508" w:type="dxa"/>
                  <w:tcBorders>
                    <w:tl2br w:val="nil"/>
                    <w:tr2bl w:val="nil"/>
                  </w:tcBorders>
                  <w:shd w:val="clear" w:color="auto" w:fill="FFFFFF"/>
                  <w:vAlign w:val="center"/>
                </w:tcPr>
                <w:p>
                  <w:pPr>
                    <w:jc w:val="center"/>
                    <w:rPr>
                      <w:szCs w:val="21"/>
                    </w:rPr>
                  </w:pPr>
                  <w:r>
                    <w:rPr>
                      <w:szCs w:val="21"/>
                    </w:rPr>
                    <w:t>夜间</w:t>
                  </w:r>
                </w:p>
              </w:tc>
              <w:tc>
                <w:tcPr>
                  <w:tcW w:w="507" w:type="dxa"/>
                  <w:tcBorders>
                    <w:tl2br w:val="nil"/>
                    <w:tr2bl w:val="nil"/>
                  </w:tcBorders>
                  <w:shd w:val="clear" w:color="auto" w:fill="FFFFFF"/>
                  <w:vAlign w:val="center"/>
                </w:tcPr>
                <w:p>
                  <w:pPr>
                    <w:jc w:val="center"/>
                    <w:rPr>
                      <w:szCs w:val="21"/>
                    </w:rPr>
                  </w:pPr>
                  <w:r>
                    <w:rPr>
                      <w:szCs w:val="21"/>
                    </w:rPr>
                    <w:t>昼间</w:t>
                  </w:r>
                </w:p>
              </w:tc>
              <w:tc>
                <w:tcPr>
                  <w:tcW w:w="508" w:type="dxa"/>
                  <w:tcBorders>
                    <w:tl2br w:val="nil"/>
                    <w:tr2bl w:val="nil"/>
                  </w:tcBorders>
                  <w:shd w:val="clear" w:color="auto" w:fill="FFFFFF"/>
                  <w:vAlign w:val="center"/>
                </w:tcPr>
                <w:p>
                  <w:pPr>
                    <w:jc w:val="center"/>
                    <w:rPr>
                      <w:szCs w:val="21"/>
                    </w:rPr>
                  </w:pPr>
                  <w:r>
                    <w:rPr>
                      <w:szCs w:val="21"/>
                    </w:rPr>
                    <w:t>夜间</w:t>
                  </w:r>
                </w:p>
              </w:tc>
              <w:tc>
                <w:tcPr>
                  <w:tcW w:w="436" w:type="dxa"/>
                  <w:tcBorders>
                    <w:tl2br w:val="nil"/>
                    <w:tr2bl w:val="nil"/>
                  </w:tcBorders>
                  <w:shd w:val="clear" w:color="auto" w:fill="FFFFFF"/>
                  <w:vAlign w:val="center"/>
                </w:tcPr>
                <w:p>
                  <w:pPr>
                    <w:jc w:val="center"/>
                    <w:rPr>
                      <w:szCs w:val="21"/>
                    </w:rPr>
                  </w:pPr>
                  <w:r>
                    <w:rPr>
                      <w:szCs w:val="21"/>
                    </w:rPr>
                    <w:t>昼间</w:t>
                  </w:r>
                </w:p>
              </w:tc>
              <w:tc>
                <w:tcPr>
                  <w:tcW w:w="437" w:type="dxa"/>
                  <w:tcBorders>
                    <w:tl2br w:val="nil"/>
                    <w:tr2bl w:val="nil"/>
                  </w:tcBorders>
                  <w:shd w:val="clear" w:color="auto" w:fill="FFFFFF"/>
                  <w:vAlign w:val="center"/>
                </w:tcPr>
                <w:p>
                  <w:pPr>
                    <w:jc w:val="center"/>
                    <w:rPr>
                      <w:szCs w:val="21"/>
                    </w:rPr>
                  </w:pPr>
                  <w:r>
                    <w:rPr>
                      <w:szCs w:val="21"/>
                    </w:rPr>
                    <w:t>夜间</w:t>
                  </w:r>
                </w:p>
              </w:tc>
              <w:tc>
                <w:tcPr>
                  <w:tcW w:w="507" w:type="dxa"/>
                  <w:tcBorders>
                    <w:tl2br w:val="nil"/>
                    <w:tr2bl w:val="nil"/>
                  </w:tcBorders>
                  <w:shd w:val="clear" w:color="auto" w:fill="FFFFFF"/>
                  <w:vAlign w:val="center"/>
                </w:tcPr>
                <w:p>
                  <w:pPr>
                    <w:jc w:val="center"/>
                    <w:rPr>
                      <w:szCs w:val="21"/>
                    </w:rPr>
                  </w:pPr>
                  <w:r>
                    <w:rPr>
                      <w:szCs w:val="21"/>
                    </w:rPr>
                    <w:t>昼间</w:t>
                  </w:r>
                </w:p>
              </w:tc>
              <w:tc>
                <w:tcPr>
                  <w:tcW w:w="508" w:type="dxa"/>
                  <w:tcBorders>
                    <w:tl2br w:val="nil"/>
                    <w:tr2bl w:val="nil"/>
                  </w:tcBorders>
                  <w:shd w:val="clear" w:color="auto" w:fill="FFFFFF"/>
                  <w:vAlign w:val="center"/>
                </w:tcPr>
                <w:p>
                  <w:pPr>
                    <w:jc w:val="center"/>
                    <w:rPr>
                      <w:szCs w:val="21"/>
                    </w:rPr>
                  </w:pPr>
                  <w:r>
                    <w:rPr>
                      <w:szCs w:val="21"/>
                    </w:rPr>
                    <w:t>夜间</w:t>
                  </w:r>
                </w:p>
              </w:tc>
              <w:tc>
                <w:tcPr>
                  <w:tcW w:w="507" w:type="dxa"/>
                  <w:tcBorders>
                    <w:tl2br w:val="nil"/>
                    <w:tr2bl w:val="nil"/>
                  </w:tcBorders>
                  <w:shd w:val="clear" w:color="auto" w:fill="FFFFFF"/>
                  <w:vAlign w:val="center"/>
                </w:tcPr>
                <w:p>
                  <w:pPr>
                    <w:jc w:val="center"/>
                    <w:rPr>
                      <w:szCs w:val="21"/>
                    </w:rPr>
                  </w:pPr>
                  <w:r>
                    <w:rPr>
                      <w:szCs w:val="21"/>
                    </w:rPr>
                    <w:t>昼间</w:t>
                  </w:r>
                </w:p>
              </w:tc>
              <w:tc>
                <w:tcPr>
                  <w:tcW w:w="508" w:type="dxa"/>
                  <w:tcBorders>
                    <w:tl2br w:val="nil"/>
                    <w:tr2bl w:val="nil"/>
                  </w:tcBorders>
                  <w:shd w:val="clear" w:color="auto" w:fill="FFFFFF"/>
                  <w:vAlign w:val="center"/>
                </w:tcPr>
                <w:p>
                  <w:pPr>
                    <w:jc w:val="center"/>
                    <w:rPr>
                      <w:szCs w:val="21"/>
                    </w:rPr>
                  </w:pPr>
                  <w:r>
                    <w:rPr>
                      <w:szCs w:val="21"/>
                    </w:rPr>
                    <w:t>夜间</w:t>
                  </w:r>
                </w:p>
              </w:tc>
              <w:tc>
                <w:tcPr>
                  <w:tcW w:w="491" w:type="dxa"/>
                  <w:tcBorders>
                    <w:tl2br w:val="nil"/>
                    <w:tr2bl w:val="nil"/>
                  </w:tcBorders>
                  <w:shd w:val="clear" w:color="auto" w:fill="FFFFFF"/>
                  <w:vAlign w:val="center"/>
                </w:tcPr>
                <w:p>
                  <w:pPr>
                    <w:jc w:val="center"/>
                    <w:rPr>
                      <w:szCs w:val="21"/>
                    </w:rPr>
                  </w:pPr>
                  <w:r>
                    <w:rPr>
                      <w:szCs w:val="21"/>
                    </w:rPr>
                    <w:t>昼间</w:t>
                  </w:r>
                </w:p>
              </w:tc>
              <w:tc>
                <w:tcPr>
                  <w:tcW w:w="492" w:type="dxa"/>
                  <w:tcBorders>
                    <w:tl2br w:val="nil"/>
                    <w:tr2bl w:val="nil"/>
                  </w:tcBorders>
                  <w:shd w:val="clear" w:color="auto" w:fill="FFFFFF"/>
                  <w:vAlign w:val="center"/>
                </w:tcPr>
                <w:p>
                  <w:pPr>
                    <w:jc w:val="center"/>
                    <w:rPr>
                      <w:szCs w:val="21"/>
                    </w:rPr>
                  </w:pPr>
                  <w:r>
                    <w:rPr>
                      <w:szCs w:val="21"/>
                    </w:rPr>
                    <w:t>夜间</w:t>
                  </w:r>
                </w:p>
              </w:tc>
              <w:tc>
                <w:tcPr>
                  <w:tcW w:w="439" w:type="dxa"/>
                  <w:tcBorders>
                    <w:tl2br w:val="nil"/>
                    <w:tr2bl w:val="nil"/>
                  </w:tcBorders>
                  <w:shd w:val="clear" w:color="auto" w:fill="FFFFFF"/>
                  <w:vAlign w:val="center"/>
                </w:tcPr>
                <w:p>
                  <w:pPr>
                    <w:jc w:val="center"/>
                    <w:rPr>
                      <w:szCs w:val="21"/>
                    </w:rPr>
                  </w:pPr>
                  <w:r>
                    <w:rPr>
                      <w:szCs w:val="21"/>
                    </w:rPr>
                    <w:t>昼间</w:t>
                  </w:r>
                </w:p>
              </w:tc>
              <w:tc>
                <w:tcPr>
                  <w:tcW w:w="440" w:type="dxa"/>
                  <w:tcBorders>
                    <w:tl2br w:val="nil"/>
                    <w:tr2bl w:val="nil"/>
                  </w:tcBorders>
                  <w:shd w:val="clear" w:color="auto" w:fill="FFFFFF"/>
                  <w:vAlign w:val="center"/>
                </w:tcPr>
                <w:p>
                  <w:pPr>
                    <w:jc w:val="center"/>
                    <w:rPr>
                      <w:szCs w:val="21"/>
                    </w:rPr>
                  </w:pPr>
                  <w:r>
                    <w:rPr>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szCs w:val="21"/>
                    </w:rPr>
                  </w:pPr>
                  <w:r>
                    <w:rPr>
                      <w:szCs w:val="21"/>
                    </w:rPr>
                    <w:t>1</w:t>
                  </w:r>
                </w:p>
              </w:tc>
              <w:tc>
                <w:tcPr>
                  <w:tcW w:w="1007" w:type="dxa"/>
                  <w:tcBorders>
                    <w:tl2br w:val="nil"/>
                    <w:tr2bl w:val="nil"/>
                  </w:tcBorders>
                  <w:shd w:val="clear" w:color="auto" w:fill="FFFFFF"/>
                  <w:vAlign w:val="center"/>
                </w:tcPr>
                <w:p>
                  <w:pPr>
                    <w:rPr>
                      <w:szCs w:val="21"/>
                    </w:rPr>
                  </w:pPr>
                  <w:r>
                    <w:rPr>
                      <w:rFonts w:hint="eastAsia"/>
                      <w:szCs w:val="21"/>
                    </w:rPr>
                    <w:t>4</w:t>
                  </w:r>
                  <w:r>
                    <w:rPr>
                      <w:szCs w:val="21"/>
                    </w:rPr>
                    <w:t>#居民点</w:t>
                  </w:r>
                </w:p>
              </w:tc>
              <w:tc>
                <w:tcPr>
                  <w:tcW w:w="506"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507"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436" w:type="dxa"/>
                  <w:tcBorders>
                    <w:tl2br w:val="nil"/>
                    <w:tr2bl w:val="nil"/>
                  </w:tcBorders>
                  <w:shd w:val="clear" w:color="auto" w:fill="FFFFFF"/>
                  <w:vAlign w:val="center"/>
                </w:tcPr>
                <w:p>
                  <w:pPr>
                    <w:widowControl/>
                    <w:jc w:val="center"/>
                    <w:textAlignment w:val="center"/>
                    <w:rPr>
                      <w:szCs w:val="21"/>
                    </w:rPr>
                  </w:pPr>
                  <w:r>
                    <w:rPr>
                      <w:kern w:val="0"/>
                      <w:szCs w:val="21"/>
                      <w:lang w:bidi="ar"/>
                    </w:rPr>
                    <w:t>60</w:t>
                  </w:r>
                </w:p>
              </w:tc>
              <w:tc>
                <w:tcPr>
                  <w:tcW w:w="437" w:type="dxa"/>
                  <w:tcBorders>
                    <w:tl2br w:val="nil"/>
                    <w:tr2bl w:val="nil"/>
                  </w:tcBorders>
                  <w:shd w:val="clear" w:color="auto" w:fill="FFFFFF"/>
                  <w:vAlign w:val="center"/>
                </w:tcPr>
                <w:p>
                  <w:pPr>
                    <w:widowControl/>
                    <w:jc w:val="center"/>
                    <w:textAlignment w:val="center"/>
                    <w:rPr>
                      <w:szCs w:val="21"/>
                    </w:rPr>
                  </w:pPr>
                  <w:r>
                    <w:rPr>
                      <w:kern w:val="0"/>
                      <w:szCs w:val="21"/>
                      <w:lang w:bidi="ar"/>
                    </w:rPr>
                    <w:t>50</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43.0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43.0 </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56.2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47.1 </w:t>
                  </w:r>
                </w:p>
              </w:tc>
              <w:tc>
                <w:tcPr>
                  <w:tcW w:w="491" w:type="dxa"/>
                  <w:tcBorders>
                    <w:tl2br w:val="nil"/>
                    <w:tr2bl w:val="nil"/>
                  </w:tcBorders>
                  <w:shd w:val="clear" w:color="auto" w:fill="FFFFFF"/>
                  <w:vAlign w:val="center"/>
                </w:tcPr>
                <w:p>
                  <w:pPr>
                    <w:widowControl/>
                    <w:jc w:val="center"/>
                    <w:textAlignment w:val="center"/>
                    <w:rPr>
                      <w:szCs w:val="21"/>
                    </w:rPr>
                  </w:pPr>
                  <w:r>
                    <w:rPr>
                      <w:rFonts w:hint="eastAsia"/>
                      <w:szCs w:val="21"/>
                    </w:rPr>
                    <w:t>0.2</w:t>
                  </w:r>
                </w:p>
              </w:tc>
              <w:tc>
                <w:tcPr>
                  <w:tcW w:w="492" w:type="dxa"/>
                  <w:tcBorders>
                    <w:tl2br w:val="nil"/>
                    <w:tr2bl w:val="nil"/>
                  </w:tcBorders>
                  <w:shd w:val="clear" w:color="auto" w:fill="FFFFFF"/>
                  <w:vAlign w:val="center"/>
                </w:tcPr>
                <w:p>
                  <w:pPr>
                    <w:widowControl/>
                    <w:jc w:val="center"/>
                    <w:textAlignment w:val="center"/>
                    <w:rPr>
                      <w:szCs w:val="21"/>
                    </w:rPr>
                  </w:pPr>
                  <w:r>
                    <w:rPr>
                      <w:rFonts w:hint="eastAsia"/>
                      <w:szCs w:val="21"/>
                    </w:rPr>
                    <w:t>2.1</w:t>
                  </w:r>
                </w:p>
              </w:tc>
              <w:tc>
                <w:tcPr>
                  <w:tcW w:w="439"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c>
                <w:tcPr>
                  <w:tcW w:w="440"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szCs w:val="21"/>
                    </w:rPr>
                  </w:pPr>
                  <w:r>
                    <w:rPr>
                      <w:szCs w:val="21"/>
                    </w:rPr>
                    <w:t>2</w:t>
                  </w:r>
                </w:p>
              </w:tc>
              <w:tc>
                <w:tcPr>
                  <w:tcW w:w="1007" w:type="dxa"/>
                  <w:tcBorders>
                    <w:tl2br w:val="nil"/>
                    <w:tr2bl w:val="nil"/>
                  </w:tcBorders>
                  <w:shd w:val="clear" w:color="auto" w:fill="FFFFFF"/>
                  <w:vAlign w:val="center"/>
                </w:tcPr>
                <w:p>
                  <w:pPr>
                    <w:rPr>
                      <w:szCs w:val="21"/>
                    </w:rPr>
                  </w:pPr>
                  <w:r>
                    <w:rPr>
                      <w:rFonts w:hint="eastAsia"/>
                      <w:szCs w:val="21"/>
                    </w:rPr>
                    <w:t>7</w:t>
                  </w:r>
                  <w:r>
                    <w:rPr>
                      <w:szCs w:val="21"/>
                    </w:rPr>
                    <w:t>#居民点</w:t>
                  </w:r>
                </w:p>
              </w:tc>
              <w:tc>
                <w:tcPr>
                  <w:tcW w:w="506"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507"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436" w:type="dxa"/>
                  <w:tcBorders>
                    <w:tl2br w:val="nil"/>
                    <w:tr2bl w:val="nil"/>
                  </w:tcBorders>
                  <w:shd w:val="clear" w:color="auto" w:fill="FFFFFF"/>
                  <w:vAlign w:val="center"/>
                </w:tcPr>
                <w:p>
                  <w:pPr>
                    <w:widowControl/>
                    <w:jc w:val="center"/>
                    <w:textAlignment w:val="center"/>
                    <w:rPr>
                      <w:szCs w:val="21"/>
                    </w:rPr>
                  </w:pPr>
                  <w:r>
                    <w:rPr>
                      <w:kern w:val="0"/>
                      <w:szCs w:val="21"/>
                      <w:lang w:bidi="ar"/>
                    </w:rPr>
                    <w:t>60</w:t>
                  </w:r>
                </w:p>
              </w:tc>
              <w:tc>
                <w:tcPr>
                  <w:tcW w:w="437" w:type="dxa"/>
                  <w:tcBorders>
                    <w:tl2br w:val="nil"/>
                    <w:tr2bl w:val="nil"/>
                  </w:tcBorders>
                  <w:shd w:val="clear" w:color="auto" w:fill="FFFFFF"/>
                  <w:vAlign w:val="center"/>
                </w:tcPr>
                <w:p>
                  <w:pPr>
                    <w:widowControl/>
                    <w:jc w:val="center"/>
                    <w:textAlignment w:val="center"/>
                    <w:rPr>
                      <w:szCs w:val="21"/>
                    </w:rPr>
                  </w:pPr>
                  <w:r>
                    <w:rPr>
                      <w:kern w:val="0"/>
                      <w:szCs w:val="21"/>
                      <w:lang w:bidi="ar"/>
                    </w:rPr>
                    <w:t>50</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44.5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44.5 </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56.3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47.8 </w:t>
                  </w:r>
                </w:p>
              </w:tc>
              <w:tc>
                <w:tcPr>
                  <w:tcW w:w="491" w:type="dxa"/>
                  <w:tcBorders>
                    <w:tl2br w:val="nil"/>
                    <w:tr2bl w:val="nil"/>
                  </w:tcBorders>
                  <w:shd w:val="clear" w:color="auto" w:fill="FFFFFF"/>
                  <w:vAlign w:val="center"/>
                </w:tcPr>
                <w:p>
                  <w:pPr>
                    <w:widowControl/>
                    <w:jc w:val="center"/>
                    <w:textAlignment w:val="center"/>
                    <w:rPr>
                      <w:szCs w:val="21"/>
                    </w:rPr>
                  </w:pPr>
                  <w:r>
                    <w:rPr>
                      <w:rFonts w:hint="eastAsia"/>
                      <w:szCs w:val="21"/>
                    </w:rPr>
                    <w:t>0.3</w:t>
                  </w:r>
                </w:p>
              </w:tc>
              <w:tc>
                <w:tcPr>
                  <w:tcW w:w="492" w:type="dxa"/>
                  <w:tcBorders>
                    <w:tl2br w:val="nil"/>
                    <w:tr2bl w:val="nil"/>
                  </w:tcBorders>
                  <w:shd w:val="clear" w:color="auto" w:fill="FFFFFF"/>
                  <w:vAlign w:val="center"/>
                </w:tcPr>
                <w:p>
                  <w:pPr>
                    <w:widowControl/>
                    <w:jc w:val="center"/>
                    <w:textAlignment w:val="center"/>
                    <w:rPr>
                      <w:szCs w:val="21"/>
                    </w:rPr>
                  </w:pPr>
                  <w:r>
                    <w:rPr>
                      <w:rFonts w:hint="eastAsia"/>
                      <w:szCs w:val="21"/>
                    </w:rPr>
                    <w:t>2.8</w:t>
                  </w:r>
                </w:p>
              </w:tc>
              <w:tc>
                <w:tcPr>
                  <w:tcW w:w="439"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c>
                <w:tcPr>
                  <w:tcW w:w="440"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szCs w:val="21"/>
                    </w:rPr>
                  </w:pPr>
                  <w:r>
                    <w:rPr>
                      <w:szCs w:val="21"/>
                    </w:rPr>
                    <w:t>3</w:t>
                  </w:r>
                </w:p>
              </w:tc>
              <w:tc>
                <w:tcPr>
                  <w:tcW w:w="1007" w:type="dxa"/>
                  <w:tcBorders>
                    <w:tl2br w:val="nil"/>
                    <w:tr2bl w:val="nil"/>
                  </w:tcBorders>
                  <w:shd w:val="clear" w:color="auto" w:fill="FFFFFF"/>
                  <w:vAlign w:val="center"/>
                </w:tcPr>
                <w:p>
                  <w:pPr>
                    <w:rPr>
                      <w:szCs w:val="21"/>
                    </w:rPr>
                  </w:pPr>
                  <w:r>
                    <w:rPr>
                      <w:rFonts w:hint="eastAsia"/>
                      <w:szCs w:val="21"/>
                    </w:rPr>
                    <w:t>8</w:t>
                  </w:r>
                  <w:r>
                    <w:rPr>
                      <w:szCs w:val="21"/>
                    </w:rPr>
                    <w:t>#居民点</w:t>
                  </w:r>
                </w:p>
              </w:tc>
              <w:tc>
                <w:tcPr>
                  <w:tcW w:w="506"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507"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436" w:type="dxa"/>
                  <w:tcBorders>
                    <w:tl2br w:val="nil"/>
                    <w:tr2bl w:val="nil"/>
                  </w:tcBorders>
                  <w:shd w:val="clear" w:color="auto" w:fill="FFFFFF"/>
                  <w:vAlign w:val="center"/>
                </w:tcPr>
                <w:p>
                  <w:pPr>
                    <w:widowControl/>
                    <w:jc w:val="center"/>
                    <w:textAlignment w:val="center"/>
                    <w:rPr>
                      <w:szCs w:val="21"/>
                    </w:rPr>
                  </w:pPr>
                  <w:r>
                    <w:rPr>
                      <w:kern w:val="0"/>
                      <w:szCs w:val="21"/>
                      <w:lang w:bidi="ar"/>
                    </w:rPr>
                    <w:t>60</w:t>
                  </w:r>
                </w:p>
              </w:tc>
              <w:tc>
                <w:tcPr>
                  <w:tcW w:w="437" w:type="dxa"/>
                  <w:tcBorders>
                    <w:tl2br w:val="nil"/>
                    <w:tr2bl w:val="nil"/>
                  </w:tcBorders>
                  <w:shd w:val="clear" w:color="auto" w:fill="FFFFFF"/>
                  <w:vAlign w:val="center"/>
                </w:tcPr>
                <w:p>
                  <w:pPr>
                    <w:widowControl/>
                    <w:jc w:val="center"/>
                    <w:textAlignment w:val="center"/>
                    <w:rPr>
                      <w:szCs w:val="21"/>
                    </w:rPr>
                  </w:pPr>
                  <w:r>
                    <w:rPr>
                      <w:kern w:val="0"/>
                      <w:szCs w:val="21"/>
                      <w:lang w:bidi="ar"/>
                    </w:rPr>
                    <w:t>50</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41.0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41.0 </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56.1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46.5 </w:t>
                  </w:r>
                </w:p>
              </w:tc>
              <w:tc>
                <w:tcPr>
                  <w:tcW w:w="491" w:type="dxa"/>
                  <w:tcBorders>
                    <w:tl2br w:val="nil"/>
                    <w:tr2bl w:val="nil"/>
                  </w:tcBorders>
                  <w:shd w:val="clear" w:color="auto" w:fill="FFFFFF"/>
                  <w:vAlign w:val="center"/>
                </w:tcPr>
                <w:p>
                  <w:pPr>
                    <w:widowControl/>
                    <w:jc w:val="center"/>
                    <w:textAlignment w:val="center"/>
                    <w:rPr>
                      <w:szCs w:val="21"/>
                    </w:rPr>
                  </w:pPr>
                  <w:r>
                    <w:rPr>
                      <w:rFonts w:hint="eastAsia"/>
                      <w:szCs w:val="21"/>
                    </w:rPr>
                    <w:t>0.1</w:t>
                  </w:r>
                </w:p>
              </w:tc>
              <w:tc>
                <w:tcPr>
                  <w:tcW w:w="492" w:type="dxa"/>
                  <w:tcBorders>
                    <w:tl2br w:val="nil"/>
                    <w:tr2bl w:val="nil"/>
                  </w:tcBorders>
                  <w:shd w:val="clear" w:color="auto" w:fill="FFFFFF"/>
                  <w:vAlign w:val="center"/>
                </w:tcPr>
                <w:p>
                  <w:pPr>
                    <w:widowControl/>
                    <w:jc w:val="center"/>
                    <w:textAlignment w:val="center"/>
                    <w:rPr>
                      <w:szCs w:val="21"/>
                    </w:rPr>
                  </w:pPr>
                  <w:r>
                    <w:rPr>
                      <w:rFonts w:hint="eastAsia"/>
                      <w:szCs w:val="21"/>
                    </w:rPr>
                    <w:t>1.5</w:t>
                  </w:r>
                </w:p>
              </w:tc>
              <w:tc>
                <w:tcPr>
                  <w:tcW w:w="439"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c>
                <w:tcPr>
                  <w:tcW w:w="440"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rPr>
                      <w:szCs w:val="21"/>
                    </w:rPr>
                  </w:pPr>
                  <w:r>
                    <w:rPr>
                      <w:szCs w:val="21"/>
                    </w:rPr>
                    <w:t>4</w:t>
                  </w:r>
                </w:p>
              </w:tc>
              <w:tc>
                <w:tcPr>
                  <w:tcW w:w="1007" w:type="dxa"/>
                  <w:tcBorders>
                    <w:tl2br w:val="nil"/>
                    <w:tr2bl w:val="nil"/>
                  </w:tcBorders>
                  <w:shd w:val="clear" w:color="auto" w:fill="FFFFFF"/>
                  <w:vAlign w:val="center"/>
                </w:tcPr>
                <w:p>
                  <w:pPr>
                    <w:rPr>
                      <w:szCs w:val="21"/>
                    </w:rPr>
                  </w:pPr>
                  <w:r>
                    <w:rPr>
                      <w:rFonts w:hint="eastAsia"/>
                      <w:szCs w:val="21"/>
                    </w:rPr>
                    <w:t>9</w:t>
                  </w:r>
                  <w:r>
                    <w:rPr>
                      <w:szCs w:val="21"/>
                    </w:rPr>
                    <w:t>#居民点</w:t>
                  </w:r>
                </w:p>
              </w:tc>
              <w:tc>
                <w:tcPr>
                  <w:tcW w:w="506"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507" w:type="dxa"/>
                  <w:tcBorders>
                    <w:tl2br w:val="nil"/>
                    <w:tr2bl w:val="nil"/>
                  </w:tcBorders>
                  <w:shd w:val="clear" w:color="auto" w:fill="FFFFFF"/>
                  <w:vAlign w:val="center"/>
                </w:tcPr>
                <w:p>
                  <w:pPr>
                    <w:jc w:val="center"/>
                    <w:rPr>
                      <w:szCs w:val="21"/>
                    </w:rPr>
                  </w:pPr>
                  <w:r>
                    <w:rPr>
                      <w:rFonts w:hint="eastAsia"/>
                      <w:szCs w:val="21"/>
                    </w:rPr>
                    <w:t>56</w:t>
                  </w:r>
                </w:p>
              </w:tc>
              <w:tc>
                <w:tcPr>
                  <w:tcW w:w="508" w:type="dxa"/>
                  <w:tcBorders>
                    <w:tl2br w:val="nil"/>
                    <w:tr2bl w:val="nil"/>
                  </w:tcBorders>
                  <w:shd w:val="clear" w:color="auto" w:fill="FFFFFF"/>
                  <w:vAlign w:val="center"/>
                </w:tcPr>
                <w:p>
                  <w:pPr>
                    <w:jc w:val="center"/>
                    <w:rPr>
                      <w:szCs w:val="21"/>
                    </w:rPr>
                  </w:pPr>
                  <w:r>
                    <w:rPr>
                      <w:rFonts w:hint="eastAsia"/>
                      <w:szCs w:val="21"/>
                    </w:rPr>
                    <w:t>45</w:t>
                  </w:r>
                </w:p>
              </w:tc>
              <w:tc>
                <w:tcPr>
                  <w:tcW w:w="436" w:type="dxa"/>
                  <w:tcBorders>
                    <w:tl2br w:val="nil"/>
                    <w:tr2bl w:val="nil"/>
                  </w:tcBorders>
                  <w:shd w:val="clear" w:color="auto" w:fill="FFFFFF"/>
                  <w:vAlign w:val="center"/>
                </w:tcPr>
                <w:p>
                  <w:pPr>
                    <w:widowControl/>
                    <w:jc w:val="center"/>
                    <w:textAlignment w:val="center"/>
                    <w:rPr>
                      <w:szCs w:val="21"/>
                    </w:rPr>
                  </w:pPr>
                  <w:r>
                    <w:rPr>
                      <w:kern w:val="0"/>
                      <w:szCs w:val="21"/>
                      <w:lang w:bidi="ar"/>
                    </w:rPr>
                    <w:t>60</w:t>
                  </w:r>
                </w:p>
              </w:tc>
              <w:tc>
                <w:tcPr>
                  <w:tcW w:w="437" w:type="dxa"/>
                  <w:tcBorders>
                    <w:tl2br w:val="nil"/>
                    <w:tr2bl w:val="nil"/>
                  </w:tcBorders>
                  <w:shd w:val="clear" w:color="auto" w:fill="FFFFFF"/>
                  <w:vAlign w:val="center"/>
                </w:tcPr>
                <w:p>
                  <w:pPr>
                    <w:widowControl/>
                    <w:jc w:val="center"/>
                    <w:textAlignment w:val="center"/>
                    <w:rPr>
                      <w:szCs w:val="21"/>
                    </w:rPr>
                  </w:pPr>
                  <w:r>
                    <w:rPr>
                      <w:kern w:val="0"/>
                      <w:szCs w:val="21"/>
                      <w:lang w:bidi="ar"/>
                    </w:rPr>
                    <w:t>50</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43.1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43.1 </w:t>
                  </w:r>
                </w:p>
              </w:tc>
              <w:tc>
                <w:tcPr>
                  <w:tcW w:w="507"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56.2 </w:t>
                  </w:r>
                </w:p>
              </w:tc>
              <w:tc>
                <w:tcPr>
                  <w:tcW w:w="508"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47.1 </w:t>
                  </w:r>
                </w:p>
              </w:tc>
              <w:tc>
                <w:tcPr>
                  <w:tcW w:w="491" w:type="dxa"/>
                  <w:tcBorders>
                    <w:tl2br w:val="nil"/>
                    <w:tr2bl w:val="nil"/>
                  </w:tcBorders>
                  <w:shd w:val="clear" w:color="auto" w:fill="FFFFFF"/>
                  <w:vAlign w:val="center"/>
                </w:tcPr>
                <w:p>
                  <w:pPr>
                    <w:widowControl/>
                    <w:jc w:val="center"/>
                    <w:textAlignment w:val="center"/>
                    <w:rPr>
                      <w:szCs w:val="21"/>
                    </w:rPr>
                  </w:pPr>
                  <w:r>
                    <w:rPr>
                      <w:rFonts w:hint="eastAsia"/>
                      <w:szCs w:val="21"/>
                    </w:rPr>
                    <w:t>0.2</w:t>
                  </w:r>
                </w:p>
              </w:tc>
              <w:tc>
                <w:tcPr>
                  <w:tcW w:w="492" w:type="dxa"/>
                  <w:tcBorders>
                    <w:tl2br w:val="nil"/>
                    <w:tr2bl w:val="nil"/>
                  </w:tcBorders>
                  <w:shd w:val="clear" w:color="auto" w:fill="FFFFFF"/>
                  <w:vAlign w:val="center"/>
                </w:tcPr>
                <w:p>
                  <w:pPr>
                    <w:widowControl/>
                    <w:jc w:val="center"/>
                    <w:textAlignment w:val="center"/>
                    <w:rPr>
                      <w:szCs w:val="21"/>
                    </w:rPr>
                  </w:pPr>
                  <w:r>
                    <w:rPr>
                      <w:rFonts w:hint="eastAsia"/>
                      <w:szCs w:val="21"/>
                    </w:rPr>
                    <w:t>2.1</w:t>
                  </w:r>
                </w:p>
              </w:tc>
              <w:tc>
                <w:tcPr>
                  <w:tcW w:w="439"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c>
                <w:tcPr>
                  <w:tcW w:w="440" w:type="dxa"/>
                  <w:tcBorders>
                    <w:tl2br w:val="nil"/>
                    <w:tr2bl w:val="nil"/>
                  </w:tcBorders>
                  <w:shd w:val="clear" w:color="auto" w:fill="FFFFFF"/>
                  <w:vAlign w:val="center"/>
                </w:tcPr>
                <w:p>
                  <w:pPr>
                    <w:widowControl/>
                    <w:jc w:val="left"/>
                    <w:textAlignment w:val="center"/>
                    <w:rPr>
                      <w:szCs w:val="21"/>
                    </w:rPr>
                  </w:pPr>
                  <w:r>
                    <w:rPr>
                      <w:kern w:val="0"/>
                      <w:szCs w:val="21"/>
                      <w:lang w:bidi="ar"/>
                    </w:rPr>
                    <w:t>达标</w:t>
                  </w:r>
                </w:p>
              </w:tc>
            </w:tr>
          </w:tbl>
          <w:p>
            <w:pPr>
              <w:spacing w:line="360" w:lineRule="auto"/>
              <w:ind w:firstLine="480" w:firstLineChars="200"/>
              <w:rPr>
                <w:sz w:val="24"/>
              </w:rPr>
            </w:pPr>
            <w:r>
              <w:rPr>
                <w:sz w:val="24"/>
              </w:rPr>
              <w:t>根据以上预测结果，钻井工程预测结果</w:t>
            </w:r>
            <w:r>
              <w:rPr>
                <w:rFonts w:hint="eastAsia"/>
                <w:sz w:val="24"/>
              </w:rPr>
              <w:t>昼间均能满足《建筑施工场界环境噪声排放标准》（GB 12523-2011）标准</w:t>
            </w:r>
            <w:r>
              <w:rPr>
                <w:sz w:val="24"/>
              </w:rPr>
              <w:t>，本项目施工时间短，随着施工结束噪声影响随之消失，因此不会对当地声环境造成影响。根据对周围敏感点预测可知，周边敏感点处均满足《声环境质量标准》(GB3096-2008)中2类区标准值，因此对周边敏感点造成影响较小。</w:t>
            </w:r>
          </w:p>
          <w:p>
            <w:pPr>
              <w:spacing w:line="360" w:lineRule="auto"/>
              <w:rPr>
                <w:b/>
                <w:sz w:val="24"/>
              </w:rPr>
            </w:pPr>
            <w:r>
              <w:rPr>
                <w:b/>
                <w:sz w:val="24"/>
              </w:rPr>
              <w:t>4.2.4固体废物环境影响分析</w:t>
            </w:r>
          </w:p>
          <w:p>
            <w:pPr>
              <w:spacing w:line="360" w:lineRule="auto"/>
              <w:ind w:firstLine="480" w:firstLineChars="200"/>
              <w:rPr>
                <w:sz w:val="24"/>
              </w:rPr>
            </w:pPr>
            <w:r>
              <w:rPr>
                <w:sz w:val="24"/>
              </w:rPr>
              <w:t>钻井过程中产生的固体废物主要有废水基泥浆、一般钻井岩屑、油基岩屑、废油、废油桶、废包装材料、废棉纱/手套等，还有井队员工产生的生活垃圾。</w:t>
            </w:r>
          </w:p>
          <w:p>
            <w:pPr>
              <w:spacing w:line="360" w:lineRule="auto"/>
              <w:ind w:firstLine="480" w:firstLineChars="200"/>
              <w:rPr>
                <w:sz w:val="24"/>
              </w:rPr>
            </w:pPr>
            <w:r>
              <w:rPr>
                <w:sz w:val="24"/>
              </w:rPr>
              <w:t>（1）废水基泥浆</w:t>
            </w:r>
          </w:p>
          <w:p>
            <w:pPr>
              <w:spacing w:line="360" w:lineRule="auto"/>
              <w:ind w:firstLine="480" w:firstLineChars="200"/>
              <w:rPr>
                <w:sz w:val="24"/>
              </w:rPr>
            </w:pPr>
            <w:r>
              <w:rPr>
                <w:sz w:val="24"/>
              </w:rPr>
              <w:t>为达到安全、快速钻井的目的，钻井泥浆常使用各类的钻井液添加剂。钻井过程中产生的废钻井泥浆主要来源，主要来源于以下情况：</w:t>
            </w:r>
          </w:p>
          <w:p>
            <w:pPr>
              <w:spacing w:line="360" w:lineRule="auto"/>
              <w:ind w:firstLine="480" w:firstLineChars="200"/>
              <w:rPr>
                <w:sz w:val="24"/>
              </w:rPr>
            </w:pPr>
            <w:r>
              <w:rPr>
                <w:sz w:val="24"/>
              </w:rPr>
              <w:t>①被更换的不适于钻井工程和地质要求的钻井泥浆。</w:t>
            </w:r>
          </w:p>
          <w:p>
            <w:pPr>
              <w:spacing w:line="360" w:lineRule="auto"/>
              <w:ind w:firstLine="480" w:firstLineChars="200"/>
              <w:rPr>
                <w:sz w:val="24"/>
              </w:rPr>
            </w:pPr>
            <w:r>
              <w:rPr>
                <w:sz w:val="24"/>
              </w:rPr>
              <w:t>②在钻井过程中，因部分性能不合格而被排放的钻井泥浆。</w:t>
            </w:r>
          </w:p>
          <w:p>
            <w:pPr>
              <w:spacing w:line="360" w:lineRule="auto"/>
              <w:ind w:firstLine="480" w:firstLineChars="200"/>
              <w:rPr>
                <w:sz w:val="24"/>
              </w:rPr>
            </w:pPr>
            <w:r>
              <w:rPr>
                <w:sz w:val="24"/>
              </w:rPr>
              <w:t>③完井时井筒内被清水替出的钻井泥浆。</w:t>
            </w:r>
          </w:p>
          <w:p>
            <w:pPr>
              <w:spacing w:line="360" w:lineRule="auto"/>
              <w:ind w:firstLine="480" w:firstLineChars="200"/>
              <w:rPr>
                <w:sz w:val="24"/>
              </w:rPr>
            </w:pPr>
            <w:r>
              <w:rPr>
                <w:sz w:val="24"/>
              </w:rPr>
              <w:t>④由钻井泥浆循环系统跑、冒、滴、漏而排出的钻井泥浆。</w:t>
            </w:r>
          </w:p>
          <w:p>
            <w:pPr>
              <w:spacing w:line="360" w:lineRule="auto"/>
              <w:ind w:firstLine="480" w:firstLineChars="200"/>
              <w:rPr>
                <w:sz w:val="24"/>
              </w:rPr>
            </w:pPr>
            <w:r>
              <w:rPr>
                <w:sz w:val="24"/>
              </w:rPr>
              <w:t>⑤钻屑与钻井液分离时，钻屑表面粘附的钻井液。</w:t>
            </w:r>
          </w:p>
          <w:p>
            <w:pPr>
              <w:spacing w:line="360" w:lineRule="auto"/>
              <w:ind w:firstLine="480" w:firstLineChars="200"/>
              <w:rPr>
                <w:sz w:val="24"/>
              </w:rPr>
            </w:pPr>
            <w:r>
              <w:rPr>
                <w:sz w:val="24"/>
              </w:rPr>
              <w:t>本工程采用随钻不落地处理技术，类比同类型钻井工程处理成果，废水基泥浆以每米进尺0.02m</w:t>
            </w:r>
            <w:r>
              <w:rPr>
                <w:sz w:val="24"/>
                <w:vertAlign w:val="superscript"/>
              </w:rPr>
              <w:t>3</w:t>
            </w:r>
            <w:r>
              <w:rPr>
                <w:sz w:val="24"/>
              </w:rPr>
              <w:t>计算，</w:t>
            </w:r>
            <w:r>
              <w:rPr>
                <w:rFonts w:hint="eastAsia"/>
                <w:sz w:val="24"/>
              </w:rPr>
              <w:t>导眼</w:t>
            </w:r>
            <w:r>
              <w:rPr>
                <w:sz w:val="24"/>
              </w:rPr>
              <w:t>井段采用水基泥浆钻井井深为</w:t>
            </w:r>
            <w:r>
              <w:rPr>
                <w:rFonts w:hint="eastAsia"/>
                <w:sz w:val="24"/>
              </w:rPr>
              <w:t>686</w:t>
            </w:r>
            <w:r>
              <w:rPr>
                <w:sz w:val="24"/>
              </w:rPr>
              <w:t>m，则单井废水基泥浆产生量约</w:t>
            </w:r>
            <w:r>
              <w:rPr>
                <w:rFonts w:hint="eastAsia"/>
                <w:sz w:val="24"/>
              </w:rPr>
              <w:t>13.7</w:t>
            </w:r>
            <w:r>
              <w:rPr>
                <w:sz w:val="24"/>
              </w:rPr>
              <w:t>m</w:t>
            </w:r>
            <w:r>
              <w:rPr>
                <w:sz w:val="24"/>
                <w:vertAlign w:val="superscript"/>
              </w:rPr>
              <w:t>3</w:t>
            </w:r>
            <w:r>
              <w:rPr>
                <w:sz w:val="24"/>
              </w:rPr>
              <w:t>（</w:t>
            </w:r>
            <w:r>
              <w:rPr>
                <w:rFonts w:hint="eastAsia"/>
                <w:sz w:val="24"/>
              </w:rPr>
              <w:t>20</w:t>
            </w:r>
            <w:r>
              <w:rPr>
                <w:sz w:val="24"/>
              </w:rPr>
              <w:t>.</w:t>
            </w:r>
            <w:r>
              <w:rPr>
                <w:rFonts w:hint="eastAsia"/>
                <w:sz w:val="24"/>
              </w:rPr>
              <w:t>5</w:t>
            </w:r>
            <w:r>
              <w:rPr>
                <w:sz w:val="24"/>
              </w:rPr>
              <w:t>5t）。项目水基泥浆阶段使用聚合物钻井液，根据《国家危险废物名录2021年版》《危险废物排除管理清单（2021年版）》，废弃水基钻井泥浆及岩屑不属于危险废物。因此项目使用水基泥浆（聚合物钻井液）钻井，产生的废水基泥浆为一般工业固废。</w:t>
            </w:r>
          </w:p>
          <w:p>
            <w:pPr>
              <w:spacing w:line="360" w:lineRule="auto"/>
              <w:ind w:firstLine="480" w:firstLineChars="200"/>
              <w:rPr>
                <w:sz w:val="24"/>
              </w:rPr>
            </w:pPr>
            <w:r>
              <w:rPr>
                <w:sz w:val="24"/>
              </w:rPr>
              <w:t>（2）水基钻井岩屑</w:t>
            </w:r>
          </w:p>
          <w:p>
            <w:pPr>
              <w:spacing w:line="360" w:lineRule="auto"/>
              <w:ind w:firstLine="480" w:firstLineChars="200"/>
              <w:rPr>
                <w:sz w:val="24"/>
              </w:rPr>
            </w:pPr>
            <w:r>
              <w:rPr>
                <w:sz w:val="24"/>
              </w:rPr>
              <w:t>钻井岩屑是在钻井过程中钻头切屑地层岩石而产生的碎屑，其产生量与井眼长度，平均井径及岩性有关。</w:t>
            </w:r>
          </w:p>
          <w:p>
            <w:pPr>
              <w:spacing w:line="360" w:lineRule="auto"/>
              <w:ind w:firstLine="480" w:firstLineChars="200"/>
              <w:rPr>
                <w:sz w:val="24"/>
              </w:rPr>
            </w:pPr>
            <w:r>
              <w:rPr>
                <w:sz w:val="24"/>
              </w:rPr>
              <w:t>水基钻井液钻井阶段从振动筛收集岩屑含水率高（水基钻井岩屑含水率约80%），施工单位将固体大颗粒岩屑进入清洁化操作平台中水基岩屑收集罐自然沉淀后固相物质进入搅拌罐，通过减量装置（压滤机等）处理，含水率控制在65%以下。根据钻探公司的统计经验数据，减量装置处理后水基钻井岩屑产生量约为每米井身0.3t。拟建项目</w:t>
            </w:r>
            <w:r>
              <w:rPr>
                <w:rFonts w:hint="eastAsia"/>
                <w:sz w:val="24"/>
              </w:rPr>
              <w:t>导眼段</w:t>
            </w:r>
            <w:r>
              <w:rPr>
                <w:sz w:val="24"/>
              </w:rPr>
              <w:t>水基泥浆钻井</w:t>
            </w:r>
            <w:r>
              <w:rPr>
                <w:rFonts w:hint="eastAsia"/>
                <w:sz w:val="24"/>
              </w:rPr>
              <w:t>深度约</w:t>
            </w:r>
            <w:r>
              <w:rPr>
                <w:sz w:val="24"/>
              </w:rPr>
              <w:t>为</w:t>
            </w:r>
            <w:r>
              <w:rPr>
                <w:rFonts w:hint="eastAsia"/>
                <w:sz w:val="24"/>
              </w:rPr>
              <w:t>686</w:t>
            </w:r>
            <w:r>
              <w:rPr>
                <w:sz w:val="24"/>
              </w:rPr>
              <w:t>m，产生量约</w:t>
            </w:r>
            <w:r>
              <w:rPr>
                <w:rFonts w:hint="eastAsia"/>
                <w:sz w:val="24"/>
              </w:rPr>
              <w:t>205.8</w:t>
            </w:r>
            <w:r>
              <w:rPr>
                <w:sz w:val="24"/>
              </w:rPr>
              <w:t>t。</w:t>
            </w:r>
          </w:p>
          <w:p>
            <w:pPr>
              <w:spacing w:line="360" w:lineRule="auto"/>
              <w:ind w:firstLine="480" w:firstLineChars="200"/>
              <w:rPr>
                <w:sz w:val="24"/>
              </w:rPr>
            </w:pPr>
            <w:r>
              <w:rPr>
                <w:sz w:val="24"/>
              </w:rPr>
              <w:t>项目水基泥浆阶段使用聚合物钻井液，根据《国家危险废物名录2021年版》《危险废物排除管理清单（2021年版）》，废弃水基钻井泥浆及岩屑不属于危险废物。因此项目使用水基泥浆（聚合物钻井液）钻井，产生的岩屑为一般工业固废。</w:t>
            </w:r>
          </w:p>
          <w:p>
            <w:pPr>
              <w:spacing w:line="360" w:lineRule="auto"/>
              <w:ind w:firstLine="480" w:firstLineChars="200"/>
              <w:rPr>
                <w:sz w:val="24"/>
              </w:rPr>
            </w:pPr>
            <w:r>
              <w:rPr>
                <w:sz w:val="24"/>
              </w:rPr>
              <w:t>（3）油基岩屑</w:t>
            </w:r>
          </w:p>
          <w:p>
            <w:pPr>
              <w:spacing w:line="360" w:lineRule="auto"/>
              <w:ind w:firstLine="480" w:firstLineChars="200"/>
              <w:rPr>
                <w:sz w:val="24"/>
              </w:rPr>
            </w:pPr>
            <w:r>
              <w:rPr>
                <w:sz w:val="24"/>
              </w:rPr>
              <w:t>油基岩屑产生于油基泥浆钻井过程中钻头切屑地层岩石而产生的碎屑，其产生量与井眼长度，平均井径及岩性有关。根据单井井身结构图，以钻头尺寸大小计算井身容积，考虑岩屑破碎松散情况，最终油基钻井岩屑产生量约为井身理论计算体积的2.5倍，则</w:t>
            </w:r>
            <w:r>
              <w:rPr>
                <w:rFonts w:hint="eastAsia"/>
                <w:sz w:val="24"/>
              </w:rPr>
              <w:t>铁北1侧HF井</w:t>
            </w:r>
            <w:r>
              <w:rPr>
                <w:sz w:val="24"/>
              </w:rPr>
              <w:t>油基岩屑产生情况如下表所示</w:t>
            </w:r>
          </w:p>
          <w:p>
            <w:pPr>
              <w:spacing w:line="360" w:lineRule="auto"/>
              <w:ind w:firstLine="482" w:firstLineChars="200"/>
              <w:jc w:val="center"/>
              <w:rPr>
                <w:b/>
                <w:bCs/>
                <w:sz w:val="24"/>
              </w:rPr>
            </w:pPr>
            <w:r>
              <w:rPr>
                <w:b/>
                <w:bCs/>
                <w:sz w:val="24"/>
              </w:rPr>
              <w:t>表4-9  项目油基岩屑产生情况一览表</w:t>
            </w:r>
          </w:p>
          <w:tbl>
            <w:tblPr>
              <w:tblStyle w:val="45"/>
              <w:tblW w:w="81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29"/>
              <w:gridCol w:w="1629"/>
              <w:gridCol w:w="1860"/>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29" w:type="dxa"/>
                  <w:tcBorders>
                    <w:tl2br w:val="nil"/>
                    <w:tr2bl w:val="nil"/>
                  </w:tcBorders>
                  <w:vAlign w:val="center"/>
                </w:tcPr>
                <w:p>
                  <w:pPr>
                    <w:jc w:val="center"/>
                    <w:rPr>
                      <w:szCs w:val="21"/>
                    </w:rPr>
                  </w:pPr>
                  <w:r>
                    <w:rPr>
                      <w:szCs w:val="21"/>
                    </w:rPr>
                    <w:t>井号</w:t>
                  </w:r>
                </w:p>
              </w:tc>
              <w:tc>
                <w:tcPr>
                  <w:tcW w:w="1629" w:type="dxa"/>
                  <w:tcBorders>
                    <w:tl2br w:val="nil"/>
                    <w:tr2bl w:val="nil"/>
                  </w:tcBorders>
                  <w:vAlign w:val="center"/>
                </w:tcPr>
                <w:p>
                  <w:pPr>
                    <w:jc w:val="center"/>
                    <w:rPr>
                      <w:szCs w:val="21"/>
                    </w:rPr>
                  </w:pPr>
                  <w:r>
                    <w:rPr>
                      <w:rFonts w:hint="eastAsia"/>
                      <w:szCs w:val="21"/>
                    </w:rPr>
                    <w:t>水平段</w:t>
                  </w:r>
                  <w:r>
                    <w:rPr>
                      <w:szCs w:val="21"/>
                    </w:rPr>
                    <w:t>长度/m</w:t>
                  </w:r>
                </w:p>
              </w:tc>
              <w:tc>
                <w:tcPr>
                  <w:tcW w:w="1629" w:type="dxa"/>
                  <w:tcBorders>
                    <w:tl2br w:val="nil"/>
                    <w:tr2bl w:val="nil"/>
                  </w:tcBorders>
                  <w:vAlign w:val="center"/>
                </w:tcPr>
                <w:p>
                  <w:pPr>
                    <w:jc w:val="center"/>
                    <w:rPr>
                      <w:szCs w:val="21"/>
                    </w:rPr>
                  </w:pPr>
                  <w:r>
                    <w:rPr>
                      <w:szCs w:val="21"/>
                    </w:rPr>
                    <w:t>井身容积/m</w:t>
                  </w:r>
                  <w:r>
                    <w:rPr>
                      <w:szCs w:val="21"/>
                      <w:vertAlign w:val="superscript"/>
                    </w:rPr>
                    <w:t>3</w:t>
                  </w:r>
                </w:p>
              </w:tc>
              <w:tc>
                <w:tcPr>
                  <w:tcW w:w="1860" w:type="dxa"/>
                  <w:tcBorders>
                    <w:tl2br w:val="nil"/>
                    <w:tr2bl w:val="nil"/>
                  </w:tcBorders>
                  <w:vAlign w:val="center"/>
                </w:tcPr>
                <w:p>
                  <w:pPr>
                    <w:jc w:val="center"/>
                    <w:rPr>
                      <w:szCs w:val="21"/>
                    </w:rPr>
                  </w:pPr>
                  <w:r>
                    <w:rPr>
                      <w:szCs w:val="21"/>
                    </w:rPr>
                    <w:t>理论计算体积/m</w:t>
                  </w:r>
                  <w:r>
                    <w:rPr>
                      <w:szCs w:val="21"/>
                      <w:vertAlign w:val="superscript"/>
                    </w:rPr>
                    <w:t>3</w:t>
                  </w:r>
                </w:p>
              </w:tc>
              <w:tc>
                <w:tcPr>
                  <w:tcW w:w="1400" w:type="dxa"/>
                  <w:tcBorders>
                    <w:tl2br w:val="nil"/>
                    <w:tr2bl w:val="nil"/>
                  </w:tcBorders>
                  <w:vAlign w:val="center"/>
                </w:tcPr>
                <w:p>
                  <w:pPr>
                    <w:jc w:val="center"/>
                    <w:rPr>
                      <w:szCs w:val="21"/>
                    </w:rPr>
                  </w:pPr>
                  <w:r>
                    <w:rPr>
                      <w:szCs w:val="21"/>
                    </w:rPr>
                    <w:t>重量t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29" w:type="dxa"/>
                  <w:tcBorders>
                    <w:tl2br w:val="nil"/>
                    <w:tr2bl w:val="nil"/>
                  </w:tcBorders>
                  <w:vAlign w:val="center"/>
                </w:tcPr>
                <w:p>
                  <w:pPr>
                    <w:widowControl/>
                    <w:jc w:val="center"/>
                    <w:textAlignment w:val="center"/>
                    <w:rPr>
                      <w:szCs w:val="21"/>
                    </w:rPr>
                  </w:pPr>
                  <w:r>
                    <w:rPr>
                      <w:rFonts w:hint="eastAsia"/>
                      <w:szCs w:val="21"/>
                    </w:rPr>
                    <w:t>铁北1侧HF井</w:t>
                  </w:r>
                </w:p>
              </w:tc>
              <w:tc>
                <w:tcPr>
                  <w:tcW w:w="1629" w:type="dxa"/>
                  <w:tcBorders>
                    <w:tl2br w:val="nil"/>
                    <w:tr2bl w:val="nil"/>
                  </w:tcBorders>
                  <w:vAlign w:val="center"/>
                </w:tcPr>
                <w:p>
                  <w:pPr>
                    <w:widowControl/>
                    <w:jc w:val="center"/>
                    <w:textAlignment w:val="center"/>
                    <w:rPr>
                      <w:szCs w:val="21"/>
                    </w:rPr>
                  </w:pPr>
                  <w:r>
                    <w:rPr>
                      <w:rFonts w:hint="eastAsia"/>
                      <w:szCs w:val="21"/>
                    </w:rPr>
                    <w:t>1128</w:t>
                  </w:r>
                </w:p>
              </w:tc>
              <w:tc>
                <w:tcPr>
                  <w:tcW w:w="1629" w:type="dxa"/>
                  <w:tcBorders>
                    <w:tl2br w:val="nil"/>
                    <w:tr2bl w:val="nil"/>
                  </w:tcBorders>
                  <w:vAlign w:val="center"/>
                </w:tcPr>
                <w:p>
                  <w:pPr>
                    <w:widowControl/>
                    <w:jc w:val="center"/>
                    <w:textAlignment w:val="center"/>
                    <w:rPr>
                      <w:szCs w:val="21"/>
                    </w:rPr>
                  </w:pPr>
                  <w:r>
                    <w:rPr>
                      <w:rFonts w:hint="eastAsia"/>
                      <w:szCs w:val="21"/>
                    </w:rPr>
                    <w:t>19.71</w:t>
                  </w:r>
                </w:p>
              </w:tc>
              <w:tc>
                <w:tcPr>
                  <w:tcW w:w="1860" w:type="dxa"/>
                  <w:tcBorders>
                    <w:tl2br w:val="nil"/>
                    <w:tr2bl w:val="nil"/>
                  </w:tcBorders>
                  <w:vAlign w:val="center"/>
                </w:tcPr>
                <w:p>
                  <w:pPr>
                    <w:widowControl/>
                    <w:jc w:val="center"/>
                    <w:textAlignment w:val="center"/>
                    <w:rPr>
                      <w:szCs w:val="21"/>
                    </w:rPr>
                  </w:pPr>
                  <w:r>
                    <w:rPr>
                      <w:rFonts w:hint="eastAsia"/>
                      <w:szCs w:val="21"/>
                    </w:rPr>
                    <w:t>49.28</w:t>
                  </w:r>
                </w:p>
              </w:tc>
              <w:tc>
                <w:tcPr>
                  <w:tcW w:w="1400" w:type="dxa"/>
                  <w:tcBorders>
                    <w:tl2br w:val="nil"/>
                    <w:tr2bl w:val="nil"/>
                  </w:tcBorders>
                  <w:vAlign w:val="center"/>
                </w:tcPr>
                <w:p>
                  <w:pPr>
                    <w:widowControl/>
                    <w:jc w:val="center"/>
                    <w:textAlignment w:val="center"/>
                    <w:rPr>
                      <w:szCs w:val="21"/>
                    </w:rPr>
                  </w:pPr>
                  <w:r>
                    <w:rPr>
                      <w:rFonts w:hint="eastAsia"/>
                      <w:szCs w:val="21"/>
                    </w:rPr>
                    <w:t>73.92</w:t>
                  </w:r>
                </w:p>
              </w:tc>
            </w:tr>
          </w:tbl>
          <w:p>
            <w:pPr>
              <w:spacing w:line="360" w:lineRule="auto"/>
              <w:ind w:firstLine="480" w:firstLineChars="200"/>
              <w:rPr>
                <w:sz w:val="24"/>
              </w:rPr>
            </w:pPr>
            <w:r>
              <w:rPr>
                <w:sz w:val="24"/>
              </w:rPr>
              <w:t>根据《危险废物环境管理指南 陆上石油天然气开采》，油基钻井产生的岩屑属于“HW08废矿物油与含矿物油废物”，应按照危险废物相关要求进行收集、暂存、转运。</w:t>
            </w:r>
          </w:p>
          <w:p>
            <w:pPr>
              <w:spacing w:line="360" w:lineRule="auto"/>
              <w:ind w:firstLine="480" w:firstLineChars="200"/>
              <w:rPr>
                <w:sz w:val="24"/>
              </w:rPr>
            </w:pPr>
            <w:r>
              <w:rPr>
                <w:rFonts w:hint="eastAsia"/>
                <w:sz w:val="24"/>
              </w:rPr>
              <w:t>（4）油基泥浆</w:t>
            </w:r>
          </w:p>
          <w:p>
            <w:pPr>
              <w:spacing w:line="360" w:lineRule="auto"/>
              <w:ind w:firstLine="480" w:firstLineChars="200"/>
              <w:rPr>
                <w:sz w:val="24"/>
              </w:rPr>
            </w:pPr>
            <w:r>
              <w:rPr>
                <w:rFonts w:hint="eastAsia"/>
                <w:sz w:val="24"/>
              </w:rPr>
              <w:t>本项目水平段采用</w:t>
            </w:r>
            <w:r>
              <w:rPr>
                <w:sz w:val="24"/>
              </w:rPr>
              <w:t>白油基钻井液体系。根据钻井液预计消耗情况三开钻井液需要量为</w:t>
            </w:r>
            <w:r>
              <w:rPr>
                <w:rFonts w:hint="eastAsia"/>
                <w:sz w:val="24"/>
              </w:rPr>
              <w:t>528.2</w:t>
            </w:r>
            <w:r>
              <w:rPr>
                <w:sz w:val="24"/>
              </w:rPr>
              <w:t>m</w:t>
            </w:r>
            <w:r>
              <w:rPr>
                <w:sz w:val="24"/>
                <w:vertAlign w:val="superscript"/>
              </w:rPr>
              <w:t>3</w:t>
            </w:r>
            <w:r>
              <w:rPr>
                <w:sz w:val="24"/>
              </w:rPr>
              <w:t>，根据建设单位提供资料，在区域内相同钻井的白油基钻井液回收利用率约为95%，因此油基泥浆产生量约为</w:t>
            </w:r>
            <w:r>
              <w:rPr>
                <w:rFonts w:hint="eastAsia"/>
                <w:sz w:val="24"/>
              </w:rPr>
              <w:t>26.41</w:t>
            </w:r>
            <w:r>
              <w:rPr>
                <w:sz w:val="24"/>
              </w:rPr>
              <w:t>m</w:t>
            </w:r>
            <w:r>
              <w:rPr>
                <w:sz w:val="24"/>
                <w:vertAlign w:val="superscript"/>
              </w:rPr>
              <w:t>3</w:t>
            </w:r>
            <w:r>
              <w:rPr>
                <w:sz w:val="24"/>
              </w:rPr>
              <w:t>。本项目采用清洁化操作平台，并采取泥浆不落地措施，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w:t>
            </w:r>
            <w:r>
              <w:rPr>
                <w:rFonts w:hint="eastAsia"/>
                <w:sz w:val="24"/>
              </w:rPr>
              <w:t>贮存点</w:t>
            </w:r>
            <w:r>
              <w:rPr>
                <w:sz w:val="24"/>
              </w:rPr>
              <w:t>，面积约25m</w:t>
            </w:r>
            <w:r>
              <w:rPr>
                <w:sz w:val="24"/>
                <w:vertAlign w:val="superscript"/>
              </w:rPr>
              <w:t>2</w:t>
            </w:r>
            <w:r>
              <w:rPr>
                <w:sz w:val="24"/>
              </w:rPr>
              <w:t>，</w:t>
            </w:r>
            <w:r>
              <w:rPr>
                <w:rFonts w:hint="eastAsia"/>
                <w:sz w:val="24"/>
              </w:rPr>
              <w:t>贮存点</w:t>
            </w:r>
            <w:r>
              <w:rPr>
                <w:sz w:val="24"/>
              </w:rPr>
              <w:t>地面采取必要的防护措施（防风、防雨、防晒、防渗、防漏、防腐）及其他环境污染防护措施，委托有资质单位处理</w:t>
            </w:r>
          </w:p>
          <w:p>
            <w:pPr>
              <w:spacing w:line="360" w:lineRule="auto"/>
              <w:ind w:firstLine="480" w:firstLineChars="200"/>
              <w:rPr>
                <w:sz w:val="24"/>
              </w:rPr>
            </w:pPr>
            <w:r>
              <w:rPr>
                <w:sz w:val="24"/>
              </w:rPr>
              <w:t>（</w:t>
            </w:r>
            <w:r>
              <w:rPr>
                <w:rFonts w:hint="eastAsia"/>
                <w:sz w:val="24"/>
              </w:rPr>
              <w:t>5</w:t>
            </w:r>
            <w:r>
              <w:rPr>
                <w:sz w:val="24"/>
              </w:rPr>
              <w:t>）废油</w:t>
            </w:r>
          </w:p>
          <w:p>
            <w:pPr>
              <w:spacing w:line="360" w:lineRule="auto"/>
              <w:ind w:firstLine="480" w:firstLineChars="200"/>
              <w:rPr>
                <w:sz w:val="24"/>
              </w:rPr>
            </w:pPr>
            <w:r>
              <w:rPr>
                <w:sz w:val="24"/>
              </w:rPr>
              <w:t>钻井过程中废油的主要来源为机械（柴油发电机、泥浆泵等）润滑废油；本工程共产生废油约0.5t。废油属于危险废物（HW08）。</w:t>
            </w:r>
          </w:p>
          <w:p>
            <w:pPr>
              <w:spacing w:line="360" w:lineRule="auto"/>
              <w:ind w:firstLine="480" w:firstLineChars="200"/>
              <w:rPr>
                <w:sz w:val="24"/>
              </w:rPr>
            </w:pPr>
            <w:r>
              <w:rPr>
                <w:sz w:val="24"/>
              </w:rPr>
              <w:t>（</w:t>
            </w:r>
            <w:r>
              <w:rPr>
                <w:rFonts w:hint="eastAsia"/>
                <w:sz w:val="24"/>
              </w:rPr>
              <w:t>6</w:t>
            </w:r>
            <w:r>
              <w:rPr>
                <w:sz w:val="24"/>
              </w:rPr>
              <w:t>）废油桶</w:t>
            </w:r>
          </w:p>
          <w:p>
            <w:pPr>
              <w:spacing w:line="360" w:lineRule="auto"/>
              <w:ind w:firstLine="480" w:firstLineChars="200"/>
              <w:rPr>
                <w:sz w:val="24"/>
              </w:rPr>
            </w:pPr>
            <w:r>
              <w:rPr>
                <w:sz w:val="24"/>
              </w:rPr>
              <w:t>钻井设备维护保养过程产生的废油桶，约0.1t。属于危险废物（HW49）。</w:t>
            </w:r>
          </w:p>
          <w:p>
            <w:pPr>
              <w:spacing w:line="360" w:lineRule="auto"/>
              <w:ind w:firstLine="480" w:firstLineChars="200"/>
              <w:rPr>
                <w:sz w:val="24"/>
              </w:rPr>
            </w:pPr>
            <w:r>
              <w:rPr>
                <w:sz w:val="24"/>
              </w:rPr>
              <w:t>（</w:t>
            </w:r>
            <w:r>
              <w:rPr>
                <w:rFonts w:hint="eastAsia"/>
                <w:sz w:val="24"/>
              </w:rPr>
              <w:t>7</w:t>
            </w:r>
            <w:r>
              <w:rPr>
                <w:sz w:val="24"/>
              </w:rPr>
              <w:t>）废棉纱/手套</w:t>
            </w:r>
          </w:p>
          <w:p>
            <w:pPr>
              <w:spacing w:line="360" w:lineRule="auto"/>
              <w:ind w:firstLine="480" w:firstLineChars="200"/>
              <w:rPr>
                <w:sz w:val="24"/>
              </w:rPr>
            </w:pPr>
            <w:r>
              <w:rPr>
                <w:sz w:val="24"/>
              </w:rPr>
              <w:t>钻井过程中钻机等设备维护保养会产生废棉纱/手套，类比区域内已完钻的探井，本工程废棉纱/手套产生量约0.1t。属于危险废物（HW49）。</w:t>
            </w:r>
          </w:p>
          <w:p>
            <w:pPr>
              <w:spacing w:line="360" w:lineRule="auto"/>
              <w:ind w:firstLine="480" w:firstLineChars="200"/>
              <w:rPr>
                <w:sz w:val="24"/>
              </w:rPr>
            </w:pPr>
            <w:r>
              <w:rPr>
                <w:sz w:val="24"/>
              </w:rPr>
              <w:t>（</w:t>
            </w:r>
            <w:r>
              <w:rPr>
                <w:rFonts w:hint="eastAsia"/>
                <w:sz w:val="24"/>
              </w:rPr>
              <w:t>8</w:t>
            </w:r>
            <w:r>
              <w:rPr>
                <w:sz w:val="24"/>
              </w:rPr>
              <w:t>）废包装材料</w:t>
            </w:r>
          </w:p>
          <w:p>
            <w:pPr>
              <w:spacing w:line="360" w:lineRule="auto"/>
              <w:ind w:firstLine="480" w:firstLineChars="200"/>
              <w:rPr>
                <w:sz w:val="24"/>
              </w:rPr>
            </w:pPr>
            <w:r>
              <w:rPr>
                <w:sz w:val="24"/>
              </w:rPr>
              <w:t>钻井期间产生的废包装材料主要为各原辅材料的包装袋/箱，为一般</w:t>
            </w:r>
            <w:r>
              <w:rPr>
                <w:rFonts w:hint="eastAsia"/>
                <w:sz w:val="24"/>
              </w:rPr>
              <w:t>工业固废</w:t>
            </w:r>
            <w:r>
              <w:rPr>
                <w:sz w:val="24"/>
              </w:rPr>
              <w:t>，其产生量约1.0t，集中收集后定期运至就近的废品回收站进行处理。</w:t>
            </w:r>
          </w:p>
          <w:p>
            <w:pPr>
              <w:spacing w:line="360" w:lineRule="auto"/>
              <w:ind w:firstLine="480" w:firstLineChars="200"/>
              <w:rPr>
                <w:bCs/>
                <w:sz w:val="24"/>
              </w:rPr>
            </w:pPr>
            <w:r>
              <w:rPr>
                <w:sz w:val="24"/>
              </w:rPr>
              <w:t>（</w:t>
            </w:r>
            <w:r>
              <w:rPr>
                <w:rFonts w:hint="eastAsia"/>
                <w:sz w:val="24"/>
              </w:rPr>
              <w:t>9</w:t>
            </w:r>
            <w:r>
              <w:rPr>
                <w:sz w:val="24"/>
              </w:rPr>
              <w:t>）</w:t>
            </w:r>
            <w:r>
              <w:rPr>
                <w:bCs/>
                <w:sz w:val="24"/>
              </w:rPr>
              <w:t>生活垃圾</w:t>
            </w:r>
          </w:p>
          <w:p>
            <w:pPr>
              <w:spacing w:line="360" w:lineRule="auto"/>
              <w:ind w:firstLine="480" w:firstLineChars="200"/>
              <w:rPr>
                <w:sz w:val="24"/>
              </w:rPr>
            </w:pPr>
            <w:r>
              <w:rPr>
                <w:sz w:val="24"/>
              </w:rPr>
              <w:t>钻井期，生活垃圾按0.5kg/人•d计算，钻井人员40人，产生量约20kg/d（钻井期2个月，共1.4t）。均存放在井场区域和生活区垃圾箱内，定期外运当地环卫部门集中收集处置。</w:t>
            </w:r>
          </w:p>
          <w:p>
            <w:pPr>
              <w:pStyle w:val="20"/>
              <w:tabs>
                <w:tab w:val="left" w:pos="0"/>
                <w:tab w:val="left" w:pos="833"/>
              </w:tabs>
              <w:spacing w:before="0" w:after="0" w:line="360" w:lineRule="auto"/>
              <w:ind w:left="840" w:right="0"/>
              <w:jc w:val="center"/>
              <w:rPr>
                <w:b/>
                <w:sz w:val="24"/>
                <w:szCs w:val="24"/>
              </w:rPr>
            </w:pPr>
            <w:r>
              <w:rPr>
                <w:b/>
                <w:sz w:val="24"/>
                <w:szCs w:val="24"/>
              </w:rPr>
              <w:t>表4-10 危险废物统计表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0"/>
                    <w:jc w:val="center"/>
                    <w:rPr>
                      <w:b/>
                      <w:szCs w:val="21"/>
                    </w:rPr>
                  </w:pPr>
                  <w:r>
                    <w:rPr>
                      <w:rFonts w:hint="eastAsia"/>
                      <w:b/>
                      <w:szCs w:val="21"/>
                    </w:rPr>
                    <w:t>序号</w:t>
                  </w:r>
                </w:p>
              </w:tc>
              <w:tc>
                <w:tcPr>
                  <w:tcW w:w="607" w:type="pct"/>
                  <w:tcBorders>
                    <w:tl2br w:val="nil"/>
                    <w:tr2bl w:val="nil"/>
                  </w:tcBorders>
                  <w:shd w:val="clear" w:color="auto" w:fill="FFFFFF" w:themeFill="background1"/>
                  <w:vAlign w:val="center"/>
                </w:tcPr>
                <w:p>
                  <w:pPr>
                    <w:pStyle w:val="400"/>
                    <w:jc w:val="center"/>
                    <w:rPr>
                      <w:b/>
                      <w:szCs w:val="21"/>
                    </w:rPr>
                  </w:pPr>
                  <w:r>
                    <w:rPr>
                      <w:rFonts w:hint="eastAsia"/>
                      <w:b/>
                      <w:szCs w:val="21"/>
                    </w:rPr>
                    <w:t>废物名称</w:t>
                  </w:r>
                </w:p>
              </w:tc>
              <w:tc>
                <w:tcPr>
                  <w:tcW w:w="333" w:type="pct"/>
                  <w:tcBorders>
                    <w:tl2br w:val="nil"/>
                    <w:tr2bl w:val="nil"/>
                  </w:tcBorders>
                  <w:shd w:val="clear" w:color="auto" w:fill="FFFFFF" w:themeFill="background1"/>
                  <w:vAlign w:val="center"/>
                </w:tcPr>
                <w:p>
                  <w:pPr>
                    <w:pStyle w:val="400"/>
                    <w:jc w:val="center"/>
                    <w:rPr>
                      <w:b/>
                      <w:szCs w:val="21"/>
                    </w:rPr>
                  </w:pPr>
                  <w:r>
                    <w:rPr>
                      <w:rFonts w:hint="eastAsia"/>
                      <w:b/>
                      <w:szCs w:val="21"/>
                    </w:rPr>
                    <w:t>废物类别</w:t>
                  </w:r>
                </w:p>
              </w:tc>
              <w:tc>
                <w:tcPr>
                  <w:tcW w:w="395" w:type="pct"/>
                  <w:tcBorders>
                    <w:tl2br w:val="nil"/>
                    <w:tr2bl w:val="nil"/>
                  </w:tcBorders>
                  <w:shd w:val="clear" w:color="auto" w:fill="FFFFFF" w:themeFill="background1"/>
                  <w:vAlign w:val="center"/>
                </w:tcPr>
                <w:p>
                  <w:pPr>
                    <w:pStyle w:val="400"/>
                    <w:jc w:val="center"/>
                    <w:rPr>
                      <w:b/>
                      <w:szCs w:val="21"/>
                    </w:rPr>
                  </w:pPr>
                  <w:r>
                    <w:rPr>
                      <w:rFonts w:hint="eastAsia"/>
                      <w:b/>
                      <w:szCs w:val="21"/>
                    </w:rPr>
                    <w:t>废物代码</w:t>
                  </w:r>
                </w:p>
              </w:tc>
              <w:tc>
                <w:tcPr>
                  <w:tcW w:w="401" w:type="pct"/>
                  <w:tcBorders>
                    <w:tl2br w:val="nil"/>
                    <w:tr2bl w:val="nil"/>
                  </w:tcBorders>
                  <w:shd w:val="clear" w:color="auto" w:fill="FFFFFF" w:themeFill="background1"/>
                  <w:vAlign w:val="center"/>
                </w:tcPr>
                <w:p>
                  <w:pPr>
                    <w:pStyle w:val="400"/>
                    <w:jc w:val="center"/>
                    <w:rPr>
                      <w:b/>
                      <w:szCs w:val="21"/>
                    </w:rPr>
                  </w:pPr>
                  <w:r>
                    <w:rPr>
                      <w:rFonts w:hint="eastAsia"/>
                      <w:b/>
                      <w:szCs w:val="21"/>
                    </w:rPr>
                    <w:t>性质判断</w:t>
                  </w:r>
                </w:p>
              </w:tc>
              <w:tc>
                <w:tcPr>
                  <w:tcW w:w="396" w:type="pct"/>
                  <w:tcBorders>
                    <w:tl2br w:val="nil"/>
                    <w:tr2bl w:val="nil"/>
                  </w:tcBorders>
                  <w:shd w:val="clear" w:color="auto" w:fill="FFFFFF" w:themeFill="background1"/>
                  <w:vAlign w:val="center"/>
                </w:tcPr>
                <w:p>
                  <w:pPr>
                    <w:pStyle w:val="400"/>
                    <w:jc w:val="center"/>
                    <w:rPr>
                      <w:b/>
                      <w:szCs w:val="21"/>
                    </w:rPr>
                  </w:pPr>
                  <w:r>
                    <w:rPr>
                      <w:rFonts w:hint="eastAsia"/>
                      <w:b/>
                      <w:szCs w:val="21"/>
                    </w:rPr>
                    <w:t>产生量</w:t>
                  </w:r>
                </w:p>
              </w:tc>
              <w:tc>
                <w:tcPr>
                  <w:tcW w:w="396" w:type="pct"/>
                  <w:tcBorders>
                    <w:tl2br w:val="nil"/>
                    <w:tr2bl w:val="nil"/>
                  </w:tcBorders>
                  <w:shd w:val="clear" w:color="auto" w:fill="FFFFFF" w:themeFill="background1"/>
                  <w:vAlign w:val="center"/>
                </w:tcPr>
                <w:p>
                  <w:pPr>
                    <w:pStyle w:val="400"/>
                    <w:jc w:val="center"/>
                    <w:rPr>
                      <w:b/>
                      <w:szCs w:val="21"/>
                    </w:rPr>
                  </w:pPr>
                  <w:r>
                    <w:rPr>
                      <w:rFonts w:hint="eastAsia"/>
                      <w:b/>
                      <w:szCs w:val="21"/>
                    </w:rPr>
                    <w:t>产生工序及装置</w:t>
                  </w:r>
                </w:p>
              </w:tc>
              <w:tc>
                <w:tcPr>
                  <w:tcW w:w="249" w:type="pct"/>
                  <w:tcBorders>
                    <w:tl2br w:val="nil"/>
                    <w:tr2bl w:val="nil"/>
                  </w:tcBorders>
                  <w:shd w:val="clear" w:color="auto" w:fill="FFFFFF" w:themeFill="background1"/>
                  <w:vAlign w:val="center"/>
                </w:tcPr>
                <w:p>
                  <w:pPr>
                    <w:pStyle w:val="400"/>
                    <w:jc w:val="center"/>
                    <w:rPr>
                      <w:b/>
                      <w:szCs w:val="21"/>
                    </w:rPr>
                  </w:pPr>
                  <w:r>
                    <w:rPr>
                      <w:rFonts w:hint="eastAsia"/>
                      <w:b/>
                      <w:szCs w:val="21"/>
                    </w:rPr>
                    <w:t>形态</w:t>
                  </w:r>
                </w:p>
              </w:tc>
              <w:tc>
                <w:tcPr>
                  <w:tcW w:w="400" w:type="pct"/>
                  <w:tcBorders>
                    <w:tl2br w:val="nil"/>
                    <w:tr2bl w:val="nil"/>
                  </w:tcBorders>
                  <w:shd w:val="clear" w:color="auto" w:fill="FFFFFF" w:themeFill="background1"/>
                  <w:vAlign w:val="center"/>
                </w:tcPr>
                <w:p>
                  <w:pPr>
                    <w:pStyle w:val="400"/>
                    <w:jc w:val="center"/>
                    <w:rPr>
                      <w:b/>
                      <w:szCs w:val="21"/>
                    </w:rPr>
                  </w:pPr>
                  <w:r>
                    <w:rPr>
                      <w:rFonts w:hint="eastAsia"/>
                      <w:b/>
                      <w:szCs w:val="21"/>
                    </w:rPr>
                    <w:t>主要成分</w:t>
                  </w:r>
                </w:p>
              </w:tc>
              <w:tc>
                <w:tcPr>
                  <w:tcW w:w="318" w:type="pct"/>
                  <w:tcBorders>
                    <w:tl2br w:val="nil"/>
                    <w:tr2bl w:val="nil"/>
                  </w:tcBorders>
                  <w:shd w:val="clear" w:color="auto" w:fill="FFFFFF" w:themeFill="background1"/>
                  <w:vAlign w:val="center"/>
                </w:tcPr>
                <w:p>
                  <w:pPr>
                    <w:pStyle w:val="400"/>
                    <w:jc w:val="center"/>
                    <w:rPr>
                      <w:b/>
                      <w:szCs w:val="21"/>
                    </w:rPr>
                  </w:pPr>
                  <w:r>
                    <w:rPr>
                      <w:rFonts w:hint="eastAsia"/>
                      <w:b/>
                      <w:szCs w:val="21"/>
                    </w:rPr>
                    <w:t>有害成分</w:t>
                  </w:r>
                </w:p>
              </w:tc>
              <w:tc>
                <w:tcPr>
                  <w:tcW w:w="313" w:type="pct"/>
                  <w:tcBorders>
                    <w:tl2br w:val="nil"/>
                    <w:tr2bl w:val="nil"/>
                  </w:tcBorders>
                  <w:shd w:val="clear" w:color="auto" w:fill="FFFFFF" w:themeFill="background1"/>
                  <w:vAlign w:val="center"/>
                </w:tcPr>
                <w:p>
                  <w:pPr>
                    <w:pStyle w:val="400"/>
                    <w:jc w:val="center"/>
                    <w:rPr>
                      <w:b/>
                      <w:szCs w:val="21"/>
                    </w:rPr>
                  </w:pPr>
                  <w:r>
                    <w:rPr>
                      <w:rFonts w:hint="eastAsia"/>
                      <w:b/>
                      <w:szCs w:val="21"/>
                    </w:rPr>
                    <w:t>产废周期</w:t>
                  </w:r>
                </w:p>
              </w:tc>
              <w:tc>
                <w:tcPr>
                  <w:tcW w:w="338" w:type="pct"/>
                  <w:tcBorders>
                    <w:tl2br w:val="nil"/>
                    <w:tr2bl w:val="nil"/>
                  </w:tcBorders>
                  <w:shd w:val="clear" w:color="auto" w:fill="FFFFFF" w:themeFill="background1"/>
                  <w:vAlign w:val="center"/>
                </w:tcPr>
                <w:p>
                  <w:pPr>
                    <w:pStyle w:val="400"/>
                    <w:jc w:val="center"/>
                    <w:rPr>
                      <w:b/>
                      <w:szCs w:val="21"/>
                    </w:rPr>
                  </w:pPr>
                  <w:r>
                    <w:rPr>
                      <w:rFonts w:hint="eastAsia"/>
                      <w:b/>
                      <w:szCs w:val="21"/>
                    </w:rPr>
                    <w:t>危险特性</w:t>
                  </w:r>
                </w:p>
              </w:tc>
              <w:tc>
                <w:tcPr>
                  <w:tcW w:w="657" w:type="pct"/>
                  <w:tcBorders>
                    <w:tl2br w:val="nil"/>
                    <w:tr2bl w:val="nil"/>
                  </w:tcBorders>
                  <w:shd w:val="clear" w:color="auto" w:fill="FFFFFF" w:themeFill="background1"/>
                  <w:vAlign w:val="center"/>
                </w:tcPr>
                <w:p>
                  <w:pPr>
                    <w:pStyle w:val="400"/>
                    <w:jc w:val="center"/>
                    <w:rPr>
                      <w:b/>
                      <w:szCs w:val="21"/>
                    </w:rPr>
                  </w:pPr>
                  <w:r>
                    <w:rPr>
                      <w:rFonts w:hint="eastAsia"/>
                      <w:b/>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1</w:t>
                  </w:r>
                </w:p>
              </w:tc>
              <w:tc>
                <w:tcPr>
                  <w:tcW w:w="607" w:type="pct"/>
                  <w:tcBorders>
                    <w:tl2br w:val="nil"/>
                    <w:tr2bl w:val="nil"/>
                  </w:tcBorders>
                  <w:vAlign w:val="center"/>
                </w:tcPr>
                <w:p>
                  <w:pPr>
                    <w:pStyle w:val="400"/>
                    <w:jc w:val="center"/>
                    <w:rPr>
                      <w:bCs/>
                      <w:szCs w:val="21"/>
                    </w:rPr>
                  </w:pPr>
                  <w:r>
                    <w:rPr>
                      <w:bCs/>
                      <w:szCs w:val="21"/>
                    </w:rPr>
                    <w:t>油基岩屑</w:t>
                  </w:r>
                </w:p>
              </w:tc>
              <w:tc>
                <w:tcPr>
                  <w:tcW w:w="333" w:type="pct"/>
                  <w:tcBorders>
                    <w:tl2br w:val="nil"/>
                    <w:tr2bl w:val="nil"/>
                  </w:tcBorders>
                  <w:vAlign w:val="center"/>
                </w:tcPr>
                <w:p>
                  <w:pPr>
                    <w:pStyle w:val="400"/>
                    <w:jc w:val="center"/>
                    <w:rPr>
                      <w:bCs/>
                      <w:szCs w:val="21"/>
                    </w:rPr>
                  </w:pPr>
                  <w:r>
                    <w:rPr>
                      <w:rFonts w:hint="eastAsia"/>
                      <w:bCs/>
                      <w:szCs w:val="21"/>
                    </w:rPr>
                    <w:t>HW08</w:t>
                  </w:r>
                </w:p>
              </w:tc>
              <w:tc>
                <w:tcPr>
                  <w:tcW w:w="395" w:type="pct"/>
                  <w:tcBorders>
                    <w:tl2br w:val="nil"/>
                    <w:tr2bl w:val="nil"/>
                  </w:tcBorders>
                  <w:vAlign w:val="center"/>
                </w:tcPr>
                <w:p>
                  <w:pPr>
                    <w:pStyle w:val="400"/>
                    <w:jc w:val="center"/>
                    <w:rPr>
                      <w:bCs/>
                      <w:szCs w:val="21"/>
                    </w:rPr>
                  </w:pPr>
                  <w:r>
                    <w:rPr>
                      <w:bCs/>
                      <w:szCs w:val="21"/>
                    </w:rPr>
                    <w:t>072-001-08</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pStyle w:val="400"/>
                    <w:jc w:val="center"/>
                    <w:rPr>
                      <w:bCs/>
                      <w:szCs w:val="21"/>
                    </w:rPr>
                  </w:pPr>
                  <w:r>
                    <w:rPr>
                      <w:rFonts w:hint="eastAsia"/>
                      <w:bCs/>
                      <w:szCs w:val="21"/>
                    </w:rPr>
                    <w:t>49.2m</w:t>
                  </w:r>
                  <w:r>
                    <w:rPr>
                      <w:rFonts w:hint="eastAsia"/>
                      <w:bCs/>
                      <w:szCs w:val="21"/>
                      <w:vertAlign w:val="superscript"/>
                    </w:rPr>
                    <w:t>3</w:t>
                  </w:r>
                </w:p>
              </w:tc>
              <w:tc>
                <w:tcPr>
                  <w:tcW w:w="396" w:type="pct"/>
                  <w:tcBorders>
                    <w:tl2br w:val="nil"/>
                    <w:tr2bl w:val="nil"/>
                  </w:tcBorders>
                  <w:vAlign w:val="center"/>
                </w:tcPr>
                <w:p>
                  <w:pPr>
                    <w:pStyle w:val="400"/>
                    <w:jc w:val="center"/>
                    <w:rPr>
                      <w:bCs/>
                      <w:szCs w:val="21"/>
                    </w:rPr>
                  </w:pPr>
                  <w:r>
                    <w:rPr>
                      <w:rFonts w:hint="eastAsia"/>
                      <w:bCs/>
                      <w:szCs w:val="21"/>
                    </w:rPr>
                    <w:t>钻井</w:t>
                  </w:r>
                </w:p>
              </w:tc>
              <w:tc>
                <w:tcPr>
                  <w:tcW w:w="249" w:type="pct"/>
                  <w:tcBorders>
                    <w:tl2br w:val="nil"/>
                    <w:tr2bl w:val="nil"/>
                  </w:tcBorders>
                  <w:vAlign w:val="center"/>
                </w:tcPr>
                <w:p>
                  <w:pPr>
                    <w:pStyle w:val="400"/>
                    <w:jc w:val="center"/>
                    <w:rPr>
                      <w:bCs/>
                      <w:szCs w:val="21"/>
                    </w:rPr>
                  </w:pPr>
                  <w:r>
                    <w:rPr>
                      <w:rFonts w:hint="eastAsia"/>
                      <w:bCs/>
                      <w:szCs w:val="21"/>
                    </w:rPr>
                    <w:t>半固态</w:t>
                  </w:r>
                </w:p>
              </w:tc>
              <w:tc>
                <w:tcPr>
                  <w:tcW w:w="400" w:type="pct"/>
                  <w:tcBorders>
                    <w:tl2br w:val="nil"/>
                    <w:tr2bl w:val="nil"/>
                  </w:tcBorders>
                  <w:vAlign w:val="center"/>
                </w:tcPr>
                <w:p>
                  <w:pPr>
                    <w:pStyle w:val="400"/>
                    <w:jc w:val="center"/>
                    <w:rPr>
                      <w:bCs/>
                      <w:szCs w:val="21"/>
                    </w:rPr>
                  </w:pPr>
                  <w:r>
                    <w:rPr>
                      <w:bCs/>
                      <w:szCs w:val="21"/>
                    </w:rPr>
                    <w:t>含油岩屑</w:t>
                  </w:r>
                </w:p>
              </w:tc>
              <w:tc>
                <w:tcPr>
                  <w:tcW w:w="318" w:type="pct"/>
                  <w:tcBorders>
                    <w:tl2br w:val="nil"/>
                    <w:tr2bl w:val="nil"/>
                  </w:tcBorders>
                  <w:vAlign w:val="center"/>
                </w:tcPr>
                <w:p>
                  <w:pPr>
                    <w:pStyle w:val="400"/>
                    <w:jc w:val="center"/>
                    <w:rPr>
                      <w:bCs/>
                      <w:szCs w:val="21"/>
                    </w:rPr>
                  </w:pPr>
                  <w:r>
                    <w:rPr>
                      <w:rFonts w:hint="eastAsia"/>
                      <w:bCs/>
                      <w:szCs w:val="21"/>
                    </w:rPr>
                    <w:t>油类</w:t>
                  </w:r>
                </w:p>
              </w:tc>
              <w:tc>
                <w:tcPr>
                  <w:tcW w:w="313" w:type="pct"/>
                  <w:tcBorders>
                    <w:tl2br w:val="nil"/>
                    <w:tr2bl w:val="nil"/>
                  </w:tcBorders>
                  <w:vAlign w:val="center"/>
                </w:tcPr>
                <w:p>
                  <w:pPr>
                    <w:pStyle w:val="400"/>
                    <w:jc w:val="center"/>
                    <w:rPr>
                      <w:bCs/>
                      <w:szCs w:val="21"/>
                    </w:rPr>
                  </w:pPr>
                  <w:r>
                    <w:rPr>
                      <w:rFonts w:hint="eastAsia"/>
                      <w:bCs/>
                      <w:szCs w:val="21"/>
                    </w:rPr>
                    <w:t>钻井期间</w:t>
                  </w:r>
                </w:p>
              </w:tc>
              <w:tc>
                <w:tcPr>
                  <w:tcW w:w="338" w:type="pct"/>
                  <w:tcBorders>
                    <w:tl2br w:val="nil"/>
                    <w:tr2bl w:val="nil"/>
                  </w:tcBorders>
                  <w:vAlign w:val="center"/>
                </w:tcPr>
                <w:p>
                  <w:pPr>
                    <w:pStyle w:val="400"/>
                    <w:jc w:val="center"/>
                    <w:rPr>
                      <w:bCs/>
                      <w:szCs w:val="21"/>
                    </w:rPr>
                  </w:pPr>
                  <w:r>
                    <w:rPr>
                      <w:bCs/>
                      <w:szCs w:val="21"/>
                    </w:rPr>
                    <w:t>T</w:t>
                  </w:r>
                </w:p>
              </w:tc>
              <w:tc>
                <w:tcPr>
                  <w:tcW w:w="657" w:type="pct"/>
                  <w:vMerge w:val="restart"/>
                  <w:tcBorders>
                    <w:tl2br w:val="nil"/>
                    <w:tr2bl w:val="nil"/>
                  </w:tcBorders>
                  <w:vAlign w:val="center"/>
                </w:tcPr>
                <w:p>
                  <w:pPr>
                    <w:pStyle w:val="400"/>
                    <w:jc w:val="center"/>
                    <w:rPr>
                      <w:bCs/>
                      <w:szCs w:val="21"/>
                    </w:rPr>
                  </w:pPr>
                  <w:r>
                    <w:rPr>
                      <w:rFonts w:hint="eastAsia"/>
                      <w:bCs/>
                      <w:szCs w:val="21"/>
                    </w:rPr>
                    <w:t>收集后</w:t>
                  </w:r>
                  <w:r>
                    <w:rPr>
                      <w:bCs/>
                      <w:szCs w:val="21"/>
                    </w:rPr>
                    <w:t>暂存于</w:t>
                  </w:r>
                  <w:r>
                    <w:rPr>
                      <w:rFonts w:hint="eastAsia"/>
                      <w:bCs/>
                      <w:szCs w:val="21"/>
                    </w:rPr>
                    <w:t>危险废物贮存点</w:t>
                  </w:r>
                  <w:r>
                    <w:rPr>
                      <w:bCs/>
                      <w:szCs w:val="21"/>
                    </w:rPr>
                    <w:t>，委托有资质单位处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2</w:t>
                  </w:r>
                </w:p>
              </w:tc>
              <w:tc>
                <w:tcPr>
                  <w:tcW w:w="607" w:type="pct"/>
                  <w:tcBorders>
                    <w:tl2br w:val="nil"/>
                    <w:tr2bl w:val="nil"/>
                  </w:tcBorders>
                  <w:vAlign w:val="center"/>
                </w:tcPr>
                <w:p>
                  <w:pPr>
                    <w:pStyle w:val="400"/>
                    <w:jc w:val="center"/>
                    <w:rPr>
                      <w:bCs/>
                      <w:szCs w:val="21"/>
                    </w:rPr>
                  </w:pPr>
                  <w:r>
                    <w:rPr>
                      <w:rFonts w:hint="eastAsia"/>
                      <w:bCs/>
                      <w:szCs w:val="21"/>
                    </w:rPr>
                    <w:t>油基泥浆</w:t>
                  </w:r>
                </w:p>
              </w:tc>
              <w:tc>
                <w:tcPr>
                  <w:tcW w:w="333" w:type="pct"/>
                  <w:tcBorders>
                    <w:tl2br w:val="nil"/>
                    <w:tr2bl w:val="nil"/>
                  </w:tcBorders>
                  <w:vAlign w:val="center"/>
                </w:tcPr>
                <w:p>
                  <w:pPr>
                    <w:pStyle w:val="400"/>
                    <w:jc w:val="center"/>
                    <w:rPr>
                      <w:bCs/>
                      <w:szCs w:val="21"/>
                    </w:rPr>
                  </w:pPr>
                  <w:r>
                    <w:rPr>
                      <w:rFonts w:hint="eastAsia"/>
                      <w:bCs/>
                      <w:szCs w:val="21"/>
                    </w:rPr>
                    <w:t>HW08</w:t>
                  </w:r>
                </w:p>
              </w:tc>
              <w:tc>
                <w:tcPr>
                  <w:tcW w:w="395" w:type="pct"/>
                  <w:tcBorders>
                    <w:tl2br w:val="nil"/>
                    <w:tr2bl w:val="nil"/>
                  </w:tcBorders>
                  <w:vAlign w:val="center"/>
                </w:tcPr>
                <w:p>
                  <w:pPr>
                    <w:pStyle w:val="400"/>
                    <w:jc w:val="center"/>
                    <w:rPr>
                      <w:bCs/>
                      <w:szCs w:val="21"/>
                    </w:rPr>
                  </w:pPr>
                  <w:r>
                    <w:rPr>
                      <w:bCs/>
                      <w:szCs w:val="21"/>
                    </w:rPr>
                    <w:t>072-001-08</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pStyle w:val="400"/>
                    <w:jc w:val="center"/>
                    <w:rPr>
                      <w:bCs/>
                      <w:szCs w:val="21"/>
                    </w:rPr>
                  </w:pPr>
                  <w:r>
                    <w:rPr>
                      <w:rFonts w:hint="eastAsia"/>
                      <w:bCs/>
                      <w:szCs w:val="21"/>
                    </w:rPr>
                    <w:t>72m</w:t>
                  </w:r>
                  <w:r>
                    <w:rPr>
                      <w:rFonts w:hint="eastAsia"/>
                      <w:bCs/>
                      <w:szCs w:val="21"/>
                      <w:vertAlign w:val="superscript"/>
                    </w:rPr>
                    <w:t>3</w:t>
                  </w:r>
                </w:p>
              </w:tc>
              <w:tc>
                <w:tcPr>
                  <w:tcW w:w="396" w:type="pct"/>
                  <w:tcBorders>
                    <w:tl2br w:val="nil"/>
                    <w:tr2bl w:val="nil"/>
                  </w:tcBorders>
                  <w:vAlign w:val="center"/>
                </w:tcPr>
                <w:p>
                  <w:pPr>
                    <w:pStyle w:val="400"/>
                    <w:jc w:val="center"/>
                    <w:rPr>
                      <w:bCs/>
                      <w:szCs w:val="21"/>
                    </w:rPr>
                  </w:pPr>
                  <w:r>
                    <w:rPr>
                      <w:rFonts w:hint="eastAsia"/>
                      <w:bCs/>
                      <w:szCs w:val="21"/>
                    </w:rPr>
                    <w:t>钻井</w:t>
                  </w:r>
                </w:p>
              </w:tc>
              <w:tc>
                <w:tcPr>
                  <w:tcW w:w="249" w:type="pct"/>
                  <w:tcBorders>
                    <w:tl2br w:val="nil"/>
                    <w:tr2bl w:val="nil"/>
                  </w:tcBorders>
                  <w:vAlign w:val="center"/>
                </w:tcPr>
                <w:p>
                  <w:pPr>
                    <w:pStyle w:val="400"/>
                    <w:jc w:val="center"/>
                    <w:rPr>
                      <w:bCs/>
                      <w:szCs w:val="21"/>
                    </w:rPr>
                  </w:pPr>
                  <w:r>
                    <w:rPr>
                      <w:rFonts w:hint="eastAsia"/>
                      <w:bCs/>
                      <w:szCs w:val="21"/>
                    </w:rPr>
                    <w:t>半固态</w:t>
                  </w:r>
                </w:p>
              </w:tc>
              <w:tc>
                <w:tcPr>
                  <w:tcW w:w="400" w:type="pct"/>
                  <w:tcBorders>
                    <w:tl2br w:val="nil"/>
                    <w:tr2bl w:val="nil"/>
                  </w:tcBorders>
                  <w:vAlign w:val="center"/>
                </w:tcPr>
                <w:p>
                  <w:pPr>
                    <w:pStyle w:val="400"/>
                    <w:jc w:val="center"/>
                    <w:rPr>
                      <w:bCs/>
                      <w:szCs w:val="21"/>
                    </w:rPr>
                  </w:pPr>
                  <w:r>
                    <w:rPr>
                      <w:rFonts w:hint="eastAsia"/>
                      <w:bCs/>
                      <w:szCs w:val="21"/>
                    </w:rPr>
                    <w:t>含油泥浆</w:t>
                  </w:r>
                </w:p>
              </w:tc>
              <w:tc>
                <w:tcPr>
                  <w:tcW w:w="318" w:type="pct"/>
                  <w:tcBorders>
                    <w:tl2br w:val="nil"/>
                    <w:tr2bl w:val="nil"/>
                  </w:tcBorders>
                  <w:vAlign w:val="center"/>
                </w:tcPr>
                <w:p>
                  <w:pPr>
                    <w:pStyle w:val="400"/>
                    <w:jc w:val="center"/>
                    <w:rPr>
                      <w:bCs/>
                      <w:szCs w:val="21"/>
                    </w:rPr>
                  </w:pPr>
                  <w:r>
                    <w:rPr>
                      <w:rFonts w:hint="eastAsia"/>
                      <w:bCs/>
                      <w:szCs w:val="21"/>
                    </w:rPr>
                    <w:t>油类</w:t>
                  </w:r>
                </w:p>
              </w:tc>
              <w:tc>
                <w:tcPr>
                  <w:tcW w:w="313" w:type="pct"/>
                  <w:tcBorders>
                    <w:tl2br w:val="nil"/>
                    <w:tr2bl w:val="nil"/>
                  </w:tcBorders>
                  <w:vAlign w:val="center"/>
                </w:tcPr>
                <w:p>
                  <w:pPr>
                    <w:pStyle w:val="400"/>
                    <w:jc w:val="center"/>
                    <w:rPr>
                      <w:bCs/>
                      <w:szCs w:val="21"/>
                    </w:rPr>
                  </w:pPr>
                  <w:r>
                    <w:rPr>
                      <w:rFonts w:hint="eastAsia"/>
                      <w:bCs/>
                      <w:szCs w:val="21"/>
                    </w:rPr>
                    <w:t>钻井期间</w:t>
                  </w:r>
                </w:p>
              </w:tc>
              <w:tc>
                <w:tcPr>
                  <w:tcW w:w="338" w:type="pct"/>
                  <w:tcBorders>
                    <w:tl2br w:val="nil"/>
                    <w:tr2bl w:val="nil"/>
                  </w:tcBorders>
                  <w:vAlign w:val="center"/>
                </w:tcPr>
                <w:p>
                  <w:pPr>
                    <w:pStyle w:val="400"/>
                    <w:jc w:val="center"/>
                    <w:rPr>
                      <w:bCs/>
                      <w:szCs w:val="21"/>
                    </w:rPr>
                  </w:pPr>
                  <w:r>
                    <w:rPr>
                      <w:rFonts w:hint="eastAsia"/>
                      <w:bCs/>
                      <w:szCs w:val="21"/>
                    </w:rPr>
                    <w:t>T</w:t>
                  </w:r>
                </w:p>
              </w:tc>
              <w:tc>
                <w:tcPr>
                  <w:tcW w:w="657" w:type="pct"/>
                  <w:vMerge w:val="continue"/>
                  <w:tcBorders>
                    <w:tl2br w:val="nil"/>
                    <w:tr2bl w:val="nil"/>
                  </w:tcBorders>
                  <w:vAlign w:val="center"/>
                </w:tcPr>
                <w:p>
                  <w:pPr>
                    <w:pStyle w:val="40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3</w:t>
                  </w:r>
                </w:p>
              </w:tc>
              <w:tc>
                <w:tcPr>
                  <w:tcW w:w="607" w:type="pct"/>
                  <w:tcBorders>
                    <w:tl2br w:val="nil"/>
                    <w:tr2bl w:val="nil"/>
                  </w:tcBorders>
                  <w:vAlign w:val="center"/>
                </w:tcPr>
                <w:p>
                  <w:pPr>
                    <w:pStyle w:val="400"/>
                    <w:jc w:val="center"/>
                    <w:rPr>
                      <w:bCs/>
                      <w:szCs w:val="21"/>
                    </w:rPr>
                  </w:pPr>
                  <w:r>
                    <w:rPr>
                      <w:bCs/>
                      <w:szCs w:val="21"/>
                    </w:rPr>
                    <w:t>废油及其他含油固废</w:t>
                  </w:r>
                </w:p>
              </w:tc>
              <w:tc>
                <w:tcPr>
                  <w:tcW w:w="333" w:type="pct"/>
                  <w:tcBorders>
                    <w:tl2br w:val="nil"/>
                    <w:tr2bl w:val="nil"/>
                  </w:tcBorders>
                  <w:vAlign w:val="center"/>
                </w:tcPr>
                <w:p>
                  <w:pPr>
                    <w:pStyle w:val="400"/>
                    <w:jc w:val="center"/>
                    <w:rPr>
                      <w:bCs/>
                      <w:szCs w:val="21"/>
                    </w:rPr>
                  </w:pPr>
                  <w:r>
                    <w:rPr>
                      <w:rFonts w:hint="eastAsia"/>
                      <w:bCs/>
                      <w:szCs w:val="21"/>
                    </w:rPr>
                    <w:t>HW08</w:t>
                  </w:r>
                </w:p>
              </w:tc>
              <w:tc>
                <w:tcPr>
                  <w:tcW w:w="395" w:type="pct"/>
                  <w:tcBorders>
                    <w:tl2br w:val="nil"/>
                    <w:tr2bl w:val="nil"/>
                  </w:tcBorders>
                  <w:vAlign w:val="center"/>
                </w:tcPr>
                <w:p>
                  <w:pPr>
                    <w:pStyle w:val="400"/>
                    <w:jc w:val="center"/>
                    <w:rPr>
                      <w:bCs/>
                      <w:szCs w:val="21"/>
                    </w:rPr>
                  </w:pPr>
                  <w:r>
                    <w:rPr>
                      <w:rFonts w:hint="eastAsia"/>
                      <w:bCs/>
                      <w:szCs w:val="21"/>
                    </w:rPr>
                    <w:t>900-249-08</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pStyle w:val="400"/>
                    <w:jc w:val="center"/>
                    <w:rPr>
                      <w:bCs/>
                      <w:szCs w:val="21"/>
                    </w:rPr>
                  </w:pPr>
                  <w:r>
                    <w:rPr>
                      <w:rFonts w:hint="eastAsia"/>
                      <w:bCs/>
                      <w:szCs w:val="21"/>
                    </w:rPr>
                    <w:t>0.5m</w:t>
                  </w:r>
                  <w:r>
                    <w:rPr>
                      <w:rFonts w:hint="eastAsia"/>
                      <w:bCs/>
                      <w:szCs w:val="21"/>
                      <w:vertAlign w:val="superscript"/>
                    </w:rPr>
                    <w:t>3</w:t>
                  </w:r>
                </w:p>
              </w:tc>
              <w:tc>
                <w:tcPr>
                  <w:tcW w:w="396" w:type="pct"/>
                  <w:tcBorders>
                    <w:tl2br w:val="nil"/>
                    <w:tr2bl w:val="nil"/>
                  </w:tcBorders>
                  <w:vAlign w:val="center"/>
                </w:tcPr>
                <w:p>
                  <w:pPr>
                    <w:pStyle w:val="400"/>
                    <w:jc w:val="center"/>
                    <w:rPr>
                      <w:bCs/>
                      <w:szCs w:val="21"/>
                    </w:rPr>
                  </w:pPr>
                  <w:r>
                    <w:rPr>
                      <w:rFonts w:hint="eastAsia"/>
                      <w:bCs/>
                      <w:szCs w:val="21"/>
                    </w:rPr>
                    <w:t>钻井机具</w:t>
                  </w:r>
                </w:p>
              </w:tc>
              <w:tc>
                <w:tcPr>
                  <w:tcW w:w="249" w:type="pct"/>
                  <w:tcBorders>
                    <w:tl2br w:val="nil"/>
                    <w:tr2bl w:val="nil"/>
                  </w:tcBorders>
                  <w:vAlign w:val="center"/>
                </w:tcPr>
                <w:p>
                  <w:pPr>
                    <w:pStyle w:val="400"/>
                    <w:jc w:val="center"/>
                    <w:rPr>
                      <w:bCs/>
                      <w:szCs w:val="21"/>
                    </w:rPr>
                  </w:pPr>
                  <w:r>
                    <w:rPr>
                      <w:rFonts w:hint="eastAsia"/>
                      <w:bCs/>
                      <w:szCs w:val="21"/>
                    </w:rPr>
                    <w:t>液态</w:t>
                  </w:r>
                </w:p>
              </w:tc>
              <w:tc>
                <w:tcPr>
                  <w:tcW w:w="400" w:type="pct"/>
                  <w:tcBorders>
                    <w:tl2br w:val="nil"/>
                    <w:tr2bl w:val="nil"/>
                  </w:tcBorders>
                  <w:vAlign w:val="center"/>
                </w:tcPr>
                <w:p>
                  <w:pPr>
                    <w:pStyle w:val="400"/>
                    <w:jc w:val="center"/>
                    <w:rPr>
                      <w:bCs/>
                      <w:szCs w:val="21"/>
                    </w:rPr>
                  </w:pPr>
                  <w:r>
                    <w:rPr>
                      <w:rFonts w:hint="eastAsia"/>
                      <w:bCs/>
                      <w:szCs w:val="21"/>
                    </w:rPr>
                    <w:t>废润滑油</w:t>
                  </w:r>
                </w:p>
              </w:tc>
              <w:tc>
                <w:tcPr>
                  <w:tcW w:w="318" w:type="pct"/>
                  <w:tcBorders>
                    <w:tl2br w:val="nil"/>
                    <w:tr2bl w:val="nil"/>
                  </w:tcBorders>
                  <w:vAlign w:val="center"/>
                </w:tcPr>
                <w:p>
                  <w:pPr>
                    <w:pStyle w:val="400"/>
                    <w:jc w:val="center"/>
                    <w:rPr>
                      <w:bCs/>
                      <w:szCs w:val="21"/>
                    </w:rPr>
                  </w:pPr>
                  <w:r>
                    <w:rPr>
                      <w:rFonts w:hint="eastAsia"/>
                      <w:bCs/>
                      <w:szCs w:val="21"/>
                    </w:rPr>
                    <w:t>润滑油</w:t>
                  </w:r>
                </w:p>
              </w:tc>
              <w:tc>
                <w:tcPr>
                  <w:tcW w:w="313" w:type="pct"/>
                  <w:tcBorders>
                    <w:tl2br w:val="nil"/>
                    <w:tr2bl w:val="nil"/>
                  </w:tcBorders>
                  <w:vAlign w:val="center"/>
                </w:tcPr>
                <w:p>
                  <w:pPr>
                    <w:pStyle w:val="400"/>
                    <w:jc w:val="center"/>
                    <w:rPr>
                      <w:bCs/>
                      <w:szCs w:val="21"/>
                    </w:rPr>
                  </w:pPr>
                  <w:r>
                    <w:rPr>
                      <w:rFonts w:hint="eastAsia"/>
                      <w:bCs/>
                      <w:szCs w:val="21"/>
                    </w:rPr>
                    <w:t>钻井期间</w:t>
                  </w:r>
                </w:p>
              </w:tc>
              <w:tc>
                <w:tcPr>
                  <w:tcW w:w="338" w:type="pct"/>
                  <w:tcBorders>
                    <w:tl2br w:val="nil"/>
                    <w:tr2bl w:val="nil"/>
                  </w:tcBorders>
                  <w:vAlign w:val="center"/>
                </w:tcPr>
                <w:p>
                  <w:pPr>
                    <w:pStyle w:val="400"/>
                    <w:jc w:val="center"/>
                    <w:rPr>
                      <w:bCs/>
                      <w:szCs w:val="21"/>
                    </w:rPr>
                  </w:pPr>
                  <w:r>
                    <w:rPr>
                      <w:rFonts w:hint="eastAsia"/>
                      <w:bCs/>
                      <w:szCs w:val="21"/>
                    </w:rPr>
                    <w:t>T/I</w:t>
                  </w:r>
                </w:p>
              </w:tc>
              <w:tc>
                <w:tcPr>
                  <w:tcW w:w="657" w:type="pct"/>
                  <w:tcBorders>
                    <w:tl2br w:val="nil"/>
                    <w:tr2bl w:val="nil"/>
                  </w:tcBorders>
                  <w:vAlign w:val="center"/>
                </w:tcPr>
                <w:p>
                  <w:pPr>
                    <w:pStyle w:val="400"/>
                    <w:jc w:val="center"/>
                    <w:rPr>
                      <w:bCs/>
                      <w:szCs w:val="21"/>
                    </w:rPr>
                  </w:pPr>
                  <w:r>
                    <w:rPr>
                      <w:bCs/>
                      <w:szCs w:val="21"/>
                    </w:rPr>
                    <w:t>废油桶收集，暂存于</w:t>
                  </w:r>
                  <w:r>
                    <w:rPr>
                      <w:rFonts w:hint="eastAsia"/>
                      <w:bCs/>
                      <w:szCs w:val="21"/>
                    </w:rPr>
                    <w:t>危险废物贮存点</w:t>
                  </w:r>
                  <w:r>
                    <w:rPr>
                      <w:bCs/>
                      <w:szCs w:val="21"/>
                    </w:rPr>
                    <w:t>，委托有资质单位处理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4</w:t>
                  </w:r>
                </w:p>
              </w:tc>
              <w:tc>
                <w:tcPr>
                  <w:tcW w:w="607" w:type="pct"/>
                  <w:tcBorders>
                    <w:tl2br w:val="nil"/>
                    <w:tr2bl w:val="nil"/>
                  </w:tcBorders>
                  <w:vAlign w:val="center"/>
                </w:tcPr>
                <w:p>
                  <w:pPr>
                    <w:pStyle w:val="400"/>
                    <w:jc w:val="center"/>
                    <w:rPr>
                      <w:bCs/>
                      <w:szCs w:val="21"/>
                    </w:rPr>
                  </w:pPr>
                  <w:r>
                    <w:rPr>
                      <w:bCs/>
                      <w:szCs w:val="21"/>
                    </w:rPr>
                    <w:t>废棉纱/手套</w:t>
                  </w:r>
                </w:p>
              </w:tc>
              <w:tc>
                <w:tcPr>
                  <w:tcW w:w="333" w:type="pct"/>
                  <w:tcBorders>
                    <w:tl2br w:val="nil"/>
                    <w:tr2bl w:val="nil"/>
                  </w:tcBorders>
                  <w:vAlign w:val="center"/>
                </w:tcPr>
                <w:p>
                  <w:pPr>
                    <w:jc w:val="center"/>
                    <w:rPr>
                      <w:bCs/>
                      <w:szCs w:val="21"/>
                    </w:rPr>
                  </w:pPr>
                  <w:r>
                    <w:rPr>
                      <w:szCs w:val="21"/>
                    </w:rPr>
                    <w:t>HW49</w:t>
                  </w:r>
                </w:p>
              </w:tc>
              <w:tc>
                <w:tcPr>
                  <w:tcW w:w="395" w:type="pct"/>
                  <w:tcBorders>
                    <w:tl2br w:val="nil"/>
                    <w:tr2bl w:val="nil"/>
                  </w:tcBorders>
                  <w:vAlign w:val="center"/>
                </w:tcPr>
                <w:p>
                  <w:pPr>
                    <w:jc w:val="center"/>
                    <w:rPr>
                      <w:bCs/>
                      <w:szCs w:val="21"/>
                    </w:rPr>
                  </w:pPr>
                  <w:r>
                    <w:rPr>
                      <w:szCs w:val="21"/>
                    </w:rPr>
                    <w:t>900-041-49</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pStyle w:val="400"/>
                    <w:jc w:val="center"/>
                    <w:rPr>
                      <w:bCs/>
                      <w:szCs w:val="21"/>
                    </w:rPr>
                  </w:pPr>
                  <w:r>
                    <w:rPr>
                      <w:rFonts w:hint="eastAsia"/>
                      <w:bCs/>
                      <w:szCs w:val="21"/>
                    </w:rPr>
                    <w:t>0.1t</w:t>
                  </w:r>
                </w:p>
              </w:tc>
              <w:tc>
                <w:tcPr>
                  <w:tcW w:w="396" w:type="pct"/>
                  <w:tcBorders>
                    <w:tl2br w:val="nil"/>
                    <w:tr2bl w:val="nil"/>
                  </w:tcBorders>
                  <w:vAlign w:val="center"/>
                </w:tcPr>
                <w:p>
                  <w:pPr>
                    <w:jc w:val="center"/>
                    <w:rPr>
                      <w:szCs w:val="21"/>
                    </w:rPr>
                  </w:pPr>
                  <w:r>
                    <w:rPr>
                      <w:szCs w:val="21"/>
                    </w:rPr>
                    <w:t>设备维护</w:t>
                  </w:r>
                </w:p>
              </w:tc>
              <w:tc>
                <w:tcPr>
                  <w:tcW w:w="249" w:type="pct"/>
                  <w:tcBorders>
                    <w:tl2br w:val="nil"/>
                    <w:tr2bl w:val="nil"/>
                  </w:tcBorders>
                  <w:vAlign w:val="center"/>
                </w:tcPr>
                <w:p>
                  <w:pPr>
                    <w:jc w:val="center"/>
                    <w:rPr>
                      <w:szCs w:val="21"/>
                    </w:rPr>
                  </w:pPr>
                  <w:r>
                    <w:rPr>
                      <w:szCs w:val="21"/>
                    </w:rPr>
                    <w:t>固态</w:t>
                  </w:r>
                </w:p>
              </w:tc>
              <w:tc>
                <w:tcPr>
                  <w:tcW w:w="400" w:type="pct"/>
                  <w:tcBorders>
                    <w:tl2br w:val="nil"/>
                    <w:tr2bl w:val="nil"/>
                  </w:tcBorders>
                  <w:vAlign w:val="center"/>
                </w:tcPr>
                <w:p>
                  <w:pPr>
                    <w:jc w:val="center"/>
                    <w:rPr>
                      <w:szCs w:val="21"/>
                    </w:rPr>
                  </w:pPr>
                  <w:r>
                    <w:rPr>
                      <w:szCs w:val="21"/>
                    </w:rPr>
                    <w:t>矿物油</w:t>
                  </w:r>
                </w:p>
              </w:tc>
              <w:tc>
                <w:tcPr>
                  <w:tcW w:w="318" w:type="pct"/>
                  <w:tcBorders>
                    <w:tl2br w:val="nil"/>
                    <w:tr2bl w:val="nil"/>
                  </w:tcBorders>
                  <w:vAlign w:val="center"/>
                </w:tcPr>
                <w:p>
                  <w:pPr>
                    <w:jc w:val="center"/>
                    <w:rPr>
                      <w:szCs w:val="21"/>
                    </w:rPr>
                  </w:pPr>
                  <w:r>
                    <w:rPr>
                      <w:szCs w:val="21"/>
                    </w:rPr>
                    <w:t>矿物油</w:t>
                  </w:r>
                </w:p>
              </w:tc>
              <w:tc>
                <w:tcPr>
                  <w:tcW w:w="313" w:type="pct"/>
                  <w:tcBorders>
                    <w:tl2br w:val="nil"/>
                    <w:tr2bl w:val="nil"/>
                  </w:tcBorders>
                  <w:vAlign w:val="center"/>
                </w:tcPr>
                <w:p>
                  <w:pPr>
                    <w:jc w:val="center"/>
                    <w:rPr>
                      <w:szCs w:val="21"/>
                    </w:rPr>
                  </w:pPr>
                  <w:r>
                    <w:rPr>
                      <w:szCs w:val="21"/>
                    </w:rPr>
                    <w:t>施工期</w:t>
                  </w:r>
                </w:p>
              </w:tc>
              <w:tc>
                <w:tcPr>
                  <w:tcW w:w="338" w:type="pct"/>
                  <w:tcBorders>
                    <w:tl2br w:val="nil"/>
                    <w:tr2bl w:val="nil"/>
                  </w:tcBorders>
                  <w:vAlign w:val="center"/>
                </w:tcPr>
                <w:p>
                  <w:pPr>
                    <w:pStyle w:val="400"/>
                    <w:jc w:val="center"/>
                    <w:rPr>
                      <w:bCs/>
                      <w:szCs w:val="21"/>
                    </w:rPr>
                  </w:pPr>
                  <w:r>
                    <w:rPr>
                      <w:rFonts w:hint="eastAsia"/>
                      <w:bCs/>
                      <w:szCs w:val="21"/>
                    </w:rPr>
                    <w:t>T</w:t>
                  </w:r>
                </w:p>
              </w:tc>
              <w:tc>
                <w:tcPr>
                  <w:tcW w:w="657" w:type="pct"/>
                  <w:tcBorders>
                    <w:tl2br w:val="nil"/>
                    <w:tr2bl w:val="nil"/>
                  </w:tcBorders>
                  <w:vAlign w:val="center"/>
                </w:tcPr>
                <w:p>
                  <w:pPr>
                    <w:pStyle w:val="400"/>
                    <w:jc w:val="center"/>
                    <w:rPr>
                      <w:bCs/>
                      <w:szCs w:val="21"/>
                    </w:rPr>
                  </w:pPr>
                </w:p>
              </w:tc>
            </w:tr>
          </w:tbl>
          <w:p>
            <w:pPr>
              <w:pStyle w:val="20"/>
              <w:tabs>
                <w:tab w:val="left" w:pos="0"/>
                <w:tab w:val="left" w:pos="833"/>
              </w:tabs>
              <w:spacing w:before="0" w:after="0" w:line="360" w:lineRule="auto"/>
              <w:ind w:left="840" w:right="0"/>
              <w:jc w:val="center"/>
              <w:rPr>
                <w:b/>
                <w:sz w:val="21"/>
                <w:szCs w:val="21"/>
              </w:rPr>
            </w:pPr>
            <w:r>
              <w:rPr>
                <w:b/>
                <w:sz w:val="21"/>
                <w:szCs w:val="21"/>
              </w:rPr>
              <w:t>表4-11 项目固体废物产生量、储存、处置措施表</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固废类型</w:t>
                  </w:r>
                </w:p>
              </w:tc>
              <w:tc>
                <w:tcPr>
                  <w:tcW w:w="1181" w:type="dxa"/>
                  <w:tcBorders>
                    <w:tl2br w:val="nil"/>
                    <w:tr2bl w:val="nil"/>
                  </w:tcBorders>
                  <w:vAlign w:val="center"/>
                </w:tcPr>
                <w:p>
                  <w:pPr>
                    <w:jc w:val="center"/>
                    <w:rPr>
                      <w:szCs w:val="21"/>
                    </w:rPr>
                  </w:pPr>
                  <w:r>
                    <w:rPr>
                      <w:szCs w:val="21"/>
                    </w:rPr>
                    <w:t>产生量</w:t>
                  </w:r>
                </w:p>
              </w:tc>
              <w:tc>
                <w:tcPr>
                  <w:tcW w:w="1087" w:type="dxa"/>
                  <w:tcBorders>
                    <w:tl2br w:val="nil"/>
                    <w:tr2bl w:val="nil"/>
                  </w:tcBorders>
                  <w:vAlign w:val="center"/>
                </w:tcPr>
                <w:p>
                  <w:pPr>
                    <w:jc w:val="center"/>
                    <w:rPr>
                      <w:szCs w:val="21"/>
                    </w:rPr>
                  </w:pPr>
                  <w:r>
                    <w:rPr>
                      <w:szCs w:val="21"/>
                    </w:rPr>
                    <w:t>固废性质</w:t>
                  </w:r>
                </w:p>
              </w:tc>
              <w:tc>
                <w:tcPr>
                  <w:tcW w:w="1418" w:type="dxa"/>
                  <w:tcBorders>
                    <w:tl2br w:val="nil"/>
                    <w:tr2bl w:val="nil"/>
                  </w:tcBorders>
                  <w:vAlign w:val="center"/>
                </w:tcPr>
                <w:p>
                  <w:pPr>
                    <w:jc w:val="center"/>
                    <w:rPr>
                      <w:szCs w:val="21"/>
                    </w:rPr>
                  </w:pPr>
                  <w:r>
                    <w:rPr>
                      <w:szCs w:val="21"/>
                    </w:rPr>
                    <w:t>代码</w:t>
                  </w:r>
                </w:p>
              </w:tc>
              <w:tc>
                <w:tcPr>
                  <w:tcW w:w="3184" w:type="dxa"/>
                  <w:tcBorders>
                    <w:tl2br w:val="nil"/>
                    <w:tr2bl w:val="nil"/>
                  </w:tcBorders>
                  <w:vAlign w:val="center"/>
                </w:tcPr>
                <w:p>
                  <w:pPr>
                    <w:jc w:val="center"/>
                    <w:rPr>
                      <w:szCs w:val="21"/>
                    </w:rPr>
                  </w:pPr>
                  <w:r>
                    <w:rPr>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废水基泥浆</w:t>
                  </w:r>
                </w:p>
              </w:tc>
              <w:tc>
                <w:tcPr>
                  <w:tcW w:w="1181" w:type="dxa"/>
                  <w:tcBorders>
                    <w:tl2br w:val="nil"/>
                    <w:tr2bl w:val="nil"/>
                  </w:tcBorders>
                  <w:vAlign w:val="center"/>
                </w:tcPr>
                <w:p>
                  <w:pPr>
                    <w:jc w:val="center"/>
                    <w:rPr>
                      <w:szCs w:val="21"/>
                    </w:rPr>
                  </w:pPr>
                  <w:r>
                    <w:rPr>
                      <w:rFonts w:hint="eastAsia"/>
                      <w:szCs w:val="21"/>
                    </w:rPr>
                    <w:t>13.7</w:t>
                  </w:r>
                  <w:r>
                    <w:rPr>
                      <w:szCs w:val="21"/>
                    </w:rPr>
                    <w:t>m</w:t>
                  </w:r>
                  <w:r>
                    <w:rPr>
                      <w:szCs w:val="21"/>
                      <w:vertAlign w:val="superscript"/>
                    </w:rPr>
                    <w:t>3</w:t>
                  </w:r>
                </w:p>
              </w:tc>
              <w:tc>
                <w:tcPr>
                  <w:tcW w:w="1087" w:type="dxa"/>
                  <w:vMerge w:val="restart"/>
                  <w:tcBorders>
                    <w:tl2br w:val="nil"/>
                    <w:tr2bl w:val="nil"/>
                  </w:tcBorders>
                  <w:vAlign w:val="center"/>
                </w:tcPr>
                <w:p>
                  <w:pPr>
                    <w:jc w:val="center"/>
                    <w:rPr>
                      <w:szCs w:val="21"/>
                    </w:rPr>
                  </w:pPr>
                  <w:r>
                    <w:rPr>
                      <w:szCs w:val="21"/>
                    </w:rPr>
                    <w:t>一般固废</w:t>
                  </w:r>
                </w:p>
              </w:tc>
              <w:tc>
                <w:tcPr>
                  <w:tcW w:w="1418" w:type="dxa"/>
                  <w:tcBorders>
                    <w:tl2br w:val="nil"/>
                    <w:tr2bl w:val="nil"/>
                  </w:tcBorders>
                  <w:vAlign w:val="center"/>
                </w:tcPr>
                <w:p>
                  <w:pPr>
                    <w:jc w:val="center"/>
                    <w:rPr>
                      <w:szCs w:val="21"/>
                    </w:rPr>
                  </w:pPr>
                  <w:r>
                    <w:rPr>
                      <w:szCs w:val="21"/>
                    </w:rPr>
                    <w:t>747-001-99</w:t>
                  </w:r>
                </w:p>
              </w:tc>
              <w:tc>
                <w:tcPr>
                  <w:tcW w:w="3184" w:type="dxa"/>
                  <w:vMerge w:val="restart"/>
                  <w:tcBorders>
                    <w:tl2br w:val="nil"/>
                    <w:tr2bl w:val="nil"/>
                  </w:tcBorders>
                  <w:vAlign w:val="center"/>
                </w:tcPr>
                <w:p>
                  <w:pPr>
                    <w:jc w:val="center"/>
                    <w:rPr>
                      <w:szCs w:val="21"/>
                    </w:rPr>
                  </w:pPr>
                  <w:r>
                    <w:rPr>
                      <w:szCs w:val="21"/>
                    </w:rPr>
                    <w:t>随钻处理，及时转运</w:t>
                  </w:r>
                  <w:r>
                    <w:rPr>
                      <w:rFonts w:hint="eastAsia"/>
                      <w:szCs w:val="21"/>
                    </w:rPr>
                    <w:t>，拟交由具有处理处置相应固体废物能力并配套建设有废气、废水、固废等污染物治理设施的单位进行资源化利用处置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水基岩屑</w:t>
                  </w:r>
                </w:p>
              </w:tc>
              <w:tc>
                <w:tcPr>
                  <w:tcW w:w="1181" w:type="dxa"/>
                  <w:tcBorders>
                    <w:tl2br w:val="nil"/>
                    <w:tr2bl w:val="nil"/>
                  </w:tcBorders>
                  <w:vAlign w:val="center"/>
                </w:tcPr>
                <w:p>
                  <w:pPr>
                    <w:jc w:val="center"/>
                    <w:rPr>
                      <w:szCs w:val="21"/>
                    </w:rPr>
                  </w:pPr>
                  <w:r>
                    <w:rPr>
                      <w:rFonts w:hint="eastAsia"/>
                      <w:szCs w:val="21"/>
                    </w:rPr>
                    <w:t>205.8</w:t>
                  </w:r>
                  <w:r>
                    <w:rPr>
                      <w:szCs w:val="21"/>
                    </w:rPr>
                    <w:t>t</w:t>
                  </w:r>
                </w:p>
              </w:tc>
              <w:tc>
                <w:tcPr>
                  <w:tcW w:w="1087" w:type="dxa"/>
                  <w:vMerge w:val="continue"/>
                  <w:tcBorders>
                    <w:tl2br w:val="nil"/>
                    <w:tr2bl w:val="nil"/>
                  </w:tcBorders>
                  <w:vAlign w:val="center"/>
                </w:tcPr>
                <w:p>
                  <w:pPr>
                    <w:jc w:val="center"/>
                    <w:rPr>
                      <w:szCs w:val="21"/>
                    </w:rPr>
                  </w:pPr>
                </w:p>
              </w:tc>
              <w:tc>
                <w:tcPr>
                  <w:tcW w:w="1418" w:type="dxa"/>
                  <w:tcBorders>
                    <w:tl2br w:val="nil"/>
                    <w:tr2bl w:val="nil"/>
                  </w:tcBorders>
                  <w:vAlign w:val="center"/>
                </w:tcPr>
                <w:p>
                  <w:pPr>
                    <w:jc w:val="center"/>
                    <w:rPr>
                      <w:szCs w:val="21"/>
                    </w:rPr>
                  </w:pPr>
                  <w:r>
                    <w:rPr>
                      <w:szCs w:val="21"/>
                    </w:rPr>
                    <w:t>747-001-99</w:t>
                  </w:r>
                </w:p>
              </w:tc>
              <w:tc>
                <w:tcPr>
                  <w:tcW w:w="318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油基岩屑</w:t>
                  </w:r>
                </w:p>
              </w:tc>
              <w:tc>
                <w:tcPr>
                  <w:tcW w:w="1181" w:type="dxa"/>
                  <w:tcBorders>
                    <w:tl2br w:val="nil"/>
                    <w:tr2bl w:val="nil"/>
                  </w:tcBorders>
                  <w:vAlign w:val="center"/>
                </w:tcPr>
                <w:p>
                  <w:pPr>
                    <w:jc w:val="center"/>
                    <w:rPr>
                      <w:szCs w:val="21"/>
                    </w:rPr>
                  </w:pPr>
                  <w:r>
                    <w:rPr>
                      <w:rFonts w:hint="eastAsia"/>
                      <w:szCs w:val="21"/>
                    </w:rPr>
                    <w:t>49.28</w:t>
                  </w:r>
                  <w:r>
                    <w:rPr>
                      <w:szCs w:val="21"/>
                    </w:rPr>
                    <w:t>m</w:t>
                  </w:r>
                  <w:r>
                    <w:rPr>
                      <w:szCs w:val="21"/>
                      <w:vertAlign w:val="superscript"/>
                    </w:rPr>
                    <w:t>3</w:t>
                  </w:r>
                </w:p>
              </w:tc>
              <w:tc>
                <w:tcPr>
                  <w:tcW w:w="1087" w:type="dxa"/>
                  <w:vMerge w:val="restart"/>
                  <w:tcBorders>
                    <w:tl2br w:val="nil"/>
                    <w:tr2bl w:val="nil"/>
                  </w:tcBorders>
                  <w:vAlign w:val="center"/>
                </w:tcPr>
                <w:p>
                  <w:pPr>
                    <w:jc w:val="center"/>
                    <w:rPr>
                      <w:szCs w:val="21"/>
                    </w:rPr>
                  </w:pPr>
                  <w:r>
                    <w:rPr>
                      <w:szCs w:val="21"/>
                    </w:rPr>
                    <w:t>危险废物</w:t>
                  </w:r>
                </w:p>
              </w:tc>
              <w:tc>
                <w:tcPr>
                  <w:tcW w:w="1418" w:type="dxa"/>
                  <w:tcBorders>
                    <w:tl2br w:val="nil"/>
                    <w:tr2bl w:val="nil"/>
                  </w:tcBorders>
                  <w:vAlign w:val="center"/>
                </w:tcPr>
                <w:p>
                  <w:pPr>
                    <w:jc w:val="center"/>
                    <w:rPr>
                      <w:szCs w:val="21"/>
                    </w:rPr>
                  </w:pPr>
                  <w:r>
                    <w:rPr>
                      <w:szCs w:val="21"/>
                    </w:rPr>
                    <w:t>HW08：</w:t>
                  </w:r>
                </w:p>
                <w:p>
                  <w:pPr>
                    <w:jc w:val="center"/>
                    <w:rPr>
                      <w:szCs w:val="21"/>
                    </w:rPr>
                  </w:pPr>
                  <w:r>
                    <w:rPr>
                      <w:szCs w:val="21"/>
                    </w:rPr>
                    <w:t>072-001-08</w:t>
                  </w:r>
                </w:p>
              </w:tc>
              <w:tc>
                <w:tcPr>
                  <w:tcW w:w="3184" w:type="dxa"/>
                  <w:vMerge w:val="restart"/>
                  <w:tcBorders>
                    <w:tl2br w:val="nil"/>
                    <w:tr2bl w:val="nil"/>
                  </w:tcBorders>
                  <w:vAlign w:val="center"/>
                </w:tcPr>
                <w:p>
                  <w:pPr>
                    <w:jc w:val="center"/>
                    <w:rPr>
                      <w:szCs w:val="21"/>
                    </w:rPr>
                  </w:pPr>
                  <w:r>
                    <w:rPr>
                      <w:rFonts w:hint="eastAsia"/>
                      <w:szCs w:val="21"/>
                    </w:rPr>
                    <w:t>拟及时</w:t>
                  </w:r>
                  <w:r>
                    <w:rPr>
                      <w:szCs w:val="21"/>
                    </w:rPr>
                    <w:t>交由</w:t>
                  </w:r>
                  <w:r>
                    <w:rPr>
                      <w:rFonts w:hint="eastAsia"/>
                      <w:szCs w:val="21"/>
                    </w:rPr>
                    <w:t>有资质单位</w:t>
                  </w:r>
                  <w:r>
                    <w:rPr>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rFonts w:hint="eastAsia"/>
                      <w:szCs w:val="21"/>
                    </w:rPr>
                    <w:t>油基泥浆</w:t>
                  </w:r>
                </w:p>
              </w:tc>
              <w:tc>
                <w:tcPr>
                  <w:tcW w:w="1181" w:type="dxa"/>
                  <w:tcBorders>
                    <w:tl2br w:val="nil"/>
                    <w:tr2bl w:val="nil"/>
                  </w:tcBorders>
                  <w:vAlign w:val="center"/>
                </w:tcPr>
                <w:p>
                  <w:pPr>
                    <w:jc w:val="center"/>
                    <w:rPr>
                      <w:szCs w:val="21"/>
                    </w:rPr>
                  </w:pPr>
                  <w:r>
                    <w:rPr>
                      <w:rFonts w:hint="eastAsia"/>
                      <w:szCs w:val="21"/>
                    </w:rPr>
                    <w:t>26.41m</w:t>
                  </w:r>
                  <w:r>
                    <w:rPr>
                      <w:rFonts w:hint="eastAsia"/>
                      <w:szCs w:val="21"/>
                      <w:vertAlign w:val="superscript"/>
                    </w:rPr>
                    <w:t>3</w:t>
                  </w:r>
                </w:p>
              </w:tc>
              <w:tc>
                <w:tcPr>
                  <w:tcW w:w="1087" w:type="dxa"/>
                  <w:vMerge w:val="continue"/>
                  <w:tcBorders>
                    <w:tl2br w:val="nil"/>
                    <w:tr2bl w:val="nil"/>
                  </w:tcBorders>
                  <w:vAlign w:val="center"/>
                </w:tcPr>
                <w:p>
                  <w:pPr>
                    <w:jc w:val="center"/>
                    <w:rPr>
                      <w:szCs w:val="21"/>
                    </w:rPr>
                  </w:pPr>
                </w:p>
              </w:tc>
              <w:tc>
                <w:tcPr>
                  <w:tcW w:w="1418" w:type="dxa"/>
                  <w:tcBorders>
                    <w:tl2br w:val="nil"/>
                    <w:tr2bl w:val="nil"/>
                  </w:tcBorders>
                  <w:vAlign w:val="center"/>
                </w:tcPr>
                <w:p>
                  <w:pPr>
                    <w:jc w:val="center"/>
                    <w:rPr>
                      <w:szCs w:val="21"/>
                    </w:rPr>
                  </w:pPr>
                  <w:r>
                    <w:rPr>
                      <w:szCs w:val="21"/>
                    </w:rPr>
                    <w:t>HW08</w:t>
                  </w:r>
                  <w:r>
                    <w:rPr>
                      <w:rFonts w:hint="eastAsia"/>
                      <w:szCs w:val="21"/>
                    </w:rPr>
                    <w:t>：072-001-08</w:t>
                  </w:r>
                </w:p>
              </w:tc>
              <w:tc>
                <w:tcPr>
                  <w:tcW w:w="318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废油</w:t>
                  </w:r>
                </w:p>
              </w:tc>
              <w:tc>
                <w:tcPr>
                  <w:tcW w:w="1181" w:type="dxa"/>
                  <w:tcBorders>
                    <w:tl2br w:val="nil"/>
                    <w:tr2bl w:val="nil"/>
                  </w:tcBorders>
                  <w:vAlign w:val="center"/>
                </w:tcPr>
                <w:p>
                  <w:pPr>
                    <w:jc w:val="center"/>
                    <w:rPr>
                      <w:szCs w:val="21"/>
                    </w:rPr>
                  </w:pPr>
                  <w:r>
                    <w:rPr>
                      <w:szCs w:val="21"/>
                    </w:rPr>
                    <w:t>0.5t</w:t>
                  </w:r>
                </w:p>
              </w:tc>
              <w:tc>
                <w:tcPr>
                  <w:tcW w:w="1087" w:type="dxa"/>
                  <w:vMerge w:val="continue"/>
                  <w:tcBorders>
                    <w:tl2br w:val="nil"/>
                    <w:tr2bl w:val="nil"/>
                  </w:tcBorders>
                  <w:vAlign w:val="center"/>
                </w:tcPr>
                <w:p>
                  <w:pPr>
                    <w:jc w:val="center"/>
                    <w:rPr>
                      <w:szCs w:val="21"/>
                    </w:rPr>
                  </w:pPr>
                </w:p>
              </w:tc>
              <w:tc>
                <w:tcPr>
                  <w:tcW w:w="1418" w:type="dxa"/>
                  <w:tcBorders>
                    <w:tl2br w:val="nil"/>
                    <w:tr2bl w:val="nil"/>
                  </w:tcBorders>
                  <w:vAlign w:val="center"/>
                </w:tcPr>
                <w:p>
                  <w:pPr>
                    <w:jc w:val="center"/>
                    <w:rPr>
                      <w:szCs w:val="21"/>
                    </w:rPr>
                  </w:pPr>
                  <w:r>
                    <w:rPr>
                      <w:szCs w:val="21"/>
                    </w:rPr>
                    <w:t>HW08：</w:t>
                  </w:r>
                </w:p>
                <w:p>
                  <w:pPr>
                    <w:jc w:val="center"/>
                    <w:rPr>
                      <w:szCs w:val="21"/>
                    </w:rPr>
                  </w:pPr>
                  <w:r>
                    <w:rPr>
                      <w:szCs w:val="21"/>
                    </w:rPr>
                    <w:t>900-249-08</w:t>
                  </w:r>
                </w:p>
              </w:tc>
              <w:tc>
                <w:tcPr>
                  <w:tcW w:w="3184" w:type="dxa"/>
                  <w:vMerge w:val="restart"/>
                  <w:tcBorders>
                    <w:tl2br w:val="nil"/>
                    <w:tr2bl w:val="nil"/>
                  </w:tcBorders>
                  <w:vAlign w:val="center"/>
                </w:tcPr>
                <w:p>
                  <w:pPr>
                    <w:jc w:val="center"/>
                    <w:rPr>
                      <w:szCs w:val="21"/>
                    </w:rPr>
                  </w:pPr>
                  <w:r>
                    <w:rPr>
                      <w:szCs w:val="21"/>
                    </w:rPr>
                    <w:t>通过废油桶收集，用于后期油基钻井液的配制，剩余不能回用的拟及时交由</w:t>
                  </w:r>
                  <w:r>
                    <w:rPr>
                      <w:rFonts w:hint="eastAsia"/>
                      <w:szCs w:val="21"/>
                    </w:rPr>
                    <w:t>有资质单位</w:t>
                  </w:r>
                  <w:r>
                    <w:rPr>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废油桶</w:t>
                  </w:r>
                </w:p>
              </w:tc>
              <w:tc>
                <w:tcPr>
                  <w:tcW w:w="1181" w:type="dxa"/>
                  <w:tcBorders>
                    <w:tl2br w:val="nil"/>
                    <w:tr2bl w:val="nil"/>
                  </w:tcBorders>
                  <w:vAlign w:val="center"/>
                </w:tcPr>
                <w:p>
                  <w:pPr>
                    <w:jc w:val="center"/>
                    <w:rPr>
                      <w:szCs w:val="21"/>
                    </w:rPr>
                  </w:pPr>
                  <w:r>
                    <w:rPr>
                      <w:szCs w:val="21"/>
                    </w:rPr>
                    <w:t>0.1t</w:t>
                  </w:r>
                </w:p>
              </w:tc>
              <w:tc>
                <w:tcPr>
                  <w:tcW w:w="1087" w:type="dxa"/>
                  <w:vMerge w:val="continue"/>
                  <w:tcBorders>
                    <w:tl2br w:val="nil"/>
                    <w:tr2bl w:val="nil"/>
                  </w:tcBorders>
                  <w:vAlign w:val="center"/>
                </w:tcPr>
                <w:p>
                  <w:pPr>
                    <w:jc w:val="center"/>
                    <w:rPr>
                      <w:szCs w:val="21"/>
                    </w:rPr>
                  </w:pPr>
                </w:p>
              </w:tc>
              <w:tc>
                <w:tcPr>
                  <w:tcW w:w="1418" w:type="dxa"/>
                  <w:tcBorders>
                    <w:tl2br w:val="nil"/>
                    <w:tr2bl w:val="nil"/>
                  </w:tcBorders>
                  <w:vAlign w:val="center"/>
                </w:tcPr>
                <w:p>
                  <w:pPr>
                    <w:jc w:val="center"/>
                    <w:rPr>
                      <w:szCs w:val="21"/>
                    </w:rPr>
                  </w:pPr>
                  <w:r>
                    <w:rPr>
                      <w:szCs w:val="21"/>
                    </w:rPr>
                    <w:t>HW49：</w:t>
                  </w:r>
                </w:p>
                <w:p>
                  <w:pPr>
                    <w:jc w:val="center"/>
                    <w:rPr>
                      <w:szCs w:val="21"/>
                    </w:rPr>
                  </w:pPr>
                  <w:r>
                    <w:rPr>
                      <w:szCs w:val="21"/>
                    </w:rPr>
                    <w:t>900-041-49</w:t>
                  </w:r>
                </w:p>
              </w:tc>
              <w:tc>
                <w:tcPr>
                  <w:tcW w:w="318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废棉纱/手套</w:t>
                  </w:r>
                </w:p>
              </w:tc>
              <w:tc>
                <w:tcPr>
                  <w:tcW w:w="1181" w:type="dxa"/>
                  <w:tcBorders>
                    <w:tl2br w:val="nil"/>
                    <w:tr2bl w:val="nil"/>
                  </w:tcBorders>
                  <w:vAlign w:val="center"/>
                </w:tcPr>
                <w:p>
                  <w:pPr>
                    <w:jc w:val="center"/>
                    <w:rPr>
                      <w:szCs w:val="21"/>
                    </w:rPr>
                  </w:pPr>
                  <w:r>
                    <w:rPr>
                      <w:szCs w:val="21"/>
                    </w:rPr>
                    <w:t>0.1t</w:t>
                  </w:r>
                </w:p>
              </w:tc>
              <w:tc>
                <w:tcPr>
                  <w:tcW w:w="1087" w:type="dxa"/>
                  <w:vMerge w:val="continue"/>
                  <w:tcBorders>
                    <w:tl2br w:val="nil"/>
                    <w:tr2bl w:val="nil"/>
                  </w:tcBorders>
                  <w:vAlign w:val="center"/>
                </w:tcPr>
                <w:p>
                  <w:pPr>
                    <w:jc w:val="center"/>
                    <w:rPr>
                      <w:szCs w:val="21"/>
                    </w:rPr>
                  </w:pPr>
                </w:p>
              </w:tc>
              <w:tc>
                <w:tcPr>
                  <w:tcW w:w="1418" w:type="dxa"/>
                  <w:tcBorders>
                    <w:tl2br w:val="nil"/>
                    <w:tr2bl w:val="nil"/>
                  </w:tcBorders>
                  <w:vAlign w:val="center"/>
                </w:tcPr>
                <w:p>
                  <w:pPr>
                    <w:jc w:val="center"/>
                    <w:rPr>
                      <w:szCs w:val="21"/>
                    </w:rPr>
                  </w:pPr>
                  <w:r>
                    <w:rPr>
                      <w:szCs w:val="21"/>
                    </w:rPr>
                    <w:t>HW49：</w:t>
                  </w:r>
                </w:p>
                <w:p>
                  <w:pPr>
                    <w:jc w:val="center"/>
                    <w:rPr>
                      <w:szCs w:val="21"/>
                    </w:rPr>
                  </w:pPr>
                  <w:r>
                    <w:rPr>
                      <w:szCs w:val="21"/>
                    </w:rPr>
                    <w:t>900-041-49</w:t>
                  </w:r>
                </w:p>
              </w:tc>
              <w:tc>
                <w:tcPr>
                  <w:tcW w:w="3184" w:type="dxa"/>
                  <w:tcBorders>
                    <w:tl2br w:val="nil"/>
                    <w:tr2bl w:val="nil"/>
                  </w:tcBorders>
                  <w:vAlign w:val="center"/>
                </w:tcPr>
                <w:p>
                  <w:pPr>
                    <w:jc w:val="center"/>
                    <w:rPr>
                      <w:szCs w:val="21"/>
                    </w:rPr>
                  </w:pPr>
                  <w:r>
                    <w:rPr>
                      <w:szCs w:val="21"/>
                    </w:rPr>
                    <w:t>拟及时交由</w:t>
                  </w:r>
                  <w:r>
                    <w:rPr>
                      <w:rFonts w:hint="eastAsia"/>
                      <w:szCs w:val="21"/>
                    </w:rPr>
                    <w:t>有资质单位</w:t>
                  </w:r>
                  <w:r>
                    <w:rPr>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废包装材料</w:t>
                  </w:r>
                </w:p>
              </w:tc>
              <w:tc>
                <w:tcPr>
                  <w:tcW w:w="1181" w:type="dxa"/>
                  <w:tcBorders>
                    <w:tl2br w:val="nil"/>
                    <w:tr2bl w:val="nil"/>
                  </w:tcBorders>
                  <w:vAlign w:val="center"/>
                </w:tcPr>
                <w:p>
                  <w:pPr>
                    <w:jc w:val="center"/>
                    <w:rPr>
                      <w:szCs w:val="21"/>
                    </w:rPr>
                  </w:pPr>
                  <w:r>
                    <w:rPr>
                      <w:szCs w:val="21"/>
                    </w:rPr>
                    <w:t>1t</w:t>
                  </w:r>
                </w:p>
              </w:tc>
              <w:tc>
                <w:tcPr>
                  <w:tcW w:w="1087" w:type="dxa"/>
                  <w:tcBorders>
                    <w:tl2br w:val="nil"/>
                    <w:tr2bl w:val="nil"/>
                  </w:tcBorders>
                  <w:vAlign w:val="center"/>
                </w:tcPr>
                <w:p>
                  <w:pPr>
                    <w:jc w:val="center"/>
                    <w:rPr>
                      <w:szCs w:val="21"/>
                    </w:rPr>
                  </w:pPr>
                  <w:r>
                    <w:rPr>
                      <w:szCs w:val="21"/>
                    </w:rPr>
                    <w:t>一般固废</w:t>
                  </w:r>
                </w:p>
              </w:tc>
              <w:tc>
                <w:tcPr>
                  <w:tcW w:w="1418" w:type="dxa"/>
                  <w:tcBorders>
                    <w:tl2br w:val="nil"/>
                    <w:tr2bl w:val="nil"/>
                  </w:tcBorders>
                  <w:vAlign w:val="center"/>
                </w:tcPr>
                <w:p>
                  <w:pPr>
                    <w:jc w:val="center"/>
                    <w:rPr>
                      <w:szCs w:val="21"/>
                    </w:rPr>
                  </w:pPr>
                  <w:r>
                    <w:rPr>
                      <w:szCs w:val="21"/>
                    </w:rPr>
                    <w:t>747-001-07</w:t>
                  </w:r>
                </w:p>
              </w:tc>
              <w:tc>
                <w:tcPr>
                  <w:tcW w:w="3184" w:type="dxa"/>
                  <w:tcBorders>
                    <w:tl2br w:val="nil"/>
                    <w:tr2bl w:val="nil"/>
                  </w:tcBorders>
                  <w:vAlign w:val="center"/>
                </w:tcPr>
                <w:p>
                  <w:pPr>
                    <w:jc w:val="center"/>
                    <w:rPr>
                      <w:szCs w:val="21"/>
                    </w:rPr>
                  </w:pPr>
                  <w:r>
                    <w:rPr>
                      <w:szCs w:val="21"/>
                    </w:rPr>
                    <w:t>拟及时交由</w:t>
                  </w:r>
                  <w:r>
                    <w:rPr>
                      <w:rFonts w:hint="eastAsia"/>
                      <w:szCs w:val="21"/>
                    </w:rPr>
                    <w:t>有资质单位</w:t>
                  </w:r>
                  <w:r>
                    <w:rPr>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jc w:val="center"/>
                    <w:rPr>
                      <w:szCs w:val="21"/>
                    </w:rPr>
                  </w:pPr>
                  <w:r>
                    <w:rPr>
                      <w:szCs w:val="21"/>
                    </w:rPr>
                    <w:t>生活垃圾</w:t>
                  </w:r>
                </w:p>
              </w:tc>
              <w:tc>
                <w:tcPr>
                  <w:tcW w:w="1181" w:type="dxa"/>
                  <w:tcBorders>
                    <w:tl2br w:val="nil"/>
                    <w:tr2bl w:val="nil"/>
                  </w:tcBorders>
                  <w:vAlign w:val="center"/>
                </w:tcPr>
                <w:p>
                  <w:pPr>
                    <w:pStyle w:val="26"/>
                    <w:spacing w:line="240" w:lineRule="auto"/>
                    <w:jc w:val="center"/>
                  </w:pPr>
                  <w:r>
                    <w:t>1.4t</w:t>
                  </w:r>
                </w:p>
              </w:tc>
              <w:tc>
                <w:tcPr>
                  <w:tcW w:w="1087" w:type="dxa"/>
                  <w:tcBorders>
                    <w:tl2br w:val="nil"/>
                    <w:tr2bl w:val="nil"/>
                  </w:tcBorders>
                  <w:vAlign w:val="center"/>
                </w:tcPr>
                <w:p>
                  <w:pPr>
                    <w:jc w:val="center"/>
                    <w:rPr>
                      <w:szCs w:val="21"/>
                    </w:rPr>
                  </w:pPr>
                  <w:r>
                    <w:rPr>
                      <w:szCs w:val="21"/>
                    </w:rPr>
                    <w:t>生活垃圾</w:t>
                  </w:r>
                </w:p>
              </w:tc>
              <w:tc>
                <w:tcPr>
                  <w:tcW w:w="1418" w:type="dxa"/>
                  <w:tcBorders>
                    <w:tl2br w:val="nil"/>
                    <w:tr2bl w:val="nil"/>
                  </w:tcBorders>
                  <w:vAlign w:val="center"/>
                </w:tcPr>
                <w:p>
                  <w:pPr>
                    <w:jc w:val="center"/>
                    <w:rPr>
                      <w:szCs w:val="21"/>
                    </w:rPr>
                  </w:pPr>
                  <w:r>
                    <w:rPr>
                      <w:szCs w:val="21"/>
                    </w:rPr>
                    <w:t>/</w:t>
                  </w:r>
                </w:p>
              </w:tc>
              <w:tc>
                <w:tcPr>
                  <w:tcW w:w="3184" w:type="dxa"/>
                  <w:tcBorders>
                    <w:tl2br w:val="nil"/>
                    <w:tr2bl w:val="nil"/>
                  </w:tcBorders>
                  <w:vAlign w:val="center"/>
                </w:tcPr>
                <w:p>
                  <w:pPr>
                    <w:jc w:val="center"/>
                    <w:rPr>
                      <w:szCs w:val="21"/>
                    </w:rPr>
                  </w:pPr>
                  <w:r>
                    <w:rPr>
                      <w:szCs w:val="21"/>
                    </w:rPr>
                    <w:t>垃圾桶集中收集后，交当地环卫部门处理</w:t>
                  </w:r>
                </w:p>
              </w:tc>
            </w:tr>
          </w:tbl>
          <w:p>
            <w:pPr>
              <w:spacing w:line="360" w:lineRule="auto"/>
              <w:ind w:firstLine="480" w:firstLineChars="200"/>
              <w:rPr>
                <w:sz w:val="24"/>
              </w:rPr>
            </w:pPr>
            <w:r>
              <w:rPr>
                <w:sz w:val="24"/>
              </w:rPr>
              <w:t>（2）环境影响分析</w:t>
            </w:r>
          </w:p>
          <w:p>
            <w:pPr>
              <w:spacing w:line="360" w:lineRule="auto"/>
              <w:ind w:firstLine="480" w:firstLineChars="200"/>
              <w:rPr>
                <w:sz w:val="24"/>
              </w:rPr>
            </w:pPr>
            <w:r>
              <w:rPr>
                <w:sz w:val="24"/>
              </w:rPr>
              <w:t>钻井工程产生的固体废物主要有钻井岩屑、废泥浆、废油及生活垃圾。</w:t>
            </w:r>
          </w:p>
          <w:p>
            <w:pPr>
              <w:spacing w:line="360" w:lineRule="auto"/>
              <w:ind w:firstLine="480" w:firstLineChars="200"/>
              <w:rPr>
                <w:sz w:val="24"/>
              </w:rPr>
            </w:pPr>
            <w:r>
              <w:rPr>
                <w:sz w:val="24"/>
              </w:rPr>
              <w:t>根据《国家危险废物名录》（2021版），本项目钻井过程产生的水基岩屑不属于名录中的固体废物，同时根据生态环境部关于发布《危险废物排除管理清单（2021年版）》的公告（公告2021年 第66号），废水基钻井泥浆及岩屑不属于危险废物之列，因此项目产生的清水岩屑、水基泥浆及水基钻井岩屑按照一般固废处置。</w:t>
            </w:r>
          </w:p>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废泥浆</w:t>
            </w:r>
          </w:p>
          <w:p>
            <w:pPr>
              <w:spacing w:line="360" w:lineRule="auto"/>
              <w:ind w:firstLine="480" w:firstLineChars="200"/>
              <w:rPr>
                <w:sz w:val="24"/>
              </w:rPr>
            </w:pPr>
            <w:r>
              <w:rPr>
                <w:sz w:val="24"/>
              </w:rPr>
              <w:t>项目产生的废水基泥浆不在该名录中规定的危险废物之列。本项目</w:t>
            </w:r>
            <w:r>
              <w:rPr>
                <w:rFonts w:hint="eastAsia"/>
                <w:sz w:val="24"/>
              </w:rPr>
              <w:t>导眼</w:t>
            </w:r>
            <w:r>
              <w:rPr>
                <w:sz w:val="24"/>
              </w:rPr>
              <w:t>井段废水基泥浆量约为</w:t>
            </w:r>
            <w:r>
              <w:rPr>
                <w:rFonts w:hint="eastAsia"/>
                <w:sz w:val="24"/>
              </w:rPr>
              <w:t>13.7</w:t>
            </w:r>
            <w:r>
              <w:rPr>
                <w:sz w:val="24"/>
              </w:rPr>
              <w:t>m</w:t>
            </w:r>
            <w:r>
              <w:rPr>
                <w:sz w:val="24"/>
                <w:vertAlign w:val="superscript"/>
              </w:rPr>
              <w:t>3</w:t>
            </w:r>
            <w:r>
              <w:rPr>
                <w:sz w:val="24"/>
              </w:rPr>
              <w:t>，经循环罐收集后暂存于清洁生产操作平台，清洁生产操作平台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钻井岩屑</w:t>
            </w:r>
          </w:p>
          <w:p>
            <w:pPr>
              <w:spacing w:line="360" w:lineRule="auto"/>
              <w:ind w:firstLine="482" w:firstLineChars="200"/>
              <w:rPr>
                <w:bCs/>
                <w:sz w:val="24"/>
              </w:rPr>
            </w:pPr>
            <w:r>
              <w:rPr>
                <w:b/>
                <w:bCs/>
                <w:sz w:val="24"/>
              </w:rPr>
              <w:t>水基岩屑：</w:t>
            </w:r>
            <w:r>
              <w:rPr>
                <w:sz w:val="24"/>
              </w:rPr>
              <w:t>钻井岩屑是在钻井过程中钻头切削地层岩石而产生的碎屑，其产生量与井眼长度、平均井径有关，</w:t>
            </w:r>
            <w:r>
              <w:rPr>
                <w:rFonts w:hint="eastAsia"/>
                <w:sz w:val="24"/>
              </w:rPr>
              <w:t>水基钻井液钻井</w:t>
            </w:r>
            <w:r>
              <w:rPr>
                <w:sz w:val="24"/>
              </w:rPr>
              <w:t>产生的钻井岩屑为一般工业固体废物。由岩屑收集罐进行收集，</w:t>
            </w:r>
            <w:r>
              <w:rPr>
                <w:rFonts w:hint="eastAsia"/>
                <w:sz w:val="24"/>
              </w:rPr>
              <w:t>导眼</w:t>
            </w:r>
            <w:r>
              <w:rPr>
                <w:sz w:val="24"/>
              </w:rPr>
              <w:t>井段产生水基岩屑量为240t，暂存岩屑堆放区，</w:t>
            </w:r>
            <w:r>
              <w:rPr>
                <w:bCs/>
                <w:sz w:val="24"/>
              </w:rPr>
              <w:t>岩屑堆放区</w:t>
            </w:r>
            <w:r>
              <w:rPr>
                <w:rFonts w:hint="eastAsia"/>
                <w:bCs/>
                <w:sz w:val="24"/>
              </w:rPr>
              <w:t>采取</w:t>
            </w:r>
            <w:r>
              <w:rPr>
                <w:bCs/>
                <w:sz w:val="24"/>
              </w:rPr>
              <w:t>重点防渗处置，并设置围堰，符合暂存要求</w:t>
            </w:r>
            <w:r>
              <w:rPr>
                <w:sz w:val="24"/>
              </w:rPr>
              <w:t>，</w:t>
            </w:r>
            <w:r>
              <w:rPr>
                <w:rFonts w:hint="eastAsia"/>
                <w:sz w:val="24"/>
              </w:rPr>
              <w:t>及时</w:t>
            </w:r>
            <w:r>
              <w:rPr>
                <w:sz w:val="24"/>
              </w:rPr>
              <w:t>外运</w:t>
            </w:r>
            <w:r>
              <w:rPr>
                <w:rFonts w:hint="eastAsia"/>
                <w:sz w:val="24"/>
              </w:rPr>
              <w:t>交由有资质单位资源化利用。</w:t>
            </w:r>
          </w:p>
          <w:p>
            <w:pPr>
              <w:pStyle w:val="38"/>
              <w:keepNext/>
              <w:widowControl w:val="0"/>
              <w:tabs>
                <w:tab w:val="left" w:pos="377"/>
              </w:tabs>
              <w:spacing w:before="0" w:beforeAutospacing="0" w:after="0" w:afterAutospacing="0" w:line="360" w:lineRule="auto"/>
              <w:ind w:firstLine="482" w:firstLineChars="200"/>
              <w:jc w:val="both"/>
              <w:rPr>
                <w:rFonts w:ascii="Times New Roman" w:hAnsi="Times New Roman"/>
                <w:bCs/>
              </w:rPr>
            </w:pPr>
            <w:r>
              <w:rPr>
                <w:rFonts w:ascii="Times New Roman" w:hAnsi="Times New Roman"/>
                <w:b/>
                <w:bCs/>
                <w:lang w:bidi="ar"/>
              </w:rPr>
              <w:t>油基岩屑：</w:t>
            </w:r>
            <w:r>
              <w:rPr>
                <w:rFonts w:ascii="Times New Roman" w:hAnsi="Times New Roman"/>
                <w:lang w:bidi="ar"/>
              </w:rPr>
              <w:t>钻井过程中产生的油基岩屑由岩屑收集罐临时收集后</w:t>
            </w:r>
            <w:r>
              <w:rPr>
                <w:rFonts w:hint="eastAsia" w:ascii="Times New Roman" w:hAnsi="Times New Roman"/>
                <w:lang w:bidi="ar"/>
              </w:rPr>
              <w:t>拟</w:t>
            </w:r>
            <w:r>
              <w:rPr>
                <w:rFonts w:ascii="Times New Roman" w:hAnsi="Times New Roman"/>
                <w:lang w:bidi="ar"/>
              </w:rPr>
              <w:t>及时交由</w:t>
            </w:r>
            <w:r>
              <w:rPr>
                <w:rFonts w:hint="eastAsia" w:ascii="Times New Roman" w:hAnsi="Times New Roman"/>
                <w:lang w:bidi="ar"/>
              </w:rPr>
              <w:t>有资质单位</w:t>
            </w:r>
            <w:r>
              <w:rPr>
                <w:rFonts w:ascii="Times New Roman" w:hAnsi="Times New Roman"/>
                <w:lang w:bidi="ar"/>
              </w:rPr>
              <w:t>处置。</w:t>
            </w:r>
          </w:p>
          <w:p>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生活垃圾及包装材料</w:t>
            </w:r>
          </w:p>
          <w:p>
            <w:pPr>
              <w:spacing w:line="360" w:lineRule="auto"/>
              <w:ind w:firstLine="480" w:firstLineChars="200"/>
              <w:rPr>
                <w:sz w:val="24"/>
              </w:rPr>
            </w:pPr>
            <w:r>
              <w:rPr>
                <w:sz w:val="24"/>
              </w:rPr>
              <w:t>钻井期间生活垃圾按0.5kg/人·d计算，施工人员40人，则产生量约为20kg/d，整个钻井工程施工期平均</w:t>
            </w:r>
            <w:r>
              <w:rPr>
                <w:rFonts w:hint="eastAsia"/>
                <w:sz w:val="24"/>
              </w:rPr>
              <w:t>30</w:t>
            </w:r>
            <w:r>
              <w:rPr>
                <w:sz w:val="24"/>
              </w:rPr>
              <w:t>天，垃圾产生量共计</w:t>
            </w:r>
            <w:r>
              <w:rPr>
                <w:rFonts w:hint="eastAsia"/>
                <w:sz w:val="24"/>
              </w:rPr>
              <w:t>0.6</w:t>
            </w:r>
            <w:r>
              <w:rPr>
                <w:sz w:val="24"/>
              </w:rPr>
              <w:t>t。生活垃圾交环卫部门处置。废包装材料量较少，收集后全部回收利用。</w:t>
            </w:r>
          </w:p>
          <w:p>
            <w:pPr>
              <w:spacing w:line="360" w:lineRule="auto"/>
              <w:ind w:firstLine="480" w:firstLineChars="200"/>
              <w:rPr>
                <w:sz w:val="24"/>
              </w:rPr>
            </w:pPr>
            <w:r>
              <w:rPr>
                <w:sz w:val="24"/>
              </w:rPr>
              <w:fldChar w:fldCharType="begin"/>
            </w:r>
            <w:r>
              <w:rPr>
                <w:sz w:val="24"/>
              </w:rPr>
              <w:instrText xml:space="preserve"> = 4 \* GB3 </w:instrText>
            </w:r>
            <w:r>
              <w:rPr>
                <w:sz w:val="24"/>
              </w:rPr>
              <w:fldChar w:fldCharType="separate"/>
            </w:r>
            <w:r>
              <w:rPr>
                <w:sz w:val="24"/>
              </w:rPr>
              <w:t>④</w:t>
            </w:r>
            <w:r>
              <w:rPr>
                <w:sz w:val="24"/>
              </w:rPr>
              <w:fldChar w:fldCharType="end"/>
            </w:r>
            <w:r>
              <w:rPr>
                <w:sz w:val="24"/>
              </w:rPr>
              <w:t>废油及废油桶</w:t>
            </w:r>
          </w:p>
          <w:p>
            <w:pPr>
              <w:spacing w:line="360" w:lineRule="auto"/>
              <w:ind w:firstLine="480" w:firstLineChars="200"/>
              <w:rPr>
                <w:sz w:val="24"/>
              </w:rPr>
            </w:pPr>
            <w:r>
              <w:rPr>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清洁生产操作平台，并采取必要的防护措施（防风、防雨、防晒、防渗、防漏、防腐）及其他环境污染防护措施，完钻后交由</w:t>
            </w:r>
            <w:r>
              <w:rPr>
                <w:rFonts w:hint="eastAsia"/>
                <w:sz w:val="24"/>
              </w:rPr>
              <w:t>有资质单位</w:t>
            </w:r>
            <w:r>
              <w:rPr>
                <w:sz w:val="24"/>
              </w:rPr>
              <w:t>处置。</w:t>
            </w:r>
          </w:p>
          <w:p>
            <w:pPr>
              <w:spacing w:line="360" w:lineRule="auto"/>
              <w:ind w:firstLine="480" w:firstLineChars="200"/>
              <w:rPr>
                <w:sz w:val="24"/>
              </w:rPr>
            </w:pPr>
            <w:r>
              <w:rPr>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pPr>
              <w:spacing w:line="360" w:lineRule="auto"/>
              <w:ind w:firstLine="480" w:firstLineChars="200"/>
              <w:rPr>
                <w:sz w:val="24"/>
              </w:rPr>
            </w:pPr>
            <w:r>
              <w:rPr>
                <w:sz w:val="24"/>
              </w:rPr>
              <w:t>采取上述措施后，固体废物均得到妥善处置，对周边环境影响较小。</w:t>
            </w:r>
          </w:p>
          <w:p>
            <w:pPr>
              <w:spacing w:line="360" w:lineRule="auto"/>
              <w:rPr>
                <w:b/>
                <w:sz w:val="24"/>
              </w:rPr>
            </w:pPr>
            <w:r>
              <w:rPr>
                <w:b/>
                <w:sz w:val="24"/>
              </w:rPr>
              <w:t>4.3</w:t>
            </w:r>
            <w:r>
              <w:rPr>
                <w:rFonts w:hint="eastAsia"/>
                <w:b/>
                <w:sz w:val="24"/>
              </w:rPr>
              <w:t>储层改造工程</w:t>
            </w:r>
            <w:r>
              <w:rPr>
                <w:b/>
                <w:sz w:val="24"/>
              </w:rPr>
              <w:t>源强核算及环境影响分析</w:t>
            </w:r>
          </w:p>
          <w:p>
            <w:pPr>
              <w:spacing w:line="360" w:lineRule="auto"/>
              <w:rPr>
                <w:b/>
                <w:sz w:val="24"/>
              </w:rPr>
            </w:pPr>
            <w:r>
              <w:rPr>
                <w:b/>
                <w:sz w:val="24"/>
              </w:rPr>
              <w:t>4.3.1废气环境影响分析</w:t>
            </w:r>
          </w:p>
          <w:p>
            <w:pPr>
              <w:spacing w:line="360" w:lineRule="auto"/>
              <w:ind w:firstLine="480" w:firstLineChars="200"/>
              <w:rPr>
                <w:bCs/>
                <w:sz w:val="24"/>
              </w:rPr>
            </w:pPr>
            <w:r>
              <w:rPr>
                <w:bCs/>
                <w:sz w:val="24"/>
              </w:rPr>
              <w:t>放喷废气来自测试放喷过程天然气燃烧，通常因时间短而视为非正常工况废气。本项目测试放喷时间约1d～2d，依据测试气量，间歇放喷，每次持续放喷时间约4h～6h，属短期排放。测试放喷的天然气经点火燃烧，其主要污染物为SO</w:t>
            </w:r>
            <w:r>
              <w:rPr>
                <w:bCs/>
                <w:sz w:val="24"/>
                <w:vertAlign w:val="subscript"/>
              </w:rPr>
              <w:t>2</w:t>
            </w:r>
            <w:r>
              <w:rPr>
                <w:rFonts w:hint="eastAsia"/>
                <w:bCs/>
                <w:sz w:val="24"/>
              </w:rPr>
              <w:t>、CO</w:t>
            </w:r>
            <w:r>
              <w:rPr>
                <w:rFonts w:hint="eastAsia"/>
                <w:bCs/>
                <w:sz w:val="24"/>
                <w:vertAlign w:val="subscript"/>
              </w:rPr>
              <w:t>2</w:t>
            </w:r>
            <w:r>
              <w:rPr>
                <w:rFonts w:hint="eastAsia"/>
                <w:bCs/>
                <w:sz w:val="24"/>
              </w:rPr>
              <w:t>和颗粒物等</w:t>
            </w:r>
            <w:r>
              <w:rPr>
                <w:bCs/>
                <w:sz w:val="24"/>
              </w:rPr>
              <w:t>。</w:t>
            </w:r>
          </w:p>
          <w:p>
            <w:pPr>
              <w:spacing w:line="360" w:lineRule="auto"/>
              <w:ind w:firstLine="480" w:firstLineChars="200"/>
              <w:rPr>
                <w:bCs/>
                <w:sz w:val="24"/>
              </w:rPr>
            </w:pPr>
            <w:r>
              <w:rPr>
                <w:bCs/>
                <w:sz w:val="24"/>
              </w:rPr>
              <w:t>本项目测试放喷通过专用的放喷管线将天然气引至放喷池进行点火燃烧，放喷池周围设置3面挡墙（耐火墙），高度3.5m，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spacing w:line="360" w:lineRule="auto"/>
              <w:ind w:firstLine="480" w:firstLineChars="200"/>
              <w:rPr>
                <w:bCs/>
                <w:sz w:val="24"/>
              </w:rPr>
            </w:pPr>
            <w:r>
              <w:rPr>
                <w:bCs/>
                <w:sz w:val="24"/>
              </w:rPr>
              <w:t>本项目测试放喷在昼间进行，且时间较短（类比同类钻井，一般测试时间为1d～2d，每次4h～6h），燃烧后主要污染物为SO</w:t>
            </w:r>
            <w:r>
              <w:rPr>
                <w:bCs/>
                <w:sz w:val="24"/>
                <w:vertAlign w:val="subscript"/>
              </w:rPr>
              <w:t>2</w:t>
            </w:r>
            <w:r>
              <w:rPr>
                <w:bCs/>
                <w:sz w:val="24"/>
              </w:rPr>
              <w:t>。测试放喷所产生的污染物产生量较小，并将随测试放喷的结束而消除，故对环境空气影响较小</w:t>
            </w:r>
          </w:p>
          <w:p>
            <w:pPr>
              <w:spacing w:line="360" w:lineRule="auto"/>
              <w:rPr>
                <w:b/>
                <w:sz w:val="24"/>
              </w:rPr>
            </w:pPr>
            <w:r>
              <w:rPr>
                <w:b/>
                <w:sz w:val="24"/>
              </w:rPr>
              <w:t>4.3.2废水环境影响分析</w:t>
            </w:r>
          </w:p>
          <w:p>
            <w:pPr>
              <w:spacing w:line="360" w:lineRule="auto"/>
              <w:ind w:firstLine="480" w:firstLineChars="200"/>
              <w:rPr>
                <w:sz w:val="24"/>
              </w:rPr>
            </w:pPr>
            <w:r>
              <w:rPr>
                <w:sz w:val="24"/>
              </w:rPr>
              <w:t>（1）废水源强</w:t>
            </w:r>
          </w:p>
          <w:p>
            <w:pPr>
              <w:spacing w:line="360" w:lineRule="auto"/>
              <w:ind w:firstLine="480" w:firstLineChars="200"/>
              <w:rPr>
                <w:sz w:val="24"/>
              </w:rPr>
            </w:pPr>
            <w:r>
              <w:rPr>
                <w:sz w:val="24"/>
              </w:rPr>
              <w:t>测试放喷与</w:t>
            </w:r>
            <w:r>
              <w:rPr>
                <w:rFonts w:hint="eastAsia"/>
                <w:sz w:val="24"/>
              </w:rPr>
              <w:t>储层改造工程</w:t>
            </w:r>
            <w:r>
              <w:rPr>
                <w:sz w:val="24"/>
              </w:rPr>
              <w:t>产生的作业废水主要是压裂酸化、洗井等施工时产生的废水。</w:t>
            </w:r>
          </w:p>
          <w:p>
            <w:pPr>
              <w:spacing w:line="360" w:lineRule="auto"/>
              <w:ind w:firstLine="480" w:firstLineChars="200"/>
              <w:rPr>
                <w:sz w:val="24"/>
              </w:rPr>
            </w:pPr>
            <w:r>
              <w:rPr>
                <w:sz w:val="24"/>
              </w:rPr>
              <w:t>本项目总压裂液入井量</w:t>
            </w:r>
            <w:r>
              <w:rPr>
                <w:rFonts w:hint="eastAsia"/>
                <w:sz w:val="24"/>
              </w:rPr>
              <w:t>15000m</w:t>
            </w:r>
            <w:r>
              <w:rPr>
                <w:rFonts w:hint="eastAsia"/>
                <w:sz w:val="24"/>
                <w:vertAlign w:val="superscript"/>
              </w:rPr>
              <w:t>3</w:t>
            </w:r>
            <w:r>
              <w:rPr>
                <w:sz w:val="24"/>
              </w:rPr>
              <w:t>，取水</w:t>
            </w:r>
            <w:r>
              <w:rPr>
                <w:rFonts w:hint="eastAsia"/>
                <w:sz w:val="24"/>
              </w:rPr>
              <w:t>来自于当地自来水管网</w:t>
            </w:r>
            <w:r>
              <w:rPr>
                <w:sz w:val="24"/>
              </w:rPr>
              <w:t>，由罐车拉运至井场。根据该区域已完钻钻井工程可知，该区域钻井工程酸液返排率约30%，则本项目返排液量为</w:t>
            </w:r>
            <w:r>
              <w:rPr>
                <w:rFonts w:hint="eastAsia"/>
                <w:sz w:val="24"/>
              </w:rPr>
              <w:t>4500</w:t>
            </w:r>
            <w:r>
              <w:rPr>
                <w:sz w:val="24"/>
              </w:rPr>
              <w:t>m</w:t>
            </w:r>
            <w:r>
              <w:rPr>
                <w:sz w:val="24"/>
                <w:vertAlign w:val="superscript"/>
              </w:rPr>
              <w:t>3</w:t>
            </w:r>
            <w:r>
              <w:rPr>
                <w:sz w:val="24"/>
              </w:rPr>
              <w:t>，作业废水主要组成为水、盐酸与岩层反应后生成的盐类及表面活性剂等。返排液排至经防腐防渗处理地放喷池或污水罐中。本项目洗井采用清水，项目洗井废水产生约100m</w:t>
            </w:r>
            <w:r>
              <w:rPr>
                <w:sz w:val="24"/>
                <w:vertAlign w:val="superscript"/>
              </w:rPr>
              <w:t>3</w:t>
            </w:r>
            <w:r>
              <w:rPr>
                <w:sz w:val="24"/>
              </w:rPr>
              <w:t>。</w:t>
            </w:r>
          </w:p>
          <w:p>
            <w:pPr>
              <w:spacing w:line="360" w:lineRule="auto"/>
              <w:ind w:firstLine="480" w:firstLineChars="200"/>
              <w:rPr>
                <w:sz w:val="24"/>
              </w:rPr>
            </w:pPr>
            <w:r>
              <w:rPr>
                <w:sz w:val="24"/>
              </w:rPr>
              <w:t>本项目压裂返排液及洗井废水临时暂存于污水罐中，用罐车</w:t>
            </w:r>
            <w:r>
              <w:rPr>
                <w:rFonts w:hint="eastAsia"/>
                <w:sz w:val="24"/>
              </w:rPr>
              <w:t>定期拉运至大湾403污水站处理达标后管输至毛开1井回注站回注</w:t>
            </w:r>
            <w:r>
              <w:rPr>
                <w:sz w:val="24"/>
              </w:rPr>
              <w:t>。根据普光气田钻井工程类比调查，作业废水污染物浓度情况见表4-</w:t>
            </w:r>
            <w:r>
              <w:rPr>
                <w:rFonts w:hint="eastAsia"/>
                <w:sz w:val="24"/>
              </w:rPr>
              <w:t>1</w:t>
            </w:r>
            <w:r>
              <w:rPr>
                <w:rFonts w:hint="eastAsia"/>
                <w:sz w:val="24"/>
                <w:lang w:val="en-US" w:eastAsia="zh-CN"/>
              </w:rPr>
              <w:t>2</w:t>
            </w:r>
            <w:r>
              <w:rPr>
                <w:sz w:val="24"/>
              </w:rPr>
              <w:t>。</w:t>
            </w:r>
          </w:p>
          <w:p>
            <w:pPr>
              <w:spacing w:line="360" w:lineRule="auto"/>
              <w:ind w:firstLine="480" w:firstLineChars="200"/>
              <w:rPr>
                <w:sz w:val="24"/>
              </w:rPr>
            </w:pPr>
            <w:r>
              <w:rPr>
                <w:sz w:val="24"/>
              </w:rPr>
              <w:t>表4-</w:t>
            </w:r>
            <w:r>
              <w:rPr>
                <w:rFonts w:hint="eastAsia"/>
                <w:sz w:val="24"/>
              </w:rPr>
              <w:t>1</w:t>
            </w:r>
            <w:r>
              <w:rPr>
                <w:rFonts w:hint="eastAsia"/>
                <w:sz w:val="24"/>
                <w:lang w:val="en-US" w:eastAsia="zh-CN"/>
              </w:rPr>
              <w:t>2</w:t>
            </w:r>
            <w:r>
              <w:rPr>
                <w:sz w:val="24"/>
              </w:rPr>
              <w:t xml:space="preserve">  压裂返排液及洗井废水污染物浓度表（单位：mg/L）</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pPr>
                    <w:contextualSpacing/>
                    <w:jc w:val="center"/>
                  </w:pPr>
                  <w:r>
                    <w:t>污染物名称</w:t>
                  </w:r>
                </w:p>
              </w:tc>
              <w:tc>
                <w:tcPr>
                  <w:tcW w:w="1767" w:type="dxa"/>
                  <w:tcBorders>
                    <w:top w:val="single" w:color="auto" w:sz="12" w:space="0"/>
                  </w:tcBorders>
                  <w:vAlign w:val="center"/>
                </w:tcPr>
                <w:p>
                  <w:pPr>
                    <w:contextualSpacing/>
                    <w:jc w:val="center"/>
                  </w:pPr>
                  <w:r>
                    <w:t>pH</w:t>
                  </w:r>
                </w:p>
              </w:tc>
              <w:tc>
                <w:tcPr>
                  <w:tcW w:w="1178" w:type="dxa"/>
                  <w:tcBorders>
                    <w:top w:val="single" w:color="auto" w:sz="12" w:space="0"/>
                  </w:tcBorders>
                  <w:vAlign w:val="center"/>
                </w:tcPr>
                <w:p>
                  <w:pPr>
                    <w:contextualSpacing/>
                    <w:jc w:val="center"/>
                  </w:pPr>
                  <w:r>
                    <w:t>COD</w:t>
                  </w:r>
                </w:p>
              </w:tc>
              <w:tc>
                <w:tcPr>
                  <w:tcW w:w="1178" w:type="dxa"/>
                  <w:tcBorders>
                    <w:top w:val="single" w:color="auto" w:sz="12" w:space="0"/>
                  </w:tcBorders>
                  <w:vAlign w:val="center"/>
                </w:tcPr>
                <w:p>
                  <w:pPr>
                    <w:contextualSpacing/>
                    <w:jc w:val="center"/>
                  </w:pPr>
                  <w:r>
                    <w:t>SS</w:t>
                  </w:r>
                </w:p>
              </w:tc>
              <w:tc>
                <w:tcPr>
                  <w:tcW w:w="1178" w:type="dxa"/>
                  <w:tcBorders>
                    <w:top w:val="single" w:color="auto" w:sz="12" w:space="0"/>
                  </w:tcBorders>
                  <w:vAlign w:val="center"/>
                </w:tcPr>
                <w:p>
                  <w:pPr>
                    <w:contextualSpacing/>
                    <w:jc w:val="center"/>
                  </w:pPr>
                  <w:r>
                    <w:t>石油类</w:t>
                  </w:r>
                </w:p>
              </w:tc>
              <w:tc>
                <w:tcPr>
                  <w:tcW w:w="1031" w:type="dxa"/>
                  <w:tcBorders>
                    <w:top w:val="single" w:color="auto" w:sz="12" w:space="0"/>
                  </w:tcBorders>
                  <w:vAlign w:val="center"/>
                </w:tcPr>
                <w:p>
                  <w:pPr>
                    <w:contextualSpacing/>
                    <w:jc w:val="center"/>
                  </w:pPr>
                  <w:r>
                    <w:t>挥发酚</w:t>
                  </w:r>
                </w:p>
              </w:tc>
              <w:tc>
                <w:tcPr>
                  <w:tcW w:w="1259" w:type="dxa"/>
                  <w:tcBorders>
                    <w:top w:val="single" w:color="auto" w:sz="12" w:space="0"/>
                    <w:right w:val="single" w:color="auto" w:sz="12" w:space="0"/>
                  </w:tcBorders>
                  <w:vAlign w:val="center"/>
                </w:tcPr>
                <w:p>
                  <w:pPr>
                    <w:contextualSpacing/>
                    <w:jc w:val="center"/>
                  </w:pPr>
                  <w: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pPr>
                    <w:contextualSpacing/>
                    <w:jc w:val="center"/>
                  </w:pPr>
                  <w:r>
                    <w:t>浓度</w:t>
                  </w:r>
                </w:p>
              </w:tc>
              <w:tc>
                <w:tcPr>
                  <w:tcW w:w="1767" w:type="dxa"/>
                  <w:tcBorders>
                    <w:bottom w:val="single" w:color="auto" w:sz="12" w:space="0"/>
                  </w:tcBorders>
                  <w:vAlign w:val="center"/>
                </w:tcPr>
                <w:p>
                  <w:pPr>
                    <w:contextualSpacing/>
                    <w:jc w:val="center"/>
                  </w:pPr>
                  <w:r>
                    <w:t>4～6</w:t>
                  </w:r>
                </w:p>
              </w:tc>
              <w:tc>
                <w:tcPr>
                  <w:tcW w:w="1178" w:type="dxa"/>
                  <w:tcBorders>
                    <w:bottom w:val="single" w:color="auto" w:sz="12" w:space="0"/>
                  </w:tcBorders>
                  <w:vAlign w:val="center"/>
                </w:tcPr>
                <w:p>
                  <w:pPr>
                    <w:contextualSpacing/>
                    <w:jc w:val="center"/>
                  </w:pPr>
                  <w:r>
                    <w:t>≤5000</w:t>
                  </w:r>
                </w:p>
              </w:tc>
              <w:tc>
                <w:tcPr>
                  <w:tcW w:w="1178" w:type="dxa"/>
                  <w:tcBorders>
                    <w:bottom w:val="single" w:color="auto" w:sz="12" w:space="0"/>
                  </w:tcBorders>
                  <w:vAlign w:val="center"/>
                </w:tcPr>
                <w:p>
                  <w:pPr>
                    <w:contextualSpacing/>
                    <w:jc w:val="center"/>
                  </w:pPr>
                  <w:r>
                    <w:t>≤7500</w:t>
                  </w:r>
                </w:p>
              </w:tc>
              <w:tc>
                <w:tcPr>
                  <w:tcW w:w="1178" w:type="dxa"/>
                  <w:tcBorders>
                    <w:bottom w:val="single" w:color="auto" w:sz="12" w:space="0"/>
                  </w:tcBorders>
                  <w:vAlign w:val="center"/>
                </w:tcPr>
                <w:p>
                  <w:pPr>
                    <w:contextualSpacing/>
                    <w:jc w:val="center"/>
                  </w:pPr>
                  <w:r>
                    <w:t>≤200</w:t>
                  </w:r>
                </w:p>
              </w:tc>
              <w:tc>
                <w:tcPr>
                  <w:tcW w:w="1031" w:type="dxa"/>
                  <w:tcBorders>
                    <w:bottom w:val="single" w:color="auto" w:sz="12" w:space="0"/>
                  </w:tcBorders>
                  <w:vAlign w:val="center"/>
                </w:tcPr>
                <w:p>
                  <w:pPr>
                    <w:contextualSpacing/>
                    <w:jc w:val="center"/>
                  </w:pPr>
                  <w:r>
                    <w:t>≤7.0</w:t>
                  </w:r>
                </w:p>
              </w:tc>
              <w:tc>
                <w:tcPr>
                  <w:tcW w:w="1259" w:type="dxa"/>
                  <w:tcBorders>
                    <w:bottom w:val="single" w:color="auto" w:sz="12" w:space="0"/>
                    <w:right w:val="single" w:color="auto" w:sz="12" w:space="0"/>
                  </w:tcBorders>
                  <w:vAlign w:val="center"/>
                </w:tcPr>
                <w:p>
                  <w:pPr>
                    <w:contextualSpacing/>
                    <w:jc w:val="center"/>
                  </w:pPr>
                  <w:r>
                    <w:t>≤4000</w:t>
                  </w:r>
                </w:p>
              </w:tc>
            </w:tr>
          </w:tbl>
          <w:p>
            <w:pPr>
              <w:spacing w:line="360" w:lineRule="auto"/>
              <w:ind w:firstLine="480" w:firstLineChars="200"/>
              <w:rPr>
                <w:sz w:val="24"/>
              </w:rPr>
            </w:pPr>
            <w:r>
              <w:rPr>
                <w:sz w:val="24"/>
              </w:rPr>
              <w:t>3）生活污水</w:t>
            </w:r>
          </w:p>
          <w:p>
            <w:pPr>
              <w:spacing w:line="360" w:lineRule="auto"/>
              <w:ind w:firstLine="480" w:firstLineChars="200"/>
              <w:rPr>
                <w:sz w:val="24"/>
              </w:rPr>
            </w:pPr>
            <w:r>
              <w:rPr>
                <w:sz w:val="24"/>
              </w:rPr>
              <w:t>钻井期间，一个钻井队的员工一般为45人，每人每天生活用水按200L/d*人计，排污系数为0.</w:t>
            </w:r>
            <w:r>
              <w:rPr>
                <w:rFonts w:hint="eastAsia"/>
                <w:sz w:val="24"/>
              </w:rPr>
              <w:t>9</w:t>
            </w:r>
            <w:r>
              <w:rPr>
                <w:sz w:val="24"/>
              </w:rPr>
              <w:t>，则钻井期间井场的生活用水量为</w:t>
            </w:r>
            <w:r>
              <w:rPr>
                <w:rFonts w:hint="eastAsia"/>
                <w:sz w:val="24"/>
              </w:rPr>
              <w:t>9</w:t>
            </w:r>
            <w:r>
              <w:rPr>
                <w:sz w:val="24"/>
              </w:rPr>
              <w:t>m</w:t>
            </w:r>
            <w:r>
              <w:rPr>
                <w:sz w:val="24"/>
                <w:vertAlign w:val="superscript"/>
              </w:rPr>
              <w:t>3</w:t>
            </w:r>
            <w:r>
              <w:rPr>
                <w:sz w:val="24"/>
              </w:rPr>
              <w:t>/d，污水产生量为</w:t>
            </w:r>
            <w:r>
              <w:rPr>
                <w:rFonts w:hint="eastAsia"/>
                <w:sz w:val="24"/>
              </w:rPr>
              <w:t>8.1</w:t>
            </w:r>
            <w:r>
              <w:rPr>
                <w:sz w:val="24"/>
              </w:rPr>
              <w:t>m</w:t>
            </w:r>
            <w:r>
              <w:rPr>
                <w:sz w:val="24"/>
                <w:vertAlign w:val="superscript"/>
              </w:rPr>
              <w:t>3</w:t>
            </w:r>
            <w:r>
              <w:rPr>
                <w:sz w:val="24"/>
              </w:rPr>
              <w:t>/d。生活污水经生态厕所收集后，用作农肥，不外排。本项目生活污水水质情况见下表4-</w:t>
            </w:r>
            <w:r>
              <w:rPr>
                <w:rFonts w:hint="eastAsia"/>
                <w:sz w:val="24"/>
              </w:rPr>
              <w:t>1</w:t>
            </w:r>
            <w:r>
              <w:rPr>
                <w:rFonts w:hint="eastAsia"/>
                <w:sz w:val="24"/>
                <w:lang w:val="en-US" w:eastAsia="zh-CN"/>
              </w:rPr>
              <w:t>3</w:t>
            </w:r>
            <w:r>
              <w:rPr>
                <w:sz w:val="24"/>
              </w:rPr>
              <w:t>。</w:t>
            </w:r>
          </w:p>
          <w:p>
            <w:pPr>
              <w:spacing w:line="360" w:lineRule="auto"/>
              <w:ind w:firstLine="480" w:firstLineChars="200"/>
              <w:jc w:val="center"/>
              <w:rPr>
                <w:sz w:val="24"/>
              </w:rPr>
            </w:pPr>
            <w:r>
              <w:rPr>
                <w:sz w:val="24"/>
              </w:rPr>
              <w:t>表4-</w:t>
            </w:r>
            <w:r>
              <w:rPr>
                <w:rFonts w:hint="eastAsia"/>
                <w:sz w:val="24"/>
              </w:rPr>
              <w:t>1</w:t>
            </w:r>
            <w:r>
              <w:rPr>
                <w:rFonts w:hint="eastAsia"/>
                <w:sz w:val="24"/>
                <w:lang w:val="en-US" w:eastAsia="zh-CN"/>
              </w:rPr>
              <w:t>3</w:t>
            </w:r>
            <w:r>
              <w:rPr>
                <w:sz w:val="24"/>
              </w:rPr>
              <w:t xml:space="preserve">  项目生活污水水质</w:t>
            </w:r>
          </w:p>
          <w:tbl>
            <w:tblPr>
              <w:tblStyle w:val="4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pPr>
                    <w:contextualSpacing/>
                    <w:jc w:val="center"/>
                  </w:pPr>
                  <w:r>
                    <w:t>主要污染物名称</w:t>
                  </w:r>
                </w:p>
              </w:tc>
              <w:tc>
                <w:tcPr>
                  <w:tcW w:w="891" w:type="dxa"/>
                  <w:tcBorders>
                    <w:top w:val="single" w:color="auto" w:sz="12" w:space="0"/>
                  </w:tcBorders>
                  <w:vAlign w:val="center"/>
                </w:tcPr>
                <w:p>
                  <w:pPr>
                    <w:contextualSpacing/>
                    <w:jc w:val="center"/>
                  </w:pPr>
                  <w:r>
                    <w:t>pH</w:t>
                  </w:r>
                </w:p>
              </w:tc>
              <w:tc>
                <w:tcPr>
                  <w:tcW w:w="1605" w:type="dxa"/>
                  <w:tcBorders>
                    <w:top w:val="single" w:color="auto" w:sz="12" w:space="0"/>
                  </w:tcBorders>
                  <w:vAlign w:val="center"/>
                </w:tcPr>
                <w:p>
                  <w:pPr>
                    <w:contextualSpacing/>
                    <w:jc w:val="center"/>
                  </w:pPr>
                  <w:r>
                    <w:t>悬浮物(mg/L)</w:t>
                  </w:r>
                </w:p>
              </w:tc>
              <w:tc>
                <w:tcPr>
                  <w:tcW w:w="1463" w:type="dxa"/>
                  <w:tcBorders>
                    <w:top w:val="single" w:color="auto" w:sz="12" w:space="0"/>
                  </w:tcBorders>
                  <w:vAlign w:val="center"/>
                </w:tcPr>
                <w:p>
                  <w:pPr>
                    <w:contextualSpacing/>
                    <w:jc w:val="center"/>
                  </w:pPr>
                  <w:r>
                    <w:t>COD(mg/L)</w:t>
                  </w:r>
                </w:p>
              </w:tc>
              <w:tc>
                <w:tcPr>
                  <w:tcW w:w="1464" w:type="dxa"/>
                  <w:tcBorders>
                    <w:top w:val="single" w:color="auto" w:sz="12" w:space="0"/>
                  </w:tcBorders>
                  <w:vAlign w:val="center"/>
                </w:tcPr>
                <w:p>
                  <w:pPr>
                    <w:contextualSpacing/>
                    <w:jc w:val="center"/>
                  </w:pPr>
                  <w:r>
                    <w:t>BOD5(mg/L)</w:t>
                  </w:r>
                </w:p>
              </w:tc>
              <w:tc>
                <w:tcPr>
                  <w:tcW w:w="1464" w:type="dxa"/>
                  <w:tcBorders>
                    <w:top w:val="single" w:color="auto" w:sz="12" w:space="0"/>
                    <w:right w:val="single" w:color="auto" w:sz="12" w:space="0"/>
                  </w:tcBorders>
                  <w:vAlign w:val="center"/>
                </w:tcPr>
                <w:p>
                  <w:pPr>
                    <w:contextualSpacing/>
                    <w:jc w:val="center"/>
                  </w:pPr>
                  <w: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pPr>
                    <w:contextualSpacing/>
                    <w:jc w:val="center"/>
                  </w:pPr>
                  <w:r>
                    <w:t>水质情况</w:t>
                  </w:r>
                </w:p>
              </w:tc>
              <w:tc>
                <w:tcPr>
                  <w:tcW w:w="891" w:type="dxa"/>
                  <w:tcBorders>
                    <w:bottom w:val="single" w:color="auto" w:sz="12" w:space="0"/>
                  </w:tcBorders>
                  <w:vAlign w:val="center"/>
                </w:tcPr>
                <w:p>
                  <w:pPr>
                    <w:contextualSpacing/>
                    <w:jc w:val="center"/>
                  </w:pPr>
                  <w:r>
                    <w:t>7.0-9.0</w:t>
                  </w:r>
                </w:p>
              </w:tc>
              <w:tc>
                <w:tcPr>
                  <w:tcW w:w="1605" w:type="dxa"/>
                  <w:tcBorders>
                    <w:bottom w:val="single" w:color="auto" w:sz="12" w:space="0"/>
                  </w:tcBorders>
                  <w:vAlign w:val="center"/>
                </w:tcPr>
                <w:p>
                  <w:pPr>
                    <w:contextualSpacing/>
                    <w:jc w:val="center"/>
                  </w:pPr>
                  <w:r>
                    <w:t>250-300</w:t>
                  </w:r>
                </w:p>
              </w:tc>
              <w:tc>
                <w:tcPr>
                  <w:tcW w:w="1463" w:type="dxa"/>
                  <w:tcBorders>
                    <w:bottom w:val="single" w:color="auto" w:sz="12" w:space="0"/>
                  </w:tcBorders>
                  <w:vAlign w:val="center"/>
                </w:tcPr>
                <w:p>
                  <w:pPr>
                    <w:contextualSpacing/>
                    <w:jc w:val="center"/>
                  </w:pPr>
                  <w:r>
                    <w:t>350-400</w:t>
                  </w:r>
                </w:p>
              </w:tc>
              <w:tc>
                <w:tcPr>
                  <w:tcW w:w="1464" w:type="dxa"/>
                  <w:tcBorders>
                    <w:bottom w:val="single" w:color="auto" w:sz="12" w:space="0"/>
                  </w:tcBorders>
                  <w:vAlign w:val="center"/>
                </w:tcPr>
                <w:p>
                  <w:pPr>
                    <w:contextualSpacing/>
                    <w:jc w:val="center"/>
                  </w:pPr>
                  <w:r>
                    <w:t>200-250</w:t>
                  </w:r>
                </w:p>
              </w:tc>
              <w:tc>
                <w:tcPr>
                  <w:tcW w:w="1464" w:type="dxa"/>
                  <w:tcBorders>
                    <w:bottom w:val="single" w:color="auto" w:sz="12" w:space="0"/>
                    <w:right w:val="single" w:color="auto" w:sz="12" w:space="0"/>
                  </w:tcBorders>
                  <w:vAlign w:val="center"/>
                </w:tcPr>
                <w:p>
                  <w:pPr>
                    <w:contextualSpacing/>
                    <w:jc w:val="center"/>
                  </w:pPr>
                  <w:r>
                    <w:t>30-40</w:t>
                  </w:r>
                </w:p>
              </w:tc>
            </w:tr>
          </w:tbl>
          <w:p>
            <w:pPr>
              <w:spacing w:line="360" w:lineRule="auto"/>
              <w:ind w:firstLine="480" w:firstLineChars="200"/>
              <w:rPr>
                <w:bCs/>
                <w:sz w:val="24"/>
              </w:rPr>
            </w:pPr>
            <w:r>
              <w:rPr>
                <w:bCs/>
                <w:sz w:val="24"/>
              </w:rPr>
              <w:t>（2）环境影响分析</w:t>
            </w:r>
          </w:p>
          <w:p>
            <w:pPr>
              <w:tabs>
                <w:tab w:val="left" w:pos="2321"/>
              </w:tabs>
              <w:overflowPunct w:val="0"/>
              <w:autoSpaceDE w:val="0"/>
              <w:spacing w:line="360" w:lineRule="auto"/>
              <w:ind w:firstLine="480" w:firstLineChars="200"/>
              <w:rPr>
                <w:sz w:val="24"/>
              </w:rPr>
            </w:pPr>
            <w:r>
              <w:rPr>
                <w:sz w:val="24"/>
              </w:rPr>
              <w:t>本项目使用清水洗井，压入井内的清水会在洗井结束后从井底返排出来，</w:t>
            </w:r>
            <w:r>
              <w:rPr>
                <w:rFonts w:hint="eastAsia"/>
                <w:sz w:val="24"/>
              </w:rPr>
              <w:t>铁北1侧HF</w:t>
            </w:r>
            <w:r>
              <w:rPr>
                <w:sz w:val="24"/>
              </w:rPr>
              <w:t>井洗井废水约1</w:t>
            </w:r>
            <w:r>
              <w:rPr>
                <w:rFonts w:hint="eastAsia"/>
                <w:sz w:val="24"/>
              </w:rPr>
              <w:t>00</w:t>
            </w:r>
            <w:r>
              <w:rPr>
                <w:bCs/>
                <w:sz w:val="24"/>
              </w:rPr>
              <w:t>m</w:t>
            </w:r>
            <w:r>
              <w:rPr>
                <w:bCs/>
                <w:sz w:val="24"/>
                <w:vertAlign w:val="superscript"/>
              </w:rPr>
              <w:t>3</w:t>
            </w:r>
            <w:r>
              <w:rPr>
                <w:bCs/>
                <w:sz w:val="24"/>
              </w:rPr>
              <w:t>，经排砂管道进入</w:t>
            </w:r>
            <w:r>
              <w:rPr>
                <w:sz w:val="24"/>
              </w:rPr>
              <w:t>清洁生产操作平台的废水罐采用沉淀预处理工艺后临时储存</w:t>
            </w:r>
            <w:r>
              <w:rPr>
                <w:rFonts w:hint="eastAsia"/>
                <w:sz w:val="24"/>
              </w:rPr>
              <w:t>废水池</w:t>
            </w:r>
            <w:r>
              <w:rPr>
                <w:sz w:val="24"/>
              </w:rPr>
              <w:t>暂存，用于配制压裂液，项目</w:t>
            </w:r>
            <w:r>
              <w:rPr>
                <w:rFonts w:hint="eastAsia"/>
                <w:sz w:val="24"/>
              </w:rPr>
              <w:t>铁北1侧HF井</w:t>
            </w:r>
            <w:r>
              <w:rPr>
                <w:sz w:val="24"/>
              </w:rPr>
              <w:t>压裂返排液产生总量共约</w:t>
            </w:r>
            <w:r>
              <w:rPr>
                <w:rFonts w:hint="eastAsia"/>
                <w:sz w:val="24"/>
              </w:rPr>
              <w:t>462</w:t>
            </w:r>
            <w:r>
              <w:rPr>
                <w:sz w:val="24"/>
              </w:rPr>
              <w:t>m</w:t>
            </w:r>
            <w:r>
              <w:rPr>
                <w:sz w:val="24"/>
                <w:vertAlign w:val="superscript"/>
              </w:rPr>
              <w:t>3</w:t>
            </w:r>
            <w:r>
              <w:rPr>
                <w:sz w:val="24"/>
              </w:rPr>
              <w:t>，压裂返排液临时储存于</w:t>
            </w:r>
            <w:r>
              <w:rPr>
                <w:rFonts w:hint="eastAsia"/>
                <w:sz w:val="24"/>
              </w:rPr>
              <w:t>废水池</w:t>
            </w:r>
            <w:r>
              <w:rPr>
                <w:sz w:val="24"/>
              </w:rPr>
              <w:t>，试气作业废液产生后经储存罐储存后暂存于</w:t>
            </w:r>
            <w:r>
              <w:rPr>
                <w:rFonts w:hint="eastAsia"/>
                <w:sz w:val="24"/>
              </w:rPr>
              <w:t>废水池</w:t>
            </w:r>
            <w:r>
              <w:rPr>
                <w:sz w:val="24"/>
              </w:rPr>
              <w:t>内，</w:t>
            </w:r>
            <w:r>
              <w:rPr>
                <w:rFonts w:hint="eastAsia"/>
                <w:sz w:val="24"/>
              </w:rPr>
              <w:t>最终采用</w:t>
            </w:r>
            <w:r>
              <w:rPr>
                <w:sz w:val="24"/>
              </w:rPr>
              <w:t>罐车</w:t>
            </w:r>
            <w:r>
              <w:rPr>
                <w:rFonts w:hint="eastAsia"/>
                <w:sz w:val="24"/>
              </w:rPr>
              <w:t>定期拉运至大湾403污水站处理达标后管输至毛开1井回注站回注</w:t>
            </w:r>
            <w:r>
              <w:rPr>
                <w:sz w:val="24"/>
              </w:rPr>
              <w:t>。</w:t>
            </w:r>
          </w:p>
          <w:p>
            <w:pPr>
              <w:tabs>
                <w:tab w:val="left" w:pos="2321"/>
              </w:tabs>
              <w:overflowPunct w:val="0"/>
              <w:autoSpaceDE w:val="0"/>
              <w:spacing w:line="360" w:lineRule="auto"/>
              <w:ind w:firstLine="480" w:firstLineChars="200"/>
              <w:rPr>
                <w:sz w:val="24"/>
              </w:rPr>
            </w:pPr>
            <w:r>
              <w:rPr>
                <w:sz w:val="24"/>
              </w:rPr>
              <w:t>综上所述，采取以上措施后不会对周边地表水环境造成不利影响。</w:t>
            </w:r>
          </w:p>
          <w:p>
            <w:pPr>
              <w:spacing w:line="360" w:lineRule="auto"/>
              <w:rPr>
                <w:b/>
                <w:sz w:val="24"/>
              </w:rPr>
            </w:pPr>
            <w:r>
              <w:rPr>
                <w:b/>
                <w:sz w:val="24"/>
              </w:rPr>
              <w:t>4.3.3噪声环境影响分析</w:t>
            </w:r>
          </w:p>
          <w:p>
            <w:pPr>
              <w:spacing w:line="360" w:lineRule="auto"/>
              <w:ind w:firstLine="480" w:firstLineChars="200"/>
              <w:rPr>
                <w:sz w:val="24"/>
              </w:rPr>
            </w:pPr>
            <w:r>
              <w:rPr>
                <w:sz w:val="24"/>
              </w:rPr>
              <w:t>（1）源强分析</w:t>
            </w:r>
          </w:p>
          <w:p>
            <w:pPr>
              <w:spacing w:line="360" w:lineRule="auto"/>
              <w:ind w:firstLine="480" w:firstLineChars="200"/>
              <w:rPr>
                <w:sz w:val="24"/>
              </w:rPr>
            </w:pPr>
            <w:r>
              <w:rPr>
                <w:sz w:val="24"/>
              </w:rPr>
              <w:t>由于本项目压裂过程均在昼间进行，压裂工程主要噪声源设备噪声值见下表。</w:t>
            </w:r>
          </w:p>
          <w:p>
            <w:pPr>
              <w:pStyle w:val="20"/>
              <w:tabs>
                <w:tab w:val="left" w:pos="0"/>
                <w:tab w:val="left" w:pos="833"/>
              </w:tabs>
              <w:spacing w:before="0" w:after="0" w:line="360" w:lineRule="auto"/>
              <w:ind w:right="0"/>
              <w:jc w:val="center"/>
              <w:rPr>
                <w:b/>
                <w:sz w:val="24"/>
                <w:szCs w:val="24"/>
              </w:rPr>
            </w:pPr>
            <w:r>
              <w:rPr>
                <w:b/>
                <w:sz w:val="24"/>
                <w:szCs w:val="24"/>
              </w:rPr>
              <w:t>表4-1</w:t>
            </w:r>
            <w:r>
              <w:rPr>
                <w:rFonts w:hint="eastAsia"/>
                <w:b/>
                <w:sz w:val="24"/>
                <w:szCs w:val="24"/>
                <w:lang w:val="en-US" w:eastAsia="zh-CN"/>
              </w:rPr>
              <w:t>4</w:t>
            </w:r>
            <w:r>
              <w:rPr>
                <w:b/>
                <w:sz w:val="24"/>
                <w:szCs w:val="24"/>
              </w:rPr>
              <w:t xml:space="preserve"> 压裂工程主要噪声源特性</w:t>
            </w:r>
          </w:p>
          <w:tbl>
            <w:tblPr>
              <w:tblStyle w:val="44"/>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pPr>
                    <w:contextualSpacing/>
                    <w:jc w:val="center"/>
                  </w:pPr>
                  <w:r>
                    <w:rPr>
                      <w:kern w:val="0"/>
                    </w:rPr>
                    <w:t>序号</w:t>
                  </w:r>
                </w:p>
              </w:tc>
              <w:tc>
                <w:tcPr>
                  <w:tcW w:w="1529" w:type="dxa"/>
                  <w:vMerge w:val="restart"/>
                  <w:tcBorders>
                    <w:tl2br w:val="nil"/>
                    <w:tr2bl w:val="nil"/>
                  </w:tcBorders>
                  <w:vAlign w:val="center"/>
                </w:tcPr>
                <w:p>
                  <w:pPr>
                    <w:contextualSpacing/>
                    <w:jc w:val="center"/>
                  </w:pPr>
                  <w:r>
                    <w:rPr>
                      <w:kern w:val="0"/>
                    </w:rPr>
                    <w:t>声源名称</w:t>
                  </w:r>
                </w:p>
              </w:tc>
              <w:tc>
                <w:tcPr>
                  <w:tcW w:w="677" w:type="dxa"/>
                  <w:vMerge w:val="restart"/>
                  <w:tcBorders>
                    <w:tl2br w:val="nil"/>
                    <w:tr2bl w:val="nil"/>
                  </w:tcBorders>
                  <w:vAlign w:val="center"/>
                </w:tcPr>
                <w:p>
                  <w:pPr>
                    <w:contextualSpacing/>
                    <w:jc w:val="center"/>
                    <w:rPr>
                      <w:kern w:val="0"/>
                    </w:rPr>
                  </w:pPr>
                  <w:r>
                    <w:rPr>
                      <w:kern w:val="0"/>
                    </w:rPr>
                    <w:t>型号</w:t>
                  </w:r>
                </w:p>
              </w:tc>
              <w:tc>
                <w:tcPr>
                  <w:tcW w:w="1769" w:type="dxa"/>
                  <w:gridSpan w:val="3"/>
                  <w:tcBorders>
                    <w:tl2br w:val="nil"/>
                    <w:tr2bl w:val="nil"/>
                  </w:tcBorders>
                  <w:vAlign w:val="center"/>
                </w:tcPr>
                <w:p>
                  <w:pPr>
                    <w:contextualSpacing/>
                    <w:jc w:val="center"/>
                    <w:rPr>
                      <w:kern w:val="0"/>
                    </w:rPr>
                  </w:pPr>
                  <w:r>
                    <w:rPr>
                      <w:kern w:val="0"/>
                    </w:rPr>
                    <w:t>空间相对位置/m</w:t>
                  </w:r>
                </w:p>
              </w:tc>
              <w:tc>
                <w:tcPr>
                  <w:tcW w:w="1894" w:type="dxa"/>
                  <w:vMerge w:val="restart"/>
                  <w:tcBorders>
                    <w:tl2br w:val="nil"/>
                    <w:tr2bl w:val="nil"/>
                  </w:tcBorders>
                  <w:vAlign w:val="center"/>
                </w:tcPr>
                <w:p>
                  <w:pPr>
                    <w:contextualSpacing/>
                    <w:jc w:val="center"/>
                    <w:rPr>
                      <w:kern w:val="0"/>
                    </w:rPr>
                  </w:pPr>
                  <w:r>
                    <w:rPr>
                      <w:kern w:val="0"/>
                    </w:rPr>
                    <w:t>声源源强</w:t>
                  </w:r>
                </w:p>
                <w:p>
                  <w:pPr>
                    <w:contextualSpacing/>
                    <w:jc w:val="center"/>
                  </w:pPr>
                  <w:r>
                    <w:rPr>
                      <w:kern w:val="0"/>
                    </w:rPr>
                    <w:t>（声压级/距声源距离）/（dB(A)/m）</w:t>
                  </w:r>
                </w:p>
              </w:tc>
              <w:tc>
                <w:tcPr>
                  <w:tcW w:w="677" w:type="dxa"/>
                  <w:vMerge w:val="restart"/>
                  <w:tcBorders>
                    <w:tl2br w:val="nil"/>
                    <w:tr2bl w:val="nil"/>
                  </w:tcBorders>
                  <w:vAlign w:val="center"/>
                </w:tcPr>
                <w:p>
                  <w:pPr>
                    <w:contextualSpacing/>
                    <w:jc w:val="center"/>
                  </w:pPr>
                  <w:r>
                    <w:t>声源控制措施</w:t>
                  </w:r>
                </w:p>
              </w:tc>
              <w:tc>
                <w:tcPr>
                  <w:tcW w:w="779" w:type="dxa"/>
                  <w:vMerge w:val="restart"/>
                  <w:tcBorders>
                    <w:tl2br w:val="nil"/>
                    <w:tr2bl w:val="nil"/>
                  </w:tcBorders>
                  <w:vAlign w:val="center"/>
                </w:tcPr>
                <w:p>
                  <w:pPr>
                    <w:contextualSpacing/>
                    <w:jc w:val="center"/>
                  </w:pPr>
                  <w:r>
                    <w:rPr>
                      <w:kern w:val="0"/>
                    </w:rPr>
                    <w:t>运行时间(h)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pPr>
                    <w:contextualSpacing/>
                    <w:jc w:val="center"/>
                    <w:rPr>
                      <w:kern w:val="0"/>
                    </w:rPr>
                  </w:pPr>
                </w:p>
              </w:tc>
              <w:tc>
                <w:tcPr>
                  <w:tcW w:w="1529" w:type="dxa"/>
                  <w:vMerge w:val="continue"/>
                  <w:tcBorders>
                    <w:tl2br w:val="nil"/>
                    <w:tr2bl w:val="nil"/>
                  </w:tcBorders>
                  <w:vAlign w:val="center"/>
                </w:tcPr>
                <w:p>
                  <w:pPr>
                    <w:contextualSpacing/>
                    <w:jc w:val="center"/>
                    <w:rPr>
                      <w:kern w:val="0"/>
                    </w:rPr>
                  </w:pPr>
                </w:p>
              </w:tc>
              <w:tc>
                <w:tcPr>
                  <w:tcW w:w="677" w:type="dxa"/>
                  <w:vMerge w:val="continue"/>
                  <w:tcBorders>
                    <w:tl2br w:val="nil"/>
                    <w:tr2bl w:val="nil"/>
                  </w:tcBorders>
                  <w:vAlign w:val="center"/>
                </w:tcPr>
                <w:p>
                  <w:pPr>
                    <w:contextualSpacing/>
                    <w:jc w:val="center"/>
                    <w:rPr>
                      <w:kern w:val="0"/>
                    </w:rPr>
                  </w:pPr>
                </w:p>
              </w:tc>
              <w:tc>
                <w:tcPr>
                  <w:tcW w:w="539" w:type="dxa"/>
                  <w:tcBorders>
                    <w:tl2br w:val="nil"/>
                    <w:tr2bl w:val="nil"/>
                  </w:tcBorders>
                  <w:vAlign w:val="center"/>
                </w:tcPr>
                <w:p>
                  <w:pPr>
                    <w:contextualSpacing/>
                    <w:jc w:val="center"/>
                  </w:pPr>
                  <w:r>
                    <w:t>X</w:t>
                  </w:r>
                </w:p>
              </w:tc>
              <w:tc>
                <w:tcPr>
                  <w:tcW w:w="520" w:type="dxa"/>
                  <w:tcBorders>
                    <w:tl2br w:val="nil"/>
                    <w:tr2bl w:val="nil"/>
                  </w:tcBorders>
                  <w:vAlign w:val="center"/>
                </w:tcPr>
                <w:p>
                  <w:pPr>
                    <w:contextualSpacing/>
                    <w:jc w:val="center"/>
                  </w:pPr>
                  <w:r>
                    <w:t>Y</w:t>
                  </w:r>
                </w:p>
              </w:tc>
              <w:tc>
                <w:tcPr>
                  <w:tcW w:w="710" w:type="dxa"/>
                  <w:tcBorders>
                    <w:tl2br w:val="nil"/>
                    <w:tr2bl w:val="nil"/>
                  </w:tcBorders>
                  <w:vAlign w:val="center"/>
                </w:tcPr>
                <w:p>
                  <w:pPr>
                    <w:contextualSpacing/>
                    <w:jc w:val="center"/>
                    <w:rPr>
                      <w:kern w:val="0"/>
                    </w:rPr>
                  </w:pPr>
                  <w:r>
                    <w:rPr>
                      <w:kern w:val="0"/>
                    </w:rPr>
                    <w:t>Z</w:t>
                  </w:r>
                </w:p>
              </w:tc>
              <w:tc>
                <w:tcPr>
                  <w:tcW w:w="1894" w:type="dxa"/>
                  <w:vMerge w:val="continue"/>
                  <w:tcBorders>
                    <w:tl2br w:val="nil"/>
                    <w:tr2bl w:val="nil"/>
                  </w:tcBorders>
                  <w:vAlign w:val="center"/>
                </w:tcPr>
                <w:p>
                  <w:pPr>
                    <w:contextualSpacing/>
                    <w:jc w:val="center"/>
                    <w:rPr>
                      <w:kern w:val="0"/>
                    </w:rPr>
                  </w:pPr>
                </w:p>
              </w:tc>
              <w:tc>
                <w:tcPr>
                  <w:tcW w:w="677" w:type="dxa"/>
                  <w:vMerge w:val="continue"/>
                  <w:tcBorders>
                    <w:tl2br w:val="nil"/>
                    <w:tr2bl w:val="nil"/>
                  </w:tcBorders>
                  <w:vAlign w:val="center"/>
                </w:tcPr>
                <w:p>
                  <w:pPr>
                    <w:contextualSpacing/>
                    <w:jc w:val="center"/>
                    <w:rPr>
                      <w:kern w:val="0"/>
                    </w:rPr>
                  </w:pPr>
                </w:p>
              </w:tc>
              <w:tc>
                <w:tcPr>
                  <w:tcW w:w="779" w:type="dxa"/>
                  <w:vMerge w:val="continue"/>
                  <w:tcBorders>
                    <w:tl2br w:val="nil"/>
                    <w:tr2bl w:val="nil"/>
                  </w:tcBorders>
                  <w:vAlign w:val="center"/>
                </w:tcPr>
                <w:p>
                  <w:pPr>
                    <w:contextualSpacing/>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contextualSpacing/>
                    <w:jc w:val="center"/>
                    <w:rPr>
                      <w:kern w:val="0"/>
                    </w:rPr>
                  </w:pPr>
                  <w:r>
                    <w:rPr>
                      <w:kern w:val="0"/>
                    </w:rPr>
                    <w:t>1</w:t>
                  </w:r>
                </w:p>
              </w:tc>
              <w:tc>
                <w:tcPr>
                  <w:tcW w:w="1529" w:type="dxa"/>
                  <w:tcBorders>
                    <w:tl2br w:val="nil"/>
                    <w:tr2bl w:val="nil"/>
                  </w:tcBorders>
                  <w:vAlign w:val="center"/>
                </w:tcPr>
                <w:p>
                  <w:pPr>
                    <w:jc w:val="center"/>
                    <w:rPr>
                      <w:bCs/>
                      <w:szCs w:val="21"/>
                    </w:rPr>
                  </w:pPr>
                  <w:r>
                    <w:rPr>
                      <w:bCs/>
                      <w:szCs w:val="21"/>
                    </w:rPr>
                    <w:t>压裂设备约</w:t>
                  </w:r>
                  <w:r>
                    <w:rPr>
                      <w:rFonts w:hint="eastAsia"/>
                      <w:bCs/>
                      <w:szCs w:val="21"/>
                    </w:rPr>
                    <w:t>1</w:t>
                  </w:r>
                  <w:r>
                    <w:rPr>
                      <w:bCs/>
                      <w:szCs w:val="21"/>
                    </w:rPr>
                    <w:t>2台（</w:t>
                  </w:r>
                  <w:r>
                    <w:rPr>
                      <w:rFonts w:hint="eastAsia"/>
                      <w:bCs/>
                      <w:szCs w:val="21"/>
                    </w:rPr>
                    <w:t>1</w:t>
                  </w:r>
                  <w:r>
                    <w:rPr>
                      <w:bCs/>
                      <w:szCs w:val="21"/>
                    </w:rPr>
                    <w:t>0用2备）</w:t>
                  </w:r>
                </w:p>
              </w:tc>
              <w:tc>
                <w:tcPr>
                  <w:tcW w:w="677" w:type="dxa"/>
                  <w:tcBorders>
                    <w:tl2br w:val="nil"/>
                    <w:tr2bl w:val="nil"/>
                  </w:tcBorders>
                  <w:vAlign w:val="center"/>
                </w:tcPr>
                <w:p>
                  <w:pPr>
                    <w:jc w:val="center"/>
                  </w:pPr>
                  <w:r>
                    <w:rPr>
                      <w:kern w:val="0"/>
                    </w:rPr>
                    <w:t>/</w:t>
                  </w:r>
                </w:p>
              </w:tc>
              <w:tc>
                <w:tcPr>
                  <w:tcW w:w="539" w:type="dxa"/>
                  <w:tcBorders>
                    <w:tl2br w:val="nil"/>
                    <w:tr2bl w:val="nil"/>
                  </w:tcBorders>
                  <w:vAlign w:val="center"/>
                </w:tcPr>
                <w:p>
                  <w:pPr>
                    <w:contextualSpacing/>
                    <w:jc w:val="center"/>
                    <w:rPr>
                      <w:sz w:val="20"/>
                    </w:rPr>
                  </w:pPr>
                  <w:r>
                    <w:rPr>
                      <w:sz w:val="20"/>
                    </w:rPr>
                    <w:t>-7</w:t>
                  </w:r>
                </w:p>
              </w:tc>
              <w:tc>
                <w:tcPr>
                  <w:tcW w:w="520" w:type="dxa"/>
                  <w:tcBorders>
                    <w:tl2br w:val="nil"/>
                    <w:tr2bl w:val="nil"/>
                  </w:tcBorders>
                  <w:vAlign w:val="center"/>
                </w:tcPr>
                <w:p>
                  <w:pPr>
                    <w:contextualSpacing/>
                    <w:jc w:val="center"/>
                    <w:rPr>
                      <w:sz w:val="20"/>
                    </w:rPr>
                  </w:pPr>
                  <w:r>
                    <w:rPr>
                      <w:sz w:val="20"/>
                    </w:rPr>
                    <w:t>35</w:t>
                  </w:r>
                </w:p>
              </w:tc>
              <w:tc>
                <w:tcPr>
                  <w:tcW w:w="710" w:type="dxa"/>
                  <w:tcBorders>
                    <w:tl2br w:val="nil"/>
                    <w:tr2bl w:val="nil"/>
                  </w:tcBorders>
                  <w:vAlign w:val="center"/>
                </w:tcPr>
                <w:p>
                  <w:pPr>
                    <w:contextualSpacing/>
                    <w:jc w:val="center"/>
                    <w:rPr>
                      <w:sz w:val="20"/>
                    </w:rPr>
                  </w:pPr>
                  <w:r>
                    <w:rPr>
                      <w:sz w:val="20"/>
                    </w:rPr>
                    <w:t>458</w:t>
                  </w:r>
                </w:p>
              </w:tc>
              <w:tc>
                <w:tcPr>
                  <w:tcW w:w="1894" w:type="dxa"/>
                  <w:tcBorders>
                    <w:tl2br w:val="nil"/>
                    <w:tr2bl w:val="nil"/>
                  </w:tcBorders>
                  <w:vAlign w:val="center"/>
                </w:tcPr>
                <w:p>
                  <w:pPr>
                    <w:jc w:val="center"/>
                    <w:rPr>
                      <w:bCs/>
                      <w:szCs w:val="21"/>
                    </w:rPr>
                  </w:pPr>
                  <w:r>
                    <w:rPr>
                      <w:bCs/>
                      <w:szCs w:val="21"/>
                    </w:rPr>
                    <w:t>100/1</w:t>
                  </w:r>
                </w:p>
              </w:tc>
              <w:tc>
                <w:tcPr>
                  <w:tcW w:w="677" w:type="dxa"/>
                  <w:tcBorders>
                    <w:tl2br w:val="nil"/>
                    <w:tr2bl w:val="nil"/>
                  </w:tcBorders>
                  <w:vAlign w:val="center"/>
                </w:tcPr>
                <w:p>
                  <w:pPr>
                    <w:contextualSpacing/>
                    <w:jc w:val="center"/>
                  </w:pPr>
                  <w:r>
                    <w:t>/</w:t>
                  </w:r>
                </w:p>
              </w:tc>
              <w:tc>
                <w:tcPr>
                  <w:tcW w:w="779" w:type="dxa"/>
                  <w:tcBorders>
                    <w:tl2br w:val="nil"/>
                    <w:tr2bl w:val="nil"/>
                  </w:tcBorders>
                  <w:vAlign w:val="center"/>
                </w:tcPr>
                <w:p>
                  <w:pPr>
                    <w:contextualSpacing/>
                    <w:jc w:val="cente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pPr>
                    <w:contextualSpacing/>
                    <w:rPr>
                      <w:b/>
                    </w:rPr>
                  </w:pPr>
                  <w:r>
                    <w:rPr>
                      <w:b/>
                    </w:rPr>
                    <w:t>注：以井场中心为原点</w:t>
                  </w:r>
                </w:p>
              </w:tc>
            </w:tr>
          </w:tbl>
          <w:p>
            <w:pPr>
              <w:spacing w:line="360" w:lineRule="auto"/>
              <w:ind w:firstLine="480" w:firstLineChars="200"/>
              <w:rPr>
                <w:sz w:val="24"/>
              </w:rPr>
            </w:pPr>
            <w:r>
              <w:rPr>
                <w:sz w:val="24"/>
              </w:rPr>
              <w:t>（2）环境影响分析</w:t>
            </w:r>
          </w:p>
          <w:p>
            <w:pPr>
              <w:spacing w:line="360" w:lineRule="auto"/>
              <w:ind w:firstLine="480" w:firstLineChars="200"/>
              <w:rPr>
                <w:sz w:val="24"/>
              </w:rPr>
            </w:pPr>
            <w:r>
              <w:rPr>
                <w:sz w:val="24"/>
              </w:rPr>
              <w:t>测试作业及噪声：本项目压裂测试中产生的噪声主要有设备运行噪声、压裂作业噪声。压裂作业在白天进行，参与作业的压裂车约</w:t>
            </w:r>
            <w:r>
              <w:rPr>
                <w:rFonts w:hint="eastAsia"/>
                <w:sz w:val="24"/>
              </w:rPr>
              <w:t>1</w:t>
            </w:r>
            <w:r>
              <w:rPr>
                <w:sz w:val="24"/>
              </w:rPr>
              <w:t>2台（</w:t>
            </w:r>
            <w:r>
              <w:rPr>
                <w:rFonts w:hint="eastAsia"/>
                <w:sz w:val="24"/>
              </w:rPr>
              <w:t>1</w:t>
            </w:r>
            <w:r>
              <w:rPr>
                <w:sz w:val="24"/>
              </w:rPr>
              <w:t>0用2备），噪声主要来源于压裂车和泵注噪声，其噪声将随着压裂作业的完成而消失。</w:t>
            </w:r>
          </w:p>
          <w:p>
            <w:pPr>
              <w:spacing w:line="360" w:lineRule="auto"/>
              <w:ind w:firstLine="480" w:firstLineChars="200"/>
              <w:rPr>
                <w:sz w:val="24"/>
              </w:rPr>
            </w:pPr>
            <w:r>
              <w:rPr>
                <w:sz w:val="24"/>
              </w:rPr>
              <w:t>①预测范围、预测点位</w:t>
            </w:r>
          </w:p>
          <w:p>
            <w:pPr>
              <w:spacing w:line="360" w:lineRule="auto"/>
              <w:ind w:firstLine="480" w:firstLineChars="200"/>
              <w:rPr>
                <w:sz w:val="24"/>
              </w:rPr>
            </w:pPr>
            <w:r>
              <w:rPr>
                <w:sz w:val="24"/>
              </w:rPr>
              <w:t>井口周边200m范围的各居民点。</w:t>
            </w:r>
          </w:p>
          <w:p>
            <w:pPr>
              <w:spacing w:line="360" w:lineRule="auto"/>
              <w:ind w:firstLine="480" w:firstLineChars="200"/>
              <w:rPr>
                <w:sz w:val="24"/>
              </w:rPr>
            </w:pPr>
            <w:r>
              <w:rPr>
                <w:sz w:val="24"/>
              </w:rPr>
              <w:t>②声源分析</w:t>
            </w:r>
          </w:p>
          <w:p>
            <w:pPr>
              <w:spacing w:line="360" w:lineRule="auto"/>
              <w:ind w:firstLine="480" w:firstLineChars="200"/>
              <w:rPr>
                <w:sz w:val="24"/>
              </w:rPr>
            </w:pPr>
            <w:r>
              <w:rPr>
                <w:sz w:val="24"/>
              </w:rPr>
              <w:t>根据各噪声设备的噪声级和布置，主要噪声源主要分布于井场井口周边30m内，钻井过程中采取相应噪声防治措施，同时在钻井过程中平稳操作，避免特种作业时产生非正常的噪声。</w:t>
            </w:r>
          </w:p>
          <w:p>
            <w:pPr>
              <w:spacing w:line="360" w:lineRule="auto"/>
              <w:ind w:firstLine="480" w:firstLineChars="200"/>
              <w:rPr>
                <w:sz w:val="24"/>
              </w:rPr>
            </w:pPr>
            <w:r>
              <w:rPr>
                <w:sz w:val="24"/>
              </w:rPr>
              <w:t>（3）预测模式</w:t>
            </w:r>
          </w:p>
          <w:p>
            <w:pPr>
              <w:tabs>
                <w:tab w:val="left" w:pos="750"/>
              </w:tabs>
              <w:spacing w:line="360" w:lineRule="auto"/>
              <w:ind w:firstLine="480" w:firstLineChars="200"/>
              <w:contextualSpacing/>
              <w:rPr>
                <w:bCs/>
                <w:sz w:val="24"/>
              </w:rPr>
            </w:pPr>
            <w:r>
              <w:rPr>
                <w:bCs/>
                <w:sz w:val="24"/>
              </w:rPr>
              <w:t>预测时</w:t>
            </w:r>
            <w:r>
              <w:rPr>
                <w:sz w:val="24"/>
              </w:rPr>
              <w:t>考虑</w:t>
            </w:r>
            <w:r>
              <w:rPr>
                <w:bCs/>
                <w:sz w:val="24"/>
              </w:rPr>
              <w:t>声源在传播过程中经过距离衰减，采用《环境影响评价技术导则声环境》（HJ2.4-2021）中的“点声源的几何发散衰减”模式下的“无指向性点声源几何发散衰减”进行计算，预测模式如下：</w:t>
            </w:r>
          </w:p>
          <w:p>
            <w:pPr>
              <w:spacing w:line="360" w:lineRule="auto"/>
              <w:contextualSpacing/>
              <w:jc w:val="center"/>
              <w:rPr>
                <w:bCs/>
                <w:sz w:val="24"/>
              </w:rPr>
            </w:pPr>
            <m:oMathPara>
              <m:oMath>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r>
                      <m:rPr>
                        <m:sty m:val="p"/>
                      </m:rPr>
                      <w:rPr>
                        <w:rFonts w:ascii="Cambria Math" w:hAnsi="Cambria Math"/>
                        <w:sz w:val="24"/>
                      </w:rPr>
                      <m:t>r</m:t>
                    </m:r>
                    <m:ctrlPr>
                      <w:rPr>
                        <w:rFonts w:ascii="Cambria Math" w:hAnsi="Cambria Math"/>
                        <w:iCs/>
                        <w:sz w:val="24"/>
                      </w:rPr>
                    </m:ctrlPr>
                  </m:e>
                </m:d>
                <m:r>
                  <m:rPr>
                    <m:sty m:val="p"/>
                  </m:rPr>
                  <w:rPr>
                    <w:rFonts w:ascii="Cambria Math" w:hAnsi="Cambria Math"/>
                    <w:sz w:val="24"/>
                  </w:rPr>
                  <m:t>=</m:t>
                </m:r>
                <m:sSub>
                  <m:sSubPr>
                    <m:ctrlPr>
                      <w:rPr>
                        <w:rFonts w:ascii="Cambria Math" w:hAnsi="Cambria Math"/>
                        <w:iCs/>
                        <w:sz w:val="24"/>
                      </w:rPr>
                    </m:ctrlPr>
                  </m:sSubPr>
                  <m:e>
                    <m:r>
                      <m:rPr>
                        <m:sty m:val="p"/>
                      </m:rPr>
                      <w:rPr>
                        <w:rFonts w:ascii="Cambria Math" w:hAnsi="Cambria Math"/>
                        <w:sz w:val="24"/>
                      </w:rPr>
                      <m:t>L</m:t>
                    </m:r>
                    <m:ctrlPr>
                      <w:rPr>
                        <w:rFonts w:ascii="Cambria Math" w:hAnsi="Cambria Math"/>
                        <w:iCs/>
                        <w:sz w:val="24"/>
                      </w:rPr>
                    </m:ctrlPr>
                  </m:e>
                  <m:sub>
                    <m:r>
                      <m:rPr>
                        <m:sty m:val="p"/>
                      </m:rPr>
                      <w:rPr>
                        <w:rFonts w:ascii="Cambria Math" w:hAnsi="Cambria Math"/>
                        <w:sz w:val="24"/>
                      </w:rPr>
                      <m:t>p</m:t>
                    </m:r>
                    <m:ctrlPr>
                      <w:rPr>
                        <w:rFonts w:ascii="Cambria Math" w:hAnsi="Cambria Math"/>
                        <w:iCs/>
                        <w:sz w:val="24"/>
                      </w:rPr>
                    </m:ctrlPr>
                  </m:sub>
                </m:sSub>
                <m:d>
                  <m:dPr>
                    <m:begChr m:val="（"/>
                    <m:endChr m:val="）"/>
                    <m:ctrlPr>
                      <w:rPr>
                        <w:rFonts w:ascii="Cambria Math" w:hAnsi="Cambria Math"/>
                        <w:iCs/>
                        <w:sz w:val="24"/>
                      </w:rPr>
                    </m:ctrlPr>
                  </m:dPr>
                  <m:e>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ctrlPr>
                      <w:rPr>
                        <w:rFonts w:ascii="Cambria Math" w:hAnsi="Cambria Math"/>
                        <w:iCs/>
                        <w:sz w:val="24"/>
                      </w:rPr>
                    </m:ctrlPr>
                  </m:e>
                </m:d>
                <m:r>
                  <m:rPr>
                    <m:sty m:val="p"/>
                  </m:rPr>
                  <w:rPr>
                    <w:rFonts w:ascii="Cambria Math" w:hAnsi="Cambria Math"/>
                    <w:sz w:val="24"/>
                  </w:rPr>
                  <m:t>−20lg⁡（r/</m:t>
                </m:r>
                <m:sSub>
                  <m:sSubPr>
                    <m:ctrlPr>
                      <w:rPr>
                        <w:rFonts w:ascii="Cambria Math" w:hAnsi="Cambria Math"/>
                        <w:iCs/>
                        <w:sz w:val="24"/>
                      </w:rPr>
                    </m:ctrlPr>
                  </m:sSubPr>
                  <m:e>
                    <m:r>
                      <m:rPr>
                        <m:sty m:val="p"/>
                      </m:rPr>
                      <w:rPr>
                        <w:rFonts w:ascii="Cambria Math" w:hAnsi="Cambria Math"/>
                        <w:sz w:val="24"/>
                      </w:rPr>
                      <m:t>r</m:t>
                    </m:r>
                    <m:ctrlPr>
                      <w:rPr>
                        <w:rFonts w:ascii="Cambria Math" w:hAnsi="Cambria Math"/>
                        <w:iCs/>
                        <w:sz w:val="24"/>
                      </w:rPr>
                    </m:ctrlPr>
                  </m:e>
                  <m:sub>
                    <m:r>
                      <m:rPr>
                        <m:sty m:val="p"/>
                      </m:rPr>
                      <w:rPr>
                        <w:rFonts w:ascii="Cambria Math" w:hAnsi="Cambria Math"/>
                        <w:sz w:val="24"/>
                      </w:rPr>
                      <m:t>0</m:t>
                    </m:r>
                    <m:ctrlPr>
                      <w:rPr>
                        <w:rFonts w:ascii="Cambria Math" w:hAnsi="Cambria Math"/>
                        <w:iCs/>
                        <w:sz w:val="24"/>
                      </w:rPr>
                    </m:ctrlPr>
                  </m:sub>
                </m:sSub>
                <m:r>
                  <m:rPr>
                    <m:sty m:val="p"/>
                  </m:rPr>
                  <w:rPr>
                    <w:rFonts w:ascii="Cambria Math" w:hAnsi="Cambria Math"/>
                    <w:sz w:val="24"/>
                  </w:rPr>
                  <m:t>）</m:t>
                </m:r>
              </m:oMath>
            </m:oMathPara>
          </w:p>
          <w:p>
            <w:pPr>
              <w:tabs>
                <w:tab w:val="left" w:pos="750"/>
              </w:tabs>
              <w:spacing w:line="360" w:lineRule="auto"/>
              <w:ind w:firstLine="480" w:firstLineChars="200"/>
              <w:contextualSpacing/>
              <w:rPr>
                <w:sz w:val="24"/>
                <w:lang w:val="pt-BR"/>
              </w:rPr>
            </w:pPr>
            <w:r>
              <w:rPr>
                <w:sz w:val="24"/>
              </w:rPr>
              <w:t>式中</w:t>
            </w:r>
            <w:r>
              <w:rPr>
                <w:sz w:val="24"/>
                <w:lang w:val="pt-BR"/>
              </w:rPr>
              <w:t>：</w:t>
            </w:r>
            <w:r>
              <w:rPr>
                <w:i/>
                <w:iCs/>
                <w:sz w:val="24"/>
                <w:lang w:val="pt-BR"/>
              </w:rPr>
              <w:t>L</w:t>
            </w:r>
            <w:r>
              <w:rPr>
                <w:i/>
                <w:iCs/>
                <w:sz w:val="24"/>
                <w:vertAlign w:val="subscript"/>
                <w:lang w:val="pt-BR"/>
              </w:rPr>
              <w:t>P</w:t>
            </w:r>
            <w:r>
              <w:rPr>
                <w:i/>
                <w:iCs/>
                <w:sz w:val="24"/>
                <w:lang w:val="pt-BR"/>
              </w:rPr>
              <w:t>（r）</w:t>
            </w:r>
            <w:r>
              <w:rPr>
                <w:sz w:val="24"/>
                <w:lang w:val="pt-BR"/>
              </w:rPr>
              <w:t xml:space="preserve"> — 预测点处声压级，dB；</w:t>
            </w:r>
          </w:p>
          <w:p>
            <w:pPr>
              <w:spacing w:line="360" w:lineRule="auto"/>
              <w:ind w:firstLine="1200" w:firstLineChars="500"/>
              <w:contextualSpacing/>
              <w:rPr>
                <w:sz w:val="24"/>
              </w:rPr>
            </w:pPr>
            <w:r>
              <w:rPr>
                <w:i/>
                <w:iCs/>
                <w:sz w:val="24"/>
              </w:rPr>
              <w:t>L</w:t>
            </w:r>
            <w:r>
              <w:rPr>
                <w:i/>
                <w:iCs/>
                <w:sz w:val="24"/>
                <w:vertAlign w:val="subscript"/>
              </w:rPr>
              <w:t>P</w:t>
            </w:r>
            <w:r>
              <w:rPr>
                <w:i/>
                <w:iCs/>
                <w:sz w:val="24"/>
              </w:rPr>
              <w:t>（r</w:t>
            </w:r>
            <w:r>
              <w:rPr>
                <w:i/>
                <w:iCs/>
                <w:sz w:val="24"/>
                <w:vertAlign w:val="subscript"/>
              </w:rPr>
              <w:t>0</w:t>
            </w:r>
            <w:r>
              <w:rPr>
                <w:i/>
                <w:iCs/>
                <w:sz w:val="24"/>
              </w:rPr>
              <w:t>）</w:t>
            </w:r>
            <w:r>
              <w:rPr>
                <w:sz w:val="24"/>
              </w:rPr>
              <w:t>— 参考点r</w:t>
            </w:r>
            <w:r>
              <w:rPr>
                <w:sz w:val="24"/>
                <w:vertAlign w:val="subscript"/>
              </w:rPr>
              <w:t>0</w:t>
            </w:r>
            <w:r>
              <w:rPr>
                <w:sz w:val="24"/>
              </w:rPr>
              <w:t>处的声压级，dB；</w:t>
            </w:r>
          </w:p>
          <w:p>
            <w:pPr>
              <w:spacing w:line="360" w:lineRule="auto"/>
              <w:ind w:firstLine="1200" w:firstLineChars="500"/>
              <w:contextualSpacing/>
              <w:rPr>
                <w:sz w:val="24"/>
              </w:rPr>
            </w:pPr>
            <w:r>
              <w:rPr>
                <w:i/>
                <w:iCs/>
                <w:sz w:val="24"/>
              </w:rPr>
              <w:t xml:space="preserve">r </w:t>
            </w:r>
            <w:r>
              <w:rPr>
                <w:sz w:val="24"/>
              </w:rPr>
              <w:t>— 预测点距声源的距离，m；</w:t>
            </w:r>
          </w:p>
          <w:p>
            <w:pPr>
              <w:spacing w:line="360" w:lineRule="auto"/>
              <w:ind w:firstLine="1200" w:firstLineChars="500"/>
              <w:contextualSpacing/>
              <w:rPr>
                <w:sz w:val="24"/>
              </w:rPr>
            </w:pPr>
            <w:r>
              <w:rPr>
                <w:i/>
                <w:iCs/>
                <w:sz w:val="24"/>
              </w:rPr>
              <w:t>r</w:t>
            </w:r>
            <w:r>
              <w:rPr>
                <w:i/>
                <w:iCs/>
                <w:sz w:val="24"/>
                <w:vertAlign w:val="subscript"/>
              </w:rPr>
              <w:t>0</w:t>
            </w:r>
            <w:r>
              <w:rPr>
                <w:sz w:val="24"/>
              </w:rPr>
              <w:t xml:space="preserve"> — 参考位置距声源的距离，m；</w:t>
            </w:r>
          </w:p>
          <w:p>
            <w:pPr>
              <w:tabs>
                <w:tab w:val="left" w:pos="750"/>
              </w:tabs>
              <w:spacing w:line="360" w:lineRule="auto"/>
              <w:ind w:firstLine="480" w:firstLineChars="200"/>
              <w:contextualSpacing/>
              <w:rPr>
                <w:sz w:val="24"/>
              </w:rPr>
            </w:pPr>
            <w:r>
              <w:rPr>
                <w:sz w:val="24"/>
              </w:rPr>
              <w:t>多个声源发出的噪声在同一受声点的共同影响，噪声在预测点处产生的等效声级贡献值叠加的计算公式如下：</w:t>
            </w:r>
          </w:p>
          <w:p>
            <w:pPr>
              <w:spacing w:line="360" w:lineRule="auto"/>
              <w:ind w:firstLine="480" w:firstLineChars="200"/>
              <w:contextualSpacing/>
              <w:jc w:val="center"/>
              <w:rPr>
                <w:sz w:val="24"/>
              </w:rPr>
            </w:pPr>
            <w:r>
              <w:rPr>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sz w:val="24"/>
              </w:rPr>
              <w:t xml:space="preserve"> — 建设项目在预测点的等效声级贡献值，dB；</w:t>
            </w:r>
          </w:p>
          <w:p>
            <w:pPr>
              <w:tabs>
                <w:tab w:val="left" w:pos="750"/>
              </w:tabs>
              <w:spacing w:line="360" w:lineRule="auto"/>
              <w:ind w:firstLine="1200" w:firstLineChars="500"/>
              <w:contextualSpacing/>
              <w:rPr>
                <w:sz w:val="24"/>
              </w:rPr>
            </w:pPr>
            <w:r>
              <w:rPr>
                <w:i/>
                <w:iCs/>
                <w:sz w:val="24"/>
              </w:rPr>
              <w:t>L</w:t>
            </w:r>
            <w:r>
              <w:rPr>
                <w:i/>
                <w:iCs/>
                <w:sz w:val="24"/>
                <w:vertAlign w:val="subscript"/>
              </w:rPr>
              <w:t>Ai</w:t>
            </w:r>
            <w:r>
              <w:rPr>
                <w:i/>
                <w:iCs/>
                <w:sz w:val="24"/>
              </w:rPr>
              <w:t xml:space="preserve"> </w:t>
            </w:r>
            <w:r>
              <w:rPr>
                <w:sz w:val="24"/>
              </w:rPr>
              <w:t xml:space="preserve">— </w:t>
            </w:r>
            <w:r>
              <w:rPr>
                <w:i/>
                <w:iCs/>
                <w:sz w:val="24"/>
              </w:rPr>
              <w:t>i</w:t>
            </w:r>
            <w:r>
              <w:rPr>
                <w:sz w:val="24"/>
              </w:rPr>
              <w:t>声源在预测点产生的A声级，dB；</w:t>
            </w:r>
          </w:p>
          <w:p>
            <w:pPr>
              <w:tabs>
                <w:tab w:val="left" w:pos="750"/>
              </w:tabs>
              <w:spacing w:line="360" w:lineRule="auto"/>
              <w:ind w:firstLine="1200" w:firstLineChars="500"/>
              <w:contextualSpacing/>
              <w:rPr>
                <w:sz w:val="24"/>
              </w:rPr>
            </w:pPr>
            <w:r>
              <w:rPr>
                <w:i/>
                <w:iCs/>
                <w:sz w:val="24"/>
              </w:rPr>
              <w:t>T</w:t>
            </w:r>
            <w:r>
              <w:rPr>
                <w:sz w:val="24"/>
              </w:rPr>
              <w:t xml:space="preserve"> — 预测计算的时间段，s；</w:t>
            </w:r>
          </w:p>
          <w:p>
            <w:pPr>
              <w:tabs>
                <w:tab w:val="left" w:pos="750"/>
              </w:tabs>
              <w:spacing w:line="360" w:lineRule="auto"/>
              <w:ind w:firstLine="1200" w:firstLineChars="500"/>
              <w:contextualSpacing/>
              <w:rPr>
                <w:sz w:val="24"/>
              </w:rPr>
            </w:pPr>
            <w:r>
              <w:rPr>
                <w:i/>
                <w:iCs/>
                <w:sz w:val="24"/>
              </w:rPr>
              <w:t>t</w:t>
            </w:r>
            <w:r>
              <w:rPr>
                <w:i/>
                <w:iCs/>
                <w:sz w:val="24"/>
                <w:vertAlign w:val="subscript"/>
              </w:rPr>
              <w:t>i</w:t>
            </w:r>
            <w:r>
              <w:rPr>
                <w:sz w:val="24"/>
              </w:rPr>
              <w:t xml:space="preserve"> —</w:t>
            </w:r>
            <w:r>
              <w:rPr>
                <w:i/>
                <w:iCs/>
                <w:sz w:val="24"/>
              </w:rPr>
              <w:t>i</w:t>
            </w:r>
            <w:r>
              <w:rPr>
                <w:sz w:val="24"/>
              </w:rPr>
              <w:t>声源在T时段内的运行时间，s。</w:t>
            </w:r>
          </w:p>
          <w:p>
            <w:pPr>
              <w:tabs>
                <w:tab w:val="left" w:pos="750"/>
              </w:tabs>
              <w:spacing w:line="360" w:lineRule="auto"/>
              <w:ind w:firstLine="480" w:firstLineChars="200"/>
              <w:contextualSpacing/>
              <w:rPr>
                <w:sz w:val="24"/>
              </w:rPr>
            </w:pPr>
            <w:r>
              <w:rPr>
                <w:sz w:val="24"/>
              </w:rPr>
              <w:t>声源在敏感点处的贡献值叠加背景值即为该敏感点处噪声预测值，计算</w:t>
            </w:r>
            <w:r>
              <w:rPr>
                <w:bCs/>
                <w:sz w:val="24"/>
              </w:rPr>
              <w:t>采用《环境影响评价技术导则</w:t>
            </w:r>
            <w:r>
              <w:rPr>
                <w:rFonts w:hint="eastAsia"/>
                <w:bCs/>
                <w:sz w:val="24"/>
              </w:rPr>
              <w:t xml:space="preserve"> </w:t>
            </w:r>
            <w:r>
              <w:rPr>
                <w:bCs/>
                <w:sz w:val="24"/>
              </w:rPr>
              <w:t>声环境》（HJ2.4-2021）</w:t>
            </w:r>
            <w:r>
              <w:rPr>
                <w:sz w:val="24"/>
              </w:rPr>
              <w:t>3.11中（3）式，公式为：</w:t>
            </w:r>
          </w:p>
          <w:p>
            <w:pPr>
              <w:spacing w:line="360" w:lineRule="auto"/>
              <w:ind w:firstLine="480" w:firstLineChars="200"/>
              <w:contextualSpacing/>
              <w:jc w:val="center"/>
              <w:rPr>
                <w:sz w:val="24"/>
              </w:rPr>
            </w:pPr>
            <w:r>
              <w:rPr>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tabs>
                <w:tab w:val="left" w:pos="750"/>
              </w:tabs>
              <w:spacing w:line="360" w:lineRule="auto"/>
              <w:ind w:firstLine="480" w:firstLineChars="200"/>
              <w:contextualSpacing/>
              <w:rPr>
                <w:sz w:val="24"/>
              </w:rPr>
            </w:pPr>
            <w:r>
              <w:rPr>
                <w:sz w:val="24"/>
              </w:rPr>
              <w:t>式中：</w:t>
            </w:r>
            <w:r>
              <w:rPr>
                <w:i/>
                <w:iCs/>
                <w:sz w:val="24"/>
              </w:rPr>
              <w:t>L</w:t>
            </w:r>
            <w:r>
              <w:rPr>
                <w:i/>
                <w:iCs/>
                <w:sz w:val="24"/>
                <w:vertAlign w:val="subscript"/>
              </w:rPr>
              <w:t>eqg</w:t>
            </w:r>
            <w:r>
              <w:rPr>
                <w:i/>
                <w:iCs/>
                <w:sz w:val="24"/>
              </w:rPr>
              <w:t xml:space="preserve"> </w:t>
            </w:r>
            <w:r>
              <w:rPr>
                <w:sz w:val="24"/>
              </w:rPr>
              <w:t>— 建设项目声源在预测点的等效声级贡献值，dB；</w:t>
            </w:r>
          </w:p>
          <w:p>
            <w:pPr>
              <w:spacing w:line="360" w:lineRule="auto"/>
              <w:ind w:firstLine="1200" w:firstLineChars="500"/>
              <w:contextualSpacing/>
              <w:rPr>
                <w:sz w:val="24"/>
              </w:rPr>
            </w:pPr>
            <w:r>
              <w:rPr>
                <w:i/>
                <w:iCs/>
                <w:sz w:val="24"/>
              </w:rPr>
              <w:t>L</w:t>
            </w:r>
            <w:r>
              <w:rPr>
                <w:i/>
                <w:iCs/>
                <w:sz w:val="24"/>
                <w:vertAlign w:val="subscript"/>
              </w:rPr>
              <w:t>eqb</w:t>
            </w:r>
            <w:r>
              <w:rPr>
                <w:sz w:val="24"/>
              </w:rPr>
              <w:t xml:space="preserve"> — 预测点的背景值，dB。</w:t>
            </w:r>
          </w:p>
          <w:p>
            <w:pPr>
              <w:tabs>
                <w:tab w:val="left" w:pos="750"/>
              </w:tabs>
              <w:spacing w:line="360" w:lineRule="auto"/>
              <w:ind w:firstLine="480" w:firstLineChars="200"/>
              <w:contextualSpacing/>
              <w:rPr>
                <w:sz w:val="24"/>
              </w:rPr>
            </w:pPr>
            <w:r>
              <w:rPr>
                <w:sz w:val="24"/>
              </w:rPr>
              <w:t>预测结果见下表。</w:t>
            </w:r>
          </w:p>
          <w:p>
            <w:pPr>
              <w:autoSpaceDE w:val="0"/>
              <w:autoSpaceDN w:val="0"/>
              <w:spacing w:line="360" w:lineRule="auto"/>
              <w:contextualSpacing/>
              <w:jc w:val="center"/>
              <w:rPr>
                <w:b/>
                <w:sz w:val="24"/>
              </w:rPr>
            </w:pPr>
            <w:r>
              <w:rPr>
                <w:b/>
                <w:sz w:val="24"/>
              </w:rPr>
              <w:t>表4-1</w:t>
            </w:r>
            <w:r>
              <w:rPr>
                <w:rFonts w:hint="eastAsia"/>
                <w:b/>
                <w:sz w:val="24"/>
                <w:lang w:val="en-US" w:eastAsia="zh-CN"/>
              </w:rPr>
              <w:t>5</w:t>
            </w:r>
            <w:r>
              <w:rPr>
                <w:b/>
                <w:sz w:val="24"/>
              </w:rPr>
              <w:t xml:space="preserve"> 压裂设备厂界噪声预测结果与达标分析表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pPr>
                    <w:jc w:val="center"/>
                    <w:rPr>
                      <w:szCs w:val="21"/>
                    </w:rPr>
                  </w:pPr>
                  <w:r>
                    <w:rPr>
                      <w:b/>
                      <w:szCs w:val="21"/>
                    </w:rPr>
                    <w:t>预测方位</w:t>
                  </w:r>
                </w:p>
              </w:tc>
              <w:tc>
                <w:tcPr>
                  <w:tcW w:w="1317" w:type="dxa"/>
                  <w:vMerge w:val="restart"/>
                  <w:tcBorders>
                    <w:tl2br w:val="nil"/>
                    <w:tr2bl w:val="nil"/>
                  </w:tcBorders>
                  <w:vAlign w:val="center"/>
                </w:tcPr>
                <w:p>
                  <w:pPr>
                    <w:jc w:val="center"/>
                    <w:rPr>
                      <w:szCs w:val="21"/>
                    </w:rPr>
                  </w:pPr>
                  <w:r>
                    <w:rPr>
                      <w:b/>
                      <w:szCs w:val="21"/>
                    </w:rPr>
                    <w:t>时段</w:t>
                  </w:r>
                </w:p>
              </w:tc>
              <w:tc>
                <w:tcPr>
                  <w:tcW w:w="1881" w:type="dxa"/>
                  <w:vMerge w:val="restart"/>
                  <w:tcBorders>
                    <w:tl2br w:val="nil"/>
                    <w:tr2bl w:val="nil"/>
                  </w:tcBorders>
                  <w:vAlign w:val="center"/>
                </w:tcPr>
                <w:p>
                  <w:pPr>
                    <w:jc w:val="center"/>
                    <w:rPr>
                      <w:szCs w:val="21"/>
                    </w:rPr>
                  </w:pPr>
                  <w:r>
                    <w:rPr>
                      <w:b/>
                      <w:szCs w:val="21"/>
                    </w:rPr>
                    <w:t>预测值（dB(A)）</w:t>
                  </w:r>
                </w:p>
              </w:tc>
              <w:tc>
                <w:tcPr>
                  <w:tcW w:w="1882" w:type="dxa"/>
                  <w:vMerge w:val="restart"/>
                  <w:tcBorders>
                    <w:tl2br w:val="nil"/>
                    <w:tr2bl w:val="nil"/>
                  </w:tcBorders>
                  <w:vAlign w:val="center"/>
                </w:tcPr>
                <w:p>
                  <w:pPr>
                    <w:jc w:val="center"/>
                    <w:rPr>
                      <w:szCs w:val="21"/>
                    </w:rPr>
                  </w:pPr>
                  <w:r>
                    <w:rPr>
                      <w:b/>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pPr>
                    <w:jc w:val="center"/>
                    <w:rPr>
                      <w:szCs w:val="21"/>
                    </w:rPr>
                  </w:pPr>
                </w:p>
              </w:tc>
              <w:tc>
                <w:tcPr>
                  <w:tcW w:w="1317" w:type="dxa"/>
                  <w:vMerge w:val="continue"/>
                  <w:tcBorders>
                    <w:tl2br w:val="nil"/>
                    <w:tr2bl w:val="nil"/>
                  </w:tcBorders>
                  <w:shd w:val="clear" w:color="auto" w:fill="FFFFFF"/>
                  <w:vAlign w:val="center"/>
                </w:tcPr>
                <w:p>
                  <w:pPr>
                    <w:jc w:val="center"/>
                    <w:rPr>
                      <w:szCs w:val="21"/>
                    </w:rPr>
                  </w:pPr>
                </w:p>
              </w:tc>
              <w:tc>
                <w:tcPr>
                  <w:tcW w:w="1881" w:type="dxa"/>
                  <w:vMerge w:val="continue"/>
                  <w:tcBorders>
                    <w:tl2br w:val="nil"/>
                    <w:tr2bl w:val="nil"/>
                  </w:tcBorders>
                  <w:shd w:val="clear" w:color="auto" w:fill="FFFFFF"/>
                  <w:vAlign w:val="center"/>
                </w:tcPr>
                <w:p>
                  <w:pPr>
                    <w:jc w:val="center"/>
                    <w:rPr>
                      <w:szCs w:val="21"/>
                    </w:rPr>
                  </w:pPr>
                </w:p>
              </w:tc>
              <w:tc>
                <w:tcPr>
                  <w:tcW w:w="1882" w:type="dxa"/>
                  <w:vMerge w:val="continue"/>
                  <w:tcBorders>
                    <w:tl2br w:val="nil"/>
                    <w:tr2bl w:val="nil"/>
                  </w:tcBorders>
                  <w:shd w:val="clear" w:color="auto" w:fill="FFFFFF"/>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szCs w:val="21"/>
                    </w:rPr>
                  </w:pPr>
                  <w:r>
                    <w:rPr>
                      <w:szCs w:val="21"/>
                    </w:rPr>
                    <w:t>东侧</w:t>
                  </w:r>
                </w:p>
              </w:tc>
              <w:tc>
                <w:tcPr>
                  <w:tcW w:w="1317" w:type="dxa"/>
                  <w:tcBorders>
                    <w:tl2br w:val="nil"/>
                    <w:tr2bl w:val="nil"/>
                  </w:tcBorders>
                  <w:shd w:val="clear" w:color="auto" w:fill="FFFFFF"/>
                  <w:vAlign w:val="center"/>
                </w:tcPr>
                <w:p>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szCs w:val="21"/>
                    </w:rPr>
                  </w:pPr>
                  <w:r>
                    <w:rPr>
                      <w:rFonts w:hint="eastAsia"/>
                      <w:szCs w:val="21"/>
                    </w:rPr>
                    <w:t>68.4</w:t>
                  </w:r>
                </w:p>
              </w:tc>
              <w:tc>
                <w:tcPr>
                  <w:tcW w:w="1882" w:type="dxa"/>
                  <w:tcBorders>
                    <w:tl2br w:val="nil"/>
                    <w:tr2bl w:val="nil"/>
                  </w:tcBorders>
                  <w:shd w:val="clear" w:color="auto" w:fill="FFFFFF"/>
                  <w:vAlign w:val="center"/>
                </w:tcPr>
                <w:p>
                  <w:pPr>
                    <w:widowControl/>
                    <w:jc w:val="center"/>
                    <w:textAlignment w:val="center"/>
                    <w:rPr>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szCs w:val="21"/>
                    </w:rPr>
                  </w:pPr>
                  <w:r>
                    <w:rPr>
                      <w:szCs w:val="21"/>
                    </w:rPr>
                    <w:t>南侧</w:t>
                  </w:r>
                </w:p>
              </w:tc>
              <w:tc>
                <w:tcPr>
                  <w:tcW w:w="1317" w:type="dxa"/>
                  <w:tcBorders>
                    <w:tl2br w:val="nil"/>
                    <w:tr2bl w:val="nil"/>
                  </w:tcBorders>
                  <w:shd w:val="clear" w:color="auto" w:fill="FFFFFF"/>
                  <w:vAlign w:val="center"/>
                </w:tcPr>
                <w:p>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szCs w:val="21"/>
                    </w:rPr>
                  </w:pPr>
                  <w:r>
                    <w:rPr>
                      <w:rFonts w:hint="eastAsia"/>
                      <w:szCs w:val="21"/>
                    </w:rPr>
                    <w:t>64.3</w:t>
                  </w:r>
                </w:p>
              </w:tc>
              <w:tc>
                <w:tcPr>
                  <w:tcW w:w="1882" w:type="dxa"/>
                  <w:tcBorders>
                    <w:tl2br w:val="nil"/>
                    <w:tr2bl w:val="nil"/>
                  </w:tcBorders>
                  <w:shd w:val="clear" w:color="auto" w:fill="FFFFFF"/>
                  <w:vAlign w:val="center"/>
                </w:tcPr>
                <w:p>
                  <w:pPr>
                    <w:widowControl/>
                    <w:jc w:val="center"/>
                    <w:textAlignment w:val="center"/>
                    <w:rPr>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szCs w:val="21"/>
                    </w:rPr>
                  </w:pPr>
                  <w:r>
                    <w:rPr>
                      <w:szCs w:val="21"/>
                    </w:rPr>
                    <w:t>西侧</w:t>
                  </w:r>
                </w:p>
              </w:tc>
              <w:tc>
                <w:tcPr>
                  <w:tcW w:w="1317" w:type="dxa"/>
                  <w:tcBorders>
                    <w:tl2br w:val="nil"/>
                    <w:tr2bl w:val="nil"/>
                  </w:tcBorders>
                  <w:shd w:val="clear" w:color="auto" w:fill="FFFFFF"/>
                  <w:vAlign w:val="center"/>
                </w:tcPr>
                <w:p>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szCs w:val="21"/>
                    </w:rPr>
                  </w:pPr>
                  <w:r>
                    <w:rPr>
                      <w:rFonts w:hint="eastAsia"/>
                      <w:szCs w:val="21"/>
                    </w:rPr>
                    <w:t>69.9</w:t>
                  </w:r>
                </w:p>
              </w:tc>
              <w:tc>
                <w:tcPr>
                  <w:tcW w:w="1882" w:type="dxa"/>
                  <w:tcBorders>
                    <w:tl2br w:val="nil"/>
                    <w:tr2bl w:val="nil"/>
                  </w:tcBorders>
                  <w:shd w:val="clear" w:color="auto" w:fill="FFFFFF"/>
                  <w:vAlign w:val="center"/>
                </w:tcPr>
                <w:p>
                  <w:pPr>
                    <w:widowControl/>
                    <w:jc w:val="center"/>
                    <w:textAlignment w:val="center"/>
                    <w:rPr>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jc w:val="center"/>
                    <w:rPr>
                      <w:szCs w:val="21"/>
                    </w:rPr>
                  </w:pPr>
                  <w:r>
                    <w:rPr>
                      <w:szCs w:val="21"/>
                    </w:rPr>
                    <w:t>北侧</w:t>
                  </w:r>
                </w:p>
              </w:tc>
              <w:tc>
                <w:tcPr>
                  <w:tcW w:w="1317" w:type="dxa"/>
                  <w:tcBorders>
                    <w:tl2br w:val="nil"/>
                    <w:tr2bl w:val="nil"/>
                  </w:tcBorders>
                  <w:shd w:val="clear" w:color="auto" w:fill="FFFFFF"/>
                  <w:vAlign w:val="center"/>
                </w:tcPr>
                <w:p>
                  <w:pPr>
                    <w:widowControl/>
                    <w:jc w:val="center"/>
                    <w:textAlignment w:val="center"/>
                    <w:rPr>
                      <w:szCs w:val="21"/>
                    </w:rPr>
                  </w:pPr>
                  <w:r>
                    <w:rPr>
                      <w:kern w:val="0"/>
                      <w:szCs w:val="21"/>
                      <w:lang w:bidi="ar"/>
                    </w:rPr>
                    <w:t>昼间</w:t>
                  </w:r>
                </w:p>
              </w:tc>
              <w:tc>
                <w:tcPr>
                  <w:tcW w:w="1881" w:type="dxa"/>
                  <w:tcBorders>
                    <w:tl2br w:val="nil"/>
                    <w:tr2bl w:val="nil"/>
                  </w:tcBorders>
                  <w:shd w:val="clear" w:color="auto" w:fill="FFFFFF"/>
                  <w:vAlign w:val="center"/>
                </w:tcPr>
                <w:p>
                  <w:pPr>
                    <w:widowControl/>
                    <w:jc w:val="center"/>
                    <w:textAlignment w:val="center"/>
                    <w:rPr>
                      <w:szCs w:val="21"/>
                    </w:rPr>
                  </w:pPr>
                  <w:r>
                    <w:rPr>
                      <w:rFonts w:hint="eastAsia"/>
                      <w:szCs w:val="21"/>
                    </w:rPr>
                    <w:t>68.2</w:t>
                  </w:r>
                </w:p>
              </w:tc>
              <w:tc>
                <w:tcPr>
                  <w:tcW w:w="1882" w:type="dxa"/>
                  <w:tcBorders>
                    <w:tl2br w:val="nil"/>
                    <w:tr2bl w:val="nil"/>
                  </w:tcBorders>
                  <w:shd w:val="clear" w:color="auto" w:fill="FFFFFF"/>
                  <w:vAlign w:val="center"/>
                </w:tcPr>
                <w:p>
                  <w:pPr>
                    <w:widowControl/>
                    <w:jc w:val="center"/>
                    <w:textAlignment w:val="center"/>
                    <w:rPr>
                      <w:szCs w:val="21"/>
                    </w:rPr>
                  </w:pPr>
                  <w:r>
                    <w:rPr>
                      <w:rFonts w:hint="eastAsia"/>
                      <w:kern w:val="0"/>
                      <w:szCs w:val="21"/>
                      <w:lang w:bidi="ar"/>
                    </w:rPr>
                    <w:t>70</w:t>
                  </w:r>
                </w:p>
              </w:tc>
            </w:tr>
          </w:tbl>
          <w:p>
            <w:pPr>
              <w:contextualSpacing/>
              <w:rPr>
                <w:sz w:val="24"/>
              </w:rPr>
            </w:pPr>
            <w:r>
              <w:rPr>
                <w:sz w:val="24"/>
              </w:rPr>
              <w:drawing>
                <wp:inline distT="0" distB="0" distL="114300" distR="114300">
                  <wp:extent cx="5170805" cy="3805555"/>
                  <wp:effectExtent l="0" t="0" r="1079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170805" cy="3805555"/>
                          </a:xfrm>
                          <a:prstGeom prst="rect">
                            <a:avLst/>
                          </a:prstGeom>
                          <a:noFill/>
                          <a:ln>
                            <a:noFill/>
                          </a:ln>
                        </pic:spPr>
                      </pic:pic>
                    </a:graphicData>
                  </a:graphic>
                </wp:inline>
              </w:drawing>
            </w:r>
          </w:p>
          <w:p>
            <w:pPr>
              <w:autoSpaceDE w:val="0"/>
              <w:autoSpaceDN w:val="0"/>
              <w:spacing w:line="360" w:lineRule="auto"/>
              <w:contextualSpacing/>
              <w:jc w:val="center"/>
              <w:rPr>
                <w:b/>
                <w:sz w:val="24"/>
              </w:rPr>
            </w:pPr>
            <w:r>
              <w:rPr>
                <w:b/>
                <w:sz w:val="24"/>
              </w:rPr>
              <w:t>表4-1</w:t>
            </w:r>
            <w:r>
              <w:rPr>
                <w:rFonts w:hint="eastAsia"/>
                <w:b/>
                <w:sz w:val="24"/>
                <w:lang w:val="en-US" w:eastAsia="zh-CN"/>
              </w:rPr>
              <w:t>6</w:t>
            </w:r>
            <w:r>
              <w:rPr>
                <w:b/>
                <w:sz w:val="24"/>
              </w:rPr>
              <w:t xml:space="preserve"> 压裂设备噪声对周围居民影响预测</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32"/>
              <w:gridCol w:w="1342"/>
              <w:gridCol w:w="1155"/>
              <w:gridCol w:w="1344"/>
              <w:gridCol w:w="1344"/>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dxa"/>
                  <w:vMerge w:val="restart"/>
                  <w:tcBorders>
                    <w:tl2br w:val="nil"/>
                    <w:tr2bl w:val="nil"/>
                  </w:tcBorders>
                  <w:vAlign w:val="center"/>
                </w:tcPr>
                <w:p>
                  <w:pPr>
                    <w:jc w:val="center"/>
                    <w:rPr>
                      <w:szCs w:val="21"/>
                    </w:rPr>
                  </w:pPr>
                  <w:r>
                    <w:rPr>
                      <w:b/>
                      <w:szCs w:val="21"/>
                    </w:rPr>
                    <w:t>序号</w:t>
                  </w:r>
                </w:p>
              </w:tc>
              <w:tc>
                <w:tcPr>
                  <w:tcW w:w="1136" w:type="dxa"/>
                  <w:vMerge w:val="restart"/>
                  <w:tcBorders>
                    <w:tl2br w:val="nil"/>
                    <w:tr2bl w:val="nil"/>
                  </w:tcBorders>
                  <w:vAlign w:val="center"/>
                </w:tcPr>
                <w:p>
                  <w:pPr>
                    <w:jc w:val="center"/>
                    <w:rPr>
                      <w:szCs w:val="21"/>
                    </w:rPr>
                  </w:pPr>
                  <w:r>
                    <w:rPr>
                      <w:b/>
                      <w:szCs w:val="21"/>
                    </w:rPr>
                    <w:t>声环境保护目标名称</w:t>
                  </w:r>
                </w:p>
              </w:tc>
              <w:tc>
                <w:tcPr>
                  <w:tcW w:w="1145" w:type="dxa"/>
                  <w:tcBorders>
                    <w:tl2br w:val="nil"/>
                    <w:tr2bl w:val="nil"/>
                  </w:tcBorders>
                  <w:vAlign w:val="center"/>
                </w:tcPr>
                <w:p>
                  <w:pPr>
                    <w:jc w:val="center"/>
                    <w:rPr>
                      <w:szCs w:val="21"/>
                    </w:rPr>
                  </w:pPr>
                  <w:r>
                    <w:rPr>
                      <w:b/>
                      <w:szCs w:val="21"/>
                    </w:rPr>
                    <w:t>噪声现状值/dB(A)</w:t>
                  </w:r>
                </w:p>
              </w:tc>
              <w:tc>
                <w:tcPr>
                  <w:tcW w:w="985" w:type="dxa"/>
                  <w:tcBorders>
                    <w:tl2br w:val="nil"/>
                    <w:tr2bl w:val="nil"/>
                  </w:tcBorders>
                  <w:vAlign w:val="center"/>
                </w:tcPr>
                <w:p>
                  <w:pPr>
                    <w:jc w:val="center"/>
                    <w:rPr>
                      <w:szCs w:val="21"/>
                    </w:rPr>
                  </w:pPr>
                  <w:r>
                    <w:rPr>
                      <w:b/>
                      <w:szCs w:val="21"/>
                    </w:rPr>
                    <w:t>噪声标准/dB(A)</w:t>
                  </w:r>
                </w:p>
              </w:tc>
              <w:tc>
                <w:tcPr>
                  <w:tcW w:w="1146" w:type="dxa"/>
                  <w:tcBorders>
                    <w:tl2br w:val="nil"/>
                    <w:tr2bl w:val="nil"/>
                  </w:tcBorders>
                  <w:vAlign w:val="center"/>
                </w:tcPr>
                <w:p>
                  <w:pPr>
                    <w:jc w:val="center"/>
                    <w:rPr>
                      <w:szCs w:val="21"/>
                    </w:rPr>
                  </w:pPr>
                  <w:r>
                    <w:rPr>
                      <w:b/>
                      <w:szCs w:val="21"/>
                    </w:rPr>
                    <w:t>噪声贡献值/dB(A)</w:t>
                  </w:r>
                </w:p>
              </w:tc>
              <w:tc>
                <w:tcPr>
                  <w:tcW w:w="1146" w:type="dxa"/>
                  <w:tcBorders>
                    <w:tl2br w:val="nil"/>
                    <w:tr2bl w:val="nil"/>
                  </w:tcBorders>
                  <w:vAlign w:val="center"/>
                </w:tcPr>
                <w:p>
                  <w:pPr>
                    <w:jc w:val="center"/>
                    <w:rPr>
                      <w:szCs w:val="21"/>
                    </w:rPr>
                  </w:pPr>
                  <w:r>
                    <w:rPr>
                      <w:b/>
                      <w:szCs w:val="21"/>
                    </w:rPr>
                    <w:t>噪声预测值/dB(A)</w:t>
                  </w:r>
                </w:p>
              </w:tc>
              <w:tc>
                <w:tcPr>
                  <w:tcW w:w="977" w:type="dxa"/>
                  <w:tcBorders>
                    <w:tl2br w:val="nil"/>
                    <w:tr2bl w:val="nil"/>
                  </w:tcBorders>
                  <w:vAlign w:val="center"/>
                </w:tcPr>
                <w:p>
                  <w:pPr>
                    <w:jc w:val="center"/>
                    <w:rPr>
                      <w:szCs w:val="21"/>
                    </w:rPr>
                  </w:pPr>
                  <w:r>
                    <w:rPr>
                      <w:b/>
                      <w:szCs w:val="21"/>
                    </w:rPr>
                    <w:t>较现状增量/dB(A)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 w:type="dxa"/>
                  <w:vMerge w:val="continue"/>
                  <w:tcBorders>
                    <w:tl2br w:val="nil"/>
                    <w:tr2bl w:val="nil"/>
                  </w:tcBorders>
                  <w:shd w:val="clear" w:color="auto" w:fill="FFFFFF"/>
                  <w:vAlign w:val="center"/>
                </w:tcPr>
                <w:p>
                  <w:pPr>
                    <w:jc w:val="center"/>
                    <w:rPr>
                      <w:szCs w:val="21"/>
                    </w:rPr>
                  </w:pPr>
                </w:p>
              </w:tc>
              <w:tc>
                <w:tcPr>
                  <w:tcW w:w="1136" w:type="dxa"/>
                  <w:vMerge w:val="continue"/>
                  <w:tcBorders>
                    <w:tl2br w:val="nil"/>
                    <w:tr2bl w:val="nil"/>
                  </w:tcBorders>
                  <w:shd w:val="clear" w:color="auto" w:fill="FFFFFF"/>
                  <w:vAlign w:val="center"/>
                </w:tcPr>
                <w:p>
                  <w:pPr>
                    <w:jc w:val="center"/>
                    <w:rPr>
                      <w:szCs w:val="21"/>
                    </w:rPr>
                  </w:pPr>
                </w:p>
              </w:tc>
              <w:tc>
                <w:tcPr>
                  <w:tcW w:w="1145" w:type="dxa"/>
                  <w:tcBorders>
                    <w:tl2br w:val="nil"/>
                    <w:tr2bl w:val="nil"/>
                  </w:tcBorders>
                  <w:shd w:val="clear" w:color="auto" w:fill="FFFFFF"/>
                  <w:vAlign w:val="center"/>
                </w:tcPr>
                <w:p>
                  <w:pPr>
                    <w:jc w:val="center"/>
                    <w:rPr>
                      <w:szCs w:val="21"/>
                    </w:rPr>
                  </w:pPr>
                  <w:r>
                    <w:rPr>
                      <w:szCs w:val="21"/>
                    </w:rPr>
                    <w:t>昼间</w:t>
                  </w:r>
                </w:p>
              </w:tc>
              <w:tc>
                <w:tcPr>
                  <w:tcW w:w="985" w:type="dxa"/>
                  <w:tcBorders>
                    <w:tl2br w:val="nil"/>
                    <w:tr2bl w:val="nil"/>
                  </w:tcBorders>
                  <w:shd w:val="clear" w:color="auto" w:fill="FFFFFF"/>
                  <w:vAlign w:val="center"/>
                </w:tcPr>
                <w:p>
                  <w:pPr>
                    <w:jc w:val="center"/>
                    <w:rPr>
                      <w:szCs w:val="21"/>
                    </w:rPr>
                  </w:pPr>
                  <w:r>
                    <w:rPr>
                      <w:szCs w:val="21"/>
                    </w:rPr>
                    <w:t>昼间</w:t>
                  </w:r>
                </w:p>
              </w:tc>
              <w:tc>
                <w:tcPr>
                  <w:tcW w:w="1146" w:type="dxa"/>
                  <w:tcBorders>
                    <w:tl2br w:val="nil"/>
                    <w:tr2bl w:val="nil"/>
                  </w:tcBorders>
                  <w:shd w:val="clear" w:color="auto" w:fill="FFFFFF"/>
                  <w:vAlign w:val="center"/>
                </w:tcPr>
                <w:p>
                  <w:pPr>
                    <w:jc w:val="center"/>
                    <w:rPr>
                      <w:szCs w:val="21"/>
                    </w:rPr>
                  </w:pPr>
                  <w:r>
                    <w:rPr>
                      <w:szCs w:val="21"/>
                    </w:rPr>
                    <w:t>昼间</w:t>
                  </w:r>
                </w:p>
              </w:tc>
              <w:tc>
                <w:tcPr>
                  <w:tcW w:w="1146" w:type="dxa"/>
                  <w:tcBorders>
                    <w:tl2br w:val="nil"/>
                    <w:tr2bl w:val="nil"/>
                  </w:tcBorders>
                  <w:shd w:val="clear" w:color="auto" w:fill="FFFFFF"/>
                  <w:vAlign w:val="center"/>
                </w:tcPr>
                <w:p>
                  <w:pPr>
                    <w:jc w:val="center"/>
                    <w:rPr>
                      <w:szCs w:val="21"/>
                    </w:rPr>
                  </w:pPr>
                  <w:r>
                    <w:rPr>
                      <w:szCs w:val="21"/>
                    </w:rPr>
                    <w:t>昼间</w:t>
                  </w:r>
                </w:p>
              </w:tc>
              <w:tc>
                <w:tcPr>
                  <w:tcW w:w="977" w:type="dxa"/>
                  <w:tcBorders>
                    <w:tl2br w:val="nil"/>
                    <w:tr2bl w:val="nil"/>
                  </w:tcBorders>
                  <w:shd w:val="clear" w:color="auto" w:fill="FFFFFF"/>
                  <w:vAlign w:val="center"/>
                </w:tcPr>
                <w:p>
                  <w:pPr>
                    <w:jc w:val="center"/>
                    <w:rPr>
                      <w:szCs w:val="21"/>
                    </w:rPr>
                  </w:pPr>
                  <w:r>
                    <w:rPr>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388" w:type="dxa"/>
                  <w:tcBorders>
                    <w:tl2br w:val="nil"/>
                    <w:tr2bl w:val="nil"/>
                  </w:tcBorders>
                  <w:shd w:val="clear" w:color="auto" w:fill="FFFFFF"/>
                  <w:vAlign w:val="center"/>
                </w:tcPr>
                <w:p>
                  <w:pPr>
                    <w:jc w:val="center"/>
                    <w:rPr>
                      <w:szCs w:val="21"/>
                    </w:rPr>
                  </w:pPr>
                  <w:r>
                    <w:rPr>
                      <w:szCs w:val="21"/>
                    </w:rPr>
                    <w:t>1</w:t>
                  </w:r>
                </w:p>
              </w:tc>
              <w:tc>
                <w:tcPr>
                  <w:tcW w:w="1136" w:type="dxa"/>
                  <w:tcBorders>
                    <w:tl2br w:val="nil"/>
                    <w:tr2bl w:val="nil"/>
                  </w:tcBorders>
                  <w:shd w:val="clear" w:color="auto" w:fill="FFFFFF"/>
                  <w:vAlign w:val="center"/>
                </w:tcPr>
                <w:p>
                  <w:pPr>
                    <w:rPr>
                      <w:szCs w:val="21"/>
                    </w:rPr>
                  </w:pPr>
                  <w:r>
                    <w:rPr>
                      <w:rFonts w:hint="eastAsia"/>
                      <w:szCs w:val="21"/>
                    </w:rPr>
                    <w:t>4</w:t>
                  </w:r>
                  <w:r>
                    <w:rPr>
                      <w:szCs w:val="21"/>
                    </w:rPr>
                    <w:t>#居民点</w:t>
                  </w:r>
                </w:p>
              </w:tc>
              <w:tc>
                <w:tcPr>
                  <w:tcW w:w="1145" w:type="dxa"/>
                  <w:tcBorders>
                    <w:tl2br w:val="nil"/>
                    <w:tr2bl w:val="nil"/>
                  </w:tcBorders>
                  <w:shd w:val="clear" w:color="auto" w:fill="FFFFFF"/>
                  <w:vAlign w:val="center"/>
                </w:tcPr>
                <w:p>
                  <w:pPr>
                    <w:jc w:val="center"/>
                    <w:rPr>
                      <w:szCs w:val="21"/>
                    </w:rPr>
                  </w:pPr>
                  <w:r>
                    <w:rPr>
                      <w:rFonts w:hint="eastAsia"/>
                      <w:szCs w:val="21"/>
                    </w:rPr>
                    <w:t>56</w:t>
                  </w:r>
                </w:p>
              </w:tc>
              <w:tc>
                <w:tcPr>
                  <w:tcW w:w="985" w:type="dxa"/>
                  <w:tcBorders>
                    <w:tl2br w:val="nil"/>
                    <w:tr2bl w:val="nil"/>
                  </w:tcBorders>
                  <w:shd w:val="clear" w:color="auto" w:fill="FFFFFF"/>
                  <w:vAlign w:val="center"/>
                </w:tcPr>
                <w:p>
                  <w:pPr>
                    <w:jc w:val="center"/>
                    <w:rPr>
                      <w:szCs w:val="21"/>
                    </w:rPr>
                  </w:pPr>
                  <w:r>
                    <w:rPr>
                      <w:szCs w:val="21"/>
                    </w:rPr>
                    <w:t>60</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56.6 </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59.3 </w:t>
                  </w:r>
                </w:p>
              </w:tc>
              <w:tc>
                <w:tcPr>
                  <w:tcW w:w="977" w:type="dxa"/>
                  <w:tcBorders>
                    <w:tl2br w:val="nil"/>
                    <w:tr2bl w:val="nil"/>
                  </w:tcBorders>
                  <w:shd w:val="clear" w:color="auto" w:fill="FFFFFF"/>
                  <w:vAlign w:val="center"/>
                </w:tcPr>
                <w:p>
                  <w:pPr>
                    <w:jc w:val="center"/>
                    <w:rPr>
                      <w:szCs w:val="21"/>
                    </w:rPr>
                  </w:pPr>
                  <w:r>
                    <w:rPr>
                      <w:rFonts w:hint="eastAsia"/>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388" w:type="dxa"/>
                  <w:tcBorders>
                    <w:tl2br w:val="nil"/>
                    <w:tr2bl w:val="nil"/>
                  </w:tcBorders>
                  <w:shd w:val="clear" w:color="auto" w:fill="FFFFFF"/>
                  <w:vAlign w:val="center"/>
                </w:tcPr>
                <w:p>
                  <w:pPr>
                    <w:jc w:val="center"/>
                    <w:rPr>
                      <w:szCs w:val="21"/>
                    </w:rPr>
                  </w:pPr>
                  <w:r>
                    <w:rPr>
                      <w:szCs w:val="21"/>
                    </w:rPr>
                    <w:t>2</w:t>
                  </w:r>
                </w:p>
              </w:tc>
              <w:tc>
                <w:tcPr>
                  <w:tcW w:w="1136" w:type="dxa"/>
                  <w:tcBorders>
                    <w:tl2br w:val="nil"/>
                    <w:tr2bl w:val="nil"/>
                  </w:tcBorders>
                  <w:shd w:val="clear" w:color="auto" w:fill="FFFFFF"/>
                  <w:vAlign w:val="center"/>
                </w:tcPr>
                <w:p>
                  <w:pPr>
                    <w:rPr>
                      <w:szCs w:val="21"/>
                    </w:rPr>
                  </w:pPr>
                  <w:r>
                    <w:rPr>
                      <w:rFonts w:hint="eastAsia"/>
                      <w:szCs w:val="21"/>
                    </w:rPr>
                    <w:t>7</w:t>
                  </w:r>
                  <w:r>
                    <w:rPr>
                      <w:szCs w:val="21"/>
                    </w:rPr>
                    <w:t>#居民点</w:t>
                  </w:r>
                </w:p>
              </w:tc>
              <w:tc>
                <w:tcPr>
                  <w:tcW w:w="1145" w:type="dxa"/>
                  <w:tcBorders>
                    <w:tl2br w:val="nil"/>
                    <w:tr2bl w:val="nil"/>
                  </w:tcBorders>
                  <w:shd w:val="clear" w:color="auto" w:fill="FFFFFF"/>
                  <w:vAlign w:val="center"/>
                </w:tcPr>
                <w:p>
                  <w:pPr>
                    <w:jc w:val="center"/>
                    <w:rPr>
                      <w:szCs w:val="21"/>
                    </w:rPr>
                  </w:pPr>
                  <w:r>
                    <w:rPr>
                      <w:szCs w:val="21"/>
                    </w:rPr>
                    <w:t>5</w:t>
                  </w:r>
                  <w:r>
                    <w:rPr>
                      <w:rFonts w:hint="eastAsia"/>
                      <w:szCs w:val="21"/>
                    </w:rPr>
                    <w:t>6</w:t>
                  </w:r>
                </w:p>
              </w:tc>
              <w:tc>
                <w:tcPr>
                  <w:tcW w:w="985" w:type="dxa"/>
                  <w:tcBorders>
                    <w:tl2br w:val="nil"/>
                    <w:tr2bl w:val="nil"/>
                  </w:tcBorders>
                  <w:shd w:val="clear" w:color="auto" w:fill="FFFFFF"/>
                  <w:vAlign w:val="center"/>
                </w:tcPr>
                <w:p>
                  <w:pPr>
                    <w:jc w:val="center"/>
                    <w:rPr>
                      <w:szCs w:val="21"/>
                    </w:rPr>
                  </w:pPr>
                  <w:r>
                    <w:rPr>
                      <w:szCs w:val="21"/>
                    </w:rPr>
                    <w:t>60</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58.2 </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60.2 </w:t>
                  </w:r>
                </w:p>
              </w:tc>
              <w:tc>
                <w:tcPr>
                  <w:tcW w:w="977" w:type="dxa"/>
                  <w:tcBorders>
                    <w:tl2br w:val="nil"/>
                    <w:tr2bl w:val="nil"/>
                  </w:tcBorders>
                  <w:shd w:val="clear" w:color="auto" w:fill="FFFFFF"/>
                  <w:vAlign w:val="center"/>
                </w:tcPr>
                <w:p>
                  <w:pPr>
                    <w:jc w:val="center"/>
                    <w:rPr>
                      <w:szCs w:val="21"/>
                    </w:rPr>
                  </w:pPr>
                  <w:r>
                    <w:rPr>
                      <w:rFonts w:hint="eastAsia"/>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388" w:type="dxa"/>
                  <w:tcBorders>
                    <w:tl2br w:val="nil"/>
                    <w:tr2bl w:val="nil"/>
                  </w:tcBorders>
                  <w:shd w:val="clear" w:color="auto" w:fill="FFFFFF"/>
                  <w:vAlign w:val="center"/>
                </w:tcPr>
                <w:p>
                  <w:pPr>
                    <w:jc w:val="center"/>
                    <w:rPr>
                      <w:szCs w:val="21"/>
                    </w:rPr>
                  </w:pPr>
                  <w:r>
                    <w:rPr>
                      <w:szCs w:val="21"/>
                    </w:rPr>
                    <w:t>3</w:t>
                  </w:r>
                </w:p>
              </w:tc>
              <w:tc>
                <w:tcPr>
                  <w:tcW w:w="1136" w:type="dxa"/>
                  <w:tcBorders>
                    <w:tl2br w:val="nil"/>
                    <w:tr2bl w:val="nil"/>
                  </w:tcBorders>
                  <w:shd w:val="clear" w:color="auto" w:fill="FFFFFF"/>
                  <w:vAlign w:val="center"/>
                </w:tcPr>
                <w:p>
                  <w:pPr>
                    <w:rPr>
                      <w:szCs w:val="21"/>
                    </w:rPr>
                  </w:pPr>
                  <w:r>
                    <w:rPr>
                      <w:rFonts w:hint="eastAsia"/>
                      <w:szCs w:val="21"/>
                    </w:rPr>
                    <w:t>8</w:t>
                  </w:r>
                  <w:r>
                    <w:rPr>
                      <w:szCs w:val="21"/>
                    </w:rPr>
                    <w:t>#居民点</w:t>
                  </w:r>
                </w:p>
              </w:tc>
              <w:tc>
                <w:tcPr>
                  <w:tcW w:w="1145" w:type="dxa"/>
                  <w:tcBorders>
                    <w:tl2br w:val="nil"/>
                    <w:tr2bl w:val="nil"/>
                  </w:tcBorders>
                  <w:shd w:val="clear" w:color="auto" w:fill="FFFFFF"/>
                  <w:vAlign w:val="center"/>
                </w:tcPr>
                <w:p>
                  <w:pPr>
                    <w:jc w:val="center"/>
                    <w:rPr>
                      <w:szCs w:val="21"/>
                    </w:rPr>
                  </w:pPr>
                  <w:r>
                    <w:rPr>
                      <w:szCs w:val="21"/>
                    </w:rPr>
                    <w:t>5</w:t>
                  </w:r>
                  <w:r>
                    <w:rPr>
                      <w:rFonts w:hint="eastAsia"/>
                      <w:szCs w:val="21"/>
                    </w:rPr>
                    <w:t>6</w:t>
                  </w:r>
                </w:p>
              </w:tc>
              <w:tc>
                <w:tcPr>
                  <w:tcW w:w="985" w:type="dxa"/>
                  <w:tcBorders>
                    <w:tl2br w:val="nil"/>
                    <w:tr2bl w:val="nil"/>
                  </w:tcBorders>
                  <w:shd w:val="clear" w:color="auto" w:fill="FFFFFF"/>
                  <w:vAlign w:val="center"/>
                </w:tcPr>
                <w:p>
                  <w:pPr>
                    <w:jc w:val="center"/>
                    <w:rPr>
                      <w:szCs w:val="21"/>
                    </w:rPr>
                  </w:pPr>
                  <w:r>
                    <w:rPr>
                      <w:szCs w:val="21"/>
                    </w:rPr>
                    <w:t>60</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54.7 </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58.4 </w:t>
                  </w:r>
                </w:p>
              </w:tc>
              <w:tc>
                <w:tcPr>
                  <w:tcW w:w="977" w:type="dxa"/>
                  <w:tcBorders>
                    <w:tl2br w:val="nil"/>
                    <w:tr2bl w:val="nil"/>
                  </w:tcBorders>
                  <w:shd w:val="clear" w:color="auto" w:fill="FFFFFF"/>
                  <w:vAlign w:val="center"/>
                </w:tcPr>
                <w:p>
                  <w:pPr>
                    <w:jc w:val="center"/>
                    <w:rPr>
                      <w:szCs w:val="21"/>
                    </w:rPr>
                  </w:pPr>
                  <w:r>
                    <w:rPr>
                      <w:rFonts w:hint="eastAsia"/>
                      <w:szCs w:val="21"/>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388" w:type="dxa"/>
                  <w:tcBorders>
                    <w:tl2br w:val="nil"/>
                    <w:tr2bl w:val="nil"/>
                  </w:tcBorders>
                  <w:shd w:val="clear" w:color="auto" w:fill="FFFFFF"/>
                  <w:vAlign w:val="center"/>
                </w:tcPr>
                <w:p>
                  <w:pPr>
                    <w:jc w:val="center"/>
                    <w:rPr>
                      <w:szCs w:val="21"/>
                    </w:rPr>
                  </w:pPr>
                  <w:r>
                    <w:rPr>
                      <w:szCs w:val="21"/>
                    </w:rPr>
                    <w:t>4</w:t>
                  </w:r>
                </w:p>
              </w:tc>
              <w:tc>
                <w:tcPr>
                  <w:tcW w:w="1136" w:type="dxa"/>
                  <w:tcBorders>
                    <w:tl2br w:val="nil"/>
                    <w:tr2bl w:val="nil"/>
                  </w:tcBorders>
                  <w:shd w:val="clear" w:color="auto" w:fill="FFFFFF"/>
                  <w:vAlign w:val="center"/>
                </w:tcPr>
                <w:p>
                  <w:pPr>
                    <w:rPr>
                      <w:szCs w:val="21"/>
                    </w:rPr>
                  </w:pPr>
                  <w:r>
                    <w:rPr>
                      <w:rFonts w:hint="eastAsia"/>
                      <w:szCs w:val="21"/>
                    </w:rPr>
                    <w:t>9</w:t>
                  </w:r>
                  <w:r>
                    <w:rPr>
                      <w:szCs w:val="21"/>
                    </w:rPr>
                    <w:t>#居民点</w:t>
                  </w:r>
                </w:p>
              </w:tc>
              <w:tc>
                <w:tcPr>
                  <w:tcW w:w="1145" w:type="dxa"/>
                  <w:tcBorders>
                    <w:tl2br w:val="nil"/>
                    <w:tr2bl w:val="nil"/>
                  </w:tcBorders>
                  <w:shd w:val="clear" w:color="auto" w:fill="FFFFFF"/>
                  <w:vAlign w:val="center"/>
                </w:tcPr>
                <w:p>
                  <w:pPr>
                    <w:jc w:val="center"/>
                    <w:rPr>
                      <w:szCs w:val="21"/>
                    </w:rPr>
                  </w:pPr>
                  <w:r>
                    <w:rPr>
                      <w:szCs w:val="21"/>
                    </w:rPr>
                    <w:t>5</w:t>
                  </w:r>
                  <w:r>
                    <w:rPr>
                      <w:rFonts w:hint="eastAsia"/>
                      <w:szCs w:val="21"/>
                    </w:rPr>
                    <w:t>6</w:t>
                  </w:r>
                </w:p>
              </w:tc>
              <w:tc>
                <w:tcPr>
                  <w:tcW w:w="985" w:type="dxa"/>
                  <w:tcBorders>
                    <w:tl2br w:val="nil"/>
                    <w:tr2bl w:val="nil"/>
                  </w:tcBorders>
                  <w:shd w:val="clear" w:color="auto" w:fill="FFFFFF"/>
                  <w:vAlign w:val="center"/>
                </w:tcPr>
                <w:p>
                  <w:pPr>
                    <w:jc w:val="center"/>
                    <w:rPr>
                      <w:szCs w:val="21"/>
                    </w:rPr>
                  </w:pPr>
                  <w:r>
                    <w:rPr>
                      <w:szCs w:val="21"/>
                    </w:rPr>
                    <w:t>60</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56.7 </w:t>
                  </w:r>
                </w:p>
              </w:tc>
              <w:tc>
                <w:tcPr>
                  <w:tcW w:w="1146" w:type="dxa"/>
                  <w:tcBorders>
                    <w:tl2br w:val="nil"/>
                    <w:tr2bl w:val="nil"/>
                  </w:tcBorders>
                  <w:shd w:val="clear" w:color="auto" w:fill="FFFFFF"/>
                  <w:vAlign w:val="center"/>
                </w:tcPr>
                <w:p>
                  <w:pPr>
                    <w:widowControl/>
                    <w:jc w:val="center"/>
                    <w:textAlignment w:val="center"/>
                    <w:rPr>
                      <w:szCs w:val="21"/>
                    </w:rPr>
                  </w:pPr>
                  <w:r>
                    <w:rPr>
                      <w:color w:val="000000"/>
                      <w:kern w:val="0"/>
                      <w:sz w:val="22"/>
                      <w:szCs w:val="22"/>
                      <w:lang w:bidi="ar"/>
                    </w:rPr>
                    <w:t xml:space="preserve">59.4 </w:t>
                  </w:r>
                </w:p>
              </w:tc>
              <w:tc>
                <w:tcPr>
                  <w:tcW w:w="977" w:type="dxa"/>
                  <w:tcBorders>
                    <w:tl2br w:val="nil"/>
                    <w:tr2bl w:val="nil"/>
                  </w:tcBorders>
                  <w:shd w:val="clear" w:color="auto" w:fill="FFFFFF"/>
                  <w:vAlign w:val="center"/>
                </w:tcPr>
                <w:p>
                  <w:pPr>
                    <w:jc w:val="center"/>
                    <w:rPr>
                      <w:szCs w:val="21"/>
                    </w:rPr>
                  </w:pPr>
                  <w:r>
                    <w:rPr>
                      <w:rFonts w:hint="eastAsia"/>
                      <w:szCs w:val="21"/>
                    </w:rPr>
                    <w:t>3.4</w:t>
                  </w:r>
                </w:p>
              </w:tc>
            </w:tr>
          </w:tbl>
          <w:p>
            <w:pPr>
              <w:spacing w:line="360" w:lineRule="auto"/>
              <w:ind w:firstLine="480" w:firstLineChars="200"/>
              <w:contextualSpacing/>
              <w:rPr>
                <w:sz w:val="24"/>
              </w:rPr>
            </w:pPr>
            <w:r>
              <w:rPr>
                <w:rFonts w:hint="eastAsia"/>
                <w:sz w:val="24"/>
              </w:rPr>
              <w:t>本</w:t>
            </w:r>
            <w:r>
              <w:rPr>
                <w:sz w:val="24"/>
              </w:rPr>
              <w:t>压裂工程施工时间较短，且均在昼间进行，同类型项目均存在此类现象，随着施工结束噪声影响随之消失，因此不会对当地声环境造成影响。根据对周围敏感点预测可知，周边敏感点出均满足《声环境质量标准》(GB3096-2008)中2类区标准值，因此对周边敏感点造成影响较小。</w:t>
            </w:r>
          </w:p>
          <w:p>
            <w:pPr>
              <w:spacing w:line="360" w:lineRule="auto"/>
              <w:rPr>
                <w:b/>
                <w:sz w:val="24"/>
              </w:rPr>
            </w:pPr>
            <w:r>
              <w:rPr>
                <w:b/>
                <w:sz w:val="24"/>
              </w:rPr>
              <w:t>4.3.4固体废物环境影响分析</w:t>
            </w:r>
          </w:p>
          <w:p>
            <w:pPr>
              <w:adjustRightInd w:val="0"/>
              <w:snapToGrid w:val="0"/>
              <w:spacing w:line="360" w:lineRule="auto"/>
              <w:ind w:firstLine="480" w:firstLineChars="200"/>
              <w:rPr>
                <w:bCs/>
                <w:sz w:val="24"/>
              </w:rPr>
            </w:pPr>
            <w:r>
              <w:rPr>
                <w:rFonts w:hint="eastAsia"/>
                <w:bCs/>
                <w:sz w:val="24"/>
              </w:rPr>
              <w:t>储层改造工程</w:t>
            </w:r>
            <w:r>
              <w:rPr>
                <w:bCs/>
                <w:sz w:val="24"/>
              </w:rPr>
              <w:t>阶段产生的固体废物主要有废油、废包装材料等，还有井队员工产生的生活垃圾。</w:t>
            </w:r>
          </w:p>
          <w:p>
            <w:pPr>
              <w:adjustRightInd w:val="0"/>
              <w:snapToGrid w:val="0"/>
              <w:spacing w:line="360" w:lineRule="auto"/>
              <w:ind w:firstLine="480" w:firstLineChars="200"/>
              <w:rPr>
                <w:bCs/>
                <w:sz w:val="24"/>
              </w:rPr>
            </w:pPr>
            <w:r>
              <w:rPr>
                <w:bCs/>
                <w:sz w:val="24"/>
              </w:rPr>
              <w:t>①废油</w:t>
            </w:r>
          </w:p>
          <w:p>
            <w:pPr>
              <w:adjustRightInd w:val="0"/>
              <w:snapToGrid w:val="0"/>
              <w:spacing w:line="360" w:lineRule="auto"/>
              <w:ind w:firstLine="480" w:firstLineChars="200"/>
              <w:rPr>
                <w:bCs/>
                <w:sz w:val="24"/>
              </w:rPr>
            </w:pPr>
            <w:r>
              <w:rPr>
                <w:bCs/>
                <w:sz w:val="24"/>
              </w:rPr>
              <w:t>储层改造期间废油的主要来源是：机械（压裂车等）润滑废油；清洗、保养产生的废油，如更换柴油发电机、发电机零部件产生的废油。类比区域内已完钻的探井，本工程完井测试阶段共产生废油约0.03t。废油属于危险废物（HW08）。</w:t>
            </w:r>
          </w:p>
          <w:p>
            <w:pPr>
              <w:adjustRightInd w:val="0"/>
              <w:snapToGrid w:val="0"/>
              <w:spacing w:line="360" w:lineRule="auto"/>
              <w:ind w:firstLine="480" w:firstLineChars="200"/>
              <w:rPr>
                <w:bCs/>
                <w:sz w:val="24"/>
              </w:rPr>
            </w:pPr>
            <w:r>
              <w:rPr>
                <w:bCs/>
                <w:sz w:val="24"/>
              </w:rPr>
              <w:t>②废油桶</w:t>
            </w:r>
          </w:p>
          <w:p>
            <w:pPr>
              <w:adjustRightInd w:val="0"/>
              <w:snapToGrid w:val="0"/>
              <w:spacing w:line="360" w:lineRule="auto"/>
              <w:ind w:firstLine="480" w:firstLineChars="200"/>
              <w:rPr>
                <w:bCs/>
                <w:sz w:val="24"/>
              </w:rPr>
            </w:pPr>
            <w:r>
              <w:rPr>
                <w:bCs/>
                <w:sz w:val="24"/>
              </w:rPr>
              <w:t>拟建项目设备维护润滑油使用后会产生废油桶，根据建设单位提供的资料，润滑油采用铁桶包装，则废油桶重约0.06t。废油桶属于危险废物（HW08）。</w:t>
            </w:r>
          </w:p>
          <w:p>
            <w:pPr>
              <w:adjustRightInd w:val="0"/>
              <w:snapToGrid w:val="0"/>
              <w:spacing w:line="360" w:lineRule="auto"/>
              <w:ind w:firstLine="480" w:firstLineChars="200"/>
              <w:rPr>
                <w:bCs/>
                <w:sz w:val="24"/>
              </w:rPr>
            </w:pPr>
            <w:r>
              <w:rPr>
                <w:bCs/>
                <w:sz w:val="24"/>
              </w:rPr>
              <w:t>③废棉纱/手套</w:t>
            </w:r>
          </w:p>
          <w:p>
            <w:pPr>
              <w:adjustRightInd w:val="0"/>
              <w:snapToGrid w:val="0"/>
              <w:spacing w:line="360" w:lineRule="auto"/>
              <w:ind w:firstLine="480" w:firstLineChars="200"/>
              <w:rPr>
                <w:kern w:val="0"/>
                <w:sz w:val="24"/>
              </w:rPr>
            </w:pPr>
            <w:r>
              <w:rPr>
                <w:bCs/>
                <w:sz w:val="24"/>
              </w:rPr>
              <w:t>储层改造期间设备维护会产生废棉纱/手套，类比区域内已完钻的探井，本工程废棉纱/手套产生量约0.1t。废棉纱/手套属于危险废物（HW49）。</w:t>
            </w:r>
          </w:p>
          <w:p>
            <w:pPr>
              <w:adjustRightInd w:val="0"/>
              <w:snapToGrid w:val="0"/>
              <w:spacing w:line="360" w:lineRule="auto"/>
              <w:ind w:firstLine="480" w:firstLineChars="200"/>
              <w:rPr>
                <w:bCs/>
                <w:sz w:val="24"/>
              </w:rPr>
            </w:pPr>
            <w:r>
              <w:rPr>
                <w:bCs/>
                <w:sz w:val="24"/>
              </w:rPr>
              <w:t>危险废物汇总表见下表。</w:t>
            </w:r>
          </w:p>
          <w:p>
            <w:pPr>
              <w:adjustRightInd w:val="0"/>
              <w:snapToGrid w:val="0"/>
              <w:spacing w:line="360" w:lineRule="auto"/>
              <w:jc w:val="center"/>
              <w:rPr>
                <w:b/>
                <w:bCs/>
                <w:sz w:val="24"/>
              </w:rPr>
            </w:pPr>
            <w:r>
              <w:rPr>
                <w:b/>
                <w:bCs/>
                <w:sz w:val="24"/>
              </w:rPr>
              <w:t>表4-</w:t>
            </w:r>
            <w:r>
              <w:rPr>
                <w:rFonts w:hint="eastAsia"/>
                <w:b/>
                <w:bCs/>
                <w:sz w:val="24"/>
                <w:lang w:val="en-US" w:eastAsia="zh-CN"/>
              </w:rPr>
              <w:t>17</w:t>
            </w:r>
            <w:r>
              <w:rPr>
                <w:b/>
                <w:bCs/>
                <w:sz w:val="24"/>
              </w:rPr>
              <w:t xml:space="preserve">  危险废物统计表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0"/>
                    <w:jc w:val="center"/>
                    <w:rPr>
                      <w:b/>
                      <w:szCs w:val="21"/>
                    </w:rPr>
                  </w:pPr>
                  <w:r>
                    <w:rPr>
                      <w:rFonts w:hint="eastAsia"/>
                      <w:b/>
                      <w:szCs w:val="21"/>
                    </w:rPr>
                    <w:t>序号</w:t>
                  </w:r>
                </w:p>
              </w:tc>
              <w:tc>
                <w:tcPr>
                  <w:tcW w:w="607" w:type="pct"/>
                  <w:tcBorders>
                    <w:tl2br w:val="nil"/>
                    <w:tr2bl w:val="nil"/>
                  </w:tcBorders>
                  <w:shd w:val="clear" w:color="auto" w:fill="FFFFFF" w:themeFill="background1"/>
                  <w:vAlign w:val="center"/>
                </w:tcPr>
                <w:p>
                  <w:pPr>
                    <w:pStyle w:val="400"/>
                    <w:jc w:val="center"/>
                    <w:rPr>
                      <w:b/>
                      <w:szCs w:val="21"/>
                    </w:rPr>
                  </w:pPr>
                  <w:r>
                    <w:rPr>
                      <w:rFonts w:hint="eastAsia"/>
                      <w:b/>
                      <w:szCs w:val="21"/>
                    </w:rPr>
                    <w:t>废物名称</w:t>
                  </w:r>
                </w:p>
              </w:tc>
              <w:tc>
                <w:tcPr>
                  <w:tcW w:w="333" w:type="pct"/>
                  <w:tcBorders>
                    <w:tl2br w:val="nil"/>
                    <w:tr2bl w:val="nil"/>
                  </w:tcBorders>
                  <w:shd w:val="clear" w:color="auto" w:fill="FFFFFF" w:themeFill="background1"/>
                  <w:vAlign w:val="center"/>
                </w:tcPr>
                <w:p>
                  <w:pPr>
                    <w:pStyle w:val="400"/>
                    <w:jc w:val="center"/>
                    <w:rPr>
                      <w:b/>
                      <w:szCs w:val="21"/>
                    </w:rPr>
                  </w:pPr>
                  <w:r>
                    <w:rPr>
                      <w:rFonts w:hint="eastAsia"/>
                      <w:b/>
                      <w:szCs w:val="21"/>
                    </w:rPr>
                    <w:t>废物类别</w:t>
                  </w:r>
                </w:p>
              </w:tc>
              <w:tc>
                <w:tcPr>
                  <w:tcW w:w="395" w:type="pct"/>
                  <w:tcBorders>
                    <w:tl2br w:val="nil"/>
                    <w:tr2bl w:val="nil"/>
                  </w:tcBorders>
                  <w:shd w:val="clear" w:color="auto" w:fill="FFFFFF" w:themeFill="background1"/>
                  <w:vAlign w:val="center"/>
                </w:tcPr>
                <w:p>
                  <w:pPr>
                    <w:pStyle w:val="400"/>
                    <w:jc w:val="center"/>
                    <w:rPr>
                      <w:b/>
                      <w:szCs w:val="21"/>
                    </w:rPr>
                  </w:pPr>
                  <w:r>
                    <w:rPr>
                      <w:rFonts w:hint="eastAsia"/>
                      <w:b/>
                      <w:szCs w:val="21"/>
                    </w:rPr>
                    <w:t>废物代码</w:t>
                  </w:r>
                </w:p>
              </w:tc>
              <w:tc>
                <w:tcPr>
                  <w:tcW w:w="401" w:type="pct"/>
                  <w:tcBorders>
                    <w:tl2br w:val="nil"/>
                    <w:tr2bl w:val="nil"/>
                  </w:tcBorders>
                  <w:shd w:val="clear" w:color="auto" w:fill="FFFFFF" w:themeFill="background1"/>
                  <w:vAlign w:val="center"/>
                </w:tcPr>
                <w:p>
                  <w:pPr>
                    <w:pStyle w:val="400"/>
                    <w:jc w:val="center"/>
                    <w:rPr>
                      <w:b/>
                      <w:szCs w:val="21"/>
                    </w:rPr>
                  </w:pPr>
                  <w:r>
                    <w:rPr>
                      <w:rFonts w:hint="eastAsia"/>
                      <w:b/>
                      <w:szCs w:val="21"/>
                    </w:rPr>
                    <w:t>性质判断</w:t>
                  </w:r>
                </w:p>
              </w:tc>
              <w:tc>
                <w:tcPr>
                  <w:tcW w:w="396" w:type="pct"/>
                  <w:tcBorders>
                    <w:tl2br w:val="nil"/>
                    <w:tr2bl w:val="nil"/>
                  </w:tcBorders>
                  <w:shd w:val="clear" w:color="auto" w:fill="FFFFFF" w:themeFill="background1"/>
                  <w:vAlign w:val="center"/>
                </w:tcPr>
                <w:p>
                  <w:pPr>
                    <w:pStyle w:val="400"/>
                    <w:jc w:val="center"/>
                    <w:rPr>
                      <w:b/>
                      <w:szCs w:val="21"/>
                    </w:rPr>
                  </w:pPr>
                  <w:r>
                    <w:rPr>
                      <w:rFonts w:hint="eastAsia"/>
                      <w:b/>
                      <w:szCs w:val="21"/>
                    </w:rPr>
                    <w:t>产生量</w:t>
                  </w:r>
                </w:p>
              </w:tc>
              <w:tc>
                <w:tcPr>
                  <w:tcW w:w="396" w:type="pct"/>
                  <w:tcBorders>
                    <w:tl2br w:val="nil"/>
                    <w:tr2bl w:val="nil"/>
                  </w:tcBorders>
                  <w:shd w:val="clear" w:color="auto" w:fill="FFFFFF" w:themeFill="background1"/>
                  <w:vAlign w:val="center"/>
                </w:tcPr>
                <w:p>
                  <w:pPr>
                    <w:pStyle w:val="400"/>
                    <w:jc w:val="center"/>
                    <w:rPr>
                      <w:b/>
                      <w:szCs w:val="21"/>
                    </w:rPr>
                  </w:pPr>
                  <w:r>
                    <w:rPr>
                      <w:rFonts w:hint="eastAsia"/>
                      <w:b/>
                      <w:szCs w:val="21"/>
                    </w:rPr>
                    <w:t>产生工序及装置</w:t>
                  </w:r>
                </w:p>
              </w:tc>
              <w:tc>
                <w:tcPr>
                  <w:tcW w:w="249" w:type="pct"/>
                  <w:tcBorders>
                    <w:tl2br w:val="nil"/>
                    <w:tr2bl w:val="nil"/>
                  </w:tcBorders>
                  <w:shd w:val="clear" w:color="auto" w:fill="FFFFFF" w:themeFill="background1"/>
                  <w:vAlign w:val="center"/>
                </w:tcPr>
                <w:p>
                  <w:pPr>
                    <w:pStyle w:val="400"/>
                    <w:jc w:val="center"/>
                    <w:rPr>
                      <w:b/>
                      <w:szCs w:val="21"/>
                    </w:rPr>
                  </w:pPr>
                  <w:r>
                    <w:rPr>
                      <w:rFonts w:hint="eastAsia"/>
                      <w:b/>
                      <w:szCs w:val="21"/>
                    </w:rPr>
                    <w:t>形态</w:t>
                  </w:r>
                </w:p>
              </w:tc>
              <w:tc>
                <w:tcPr>
                  <w:tcW w:w="400" w:type="pct"/>
                  <w:tcBorders>
                    <w:tl2br w:val="nil"/>
                    <w:tr2bl w:val="nil"/>
                  </w:tcBorders>
                  <w:shd w:val="clear" w:color="auto" w:fill="FFFFFF" w:themeFill="background1"/>
                  <w:vAlign w:val="center"/>
                </w:tcPr>
                <w:p>
                  <w:pPr>
                    <w:pStyle w:val="400"/>
                    <w:jc w:val="center"/>
                    <w:rPr>
                      <w:b/>
                      <w:szCs w:val="21"/>
                    </w:rPr>
                  </w:pPr>
                  <w:r>
                    <w:rPr>
                      <w:rFonts w:hint="eastAsia"/>
                      <w:b/>
                      <w:szCs w:val="21"/>
                    </w:rPr>
                    <w:t>主要成分</w:t>
                  </w:r>
                </w:p>
              </w:tc>
              <w:tc>
                <w:tcPr>
                  <w:tcW w:w="318" w:type="pct"/>
                  <w:tcBorders>
                    <w:tl2br w:val="nil"/>
                    <w:tr2bl w:val="nil"/>
                  </w:tcBorders>
                  <w:shd w:val="clear" w:color="auto" w:fill="FFFFFF" w:themeFill="background1"/>
                  <w:vAlign w:val="center"/>
                </w:tcPr>
                <w:p>
                  <w:pPr>
                    <w:pStyle w:val="400"/>
                    <w:jc w:val="center"/>
                    <w:rPr>
                      <w:b/>
                      <w:szCs w:val="21"/>
                    </w:rPr>
                  </w:pPr>
                  <w:r>
                    <w:rPr>
                      <w:rFonts w:hint="eastAsia"/>
                      <w:b/>
                      <w:szCs w:val="21"/>
                    </w:rPr>
                    <w:t>有害成分</w:t>
                  </w:r>
                </w:p>
              </w:tc>
              <w:tc>
                <w:tcPr>
                  <w:tcW w:w="313" w:type="pct"/>
                  <w:tcBorders>
                    <w:tl2br w:val="nil"/>
                    <w:tr2bl w:val="nil"/>
                  </w:tcBorders>
                  <w:shd w:val="clear" w:color="auto" w:fill="FFFFFF" w:themeFill="background1"/>
                  <w:vAlign w:val="center"/>
                </w:tcPr>
                <w:p>
                  <w:pPr>
                    <w:pStyle w:val="400"/>
                    <w:jc w:val="center"/>
                    <w:rPr>
                      <w:b/>
                      <w:szCs w:val="21"/>
                    </w:rPr>
                  </w:pPr>
                  <w:r>
                    <w:rPr>
                      <w:rFonts w:hint="eastAsia"/>
                      <w:b/>
                      <w:szCs w:val="21"/>
                    </w:rPr>
                    <w:t>产废周期</w:t>
                  </w:r>
                </w:p>
              </w:tc>
              <w:tc>
                <w:tcPr>
                  <w:tcW w:w="338" w:type="pct"/>
                  <w:tcBorders>
                    <w:tl2br w:val="nil"/>
                    <w:tr2bl w:val="nil"/>
                  </w:tcBorders>
                  <w:shd w:val="clear" w:color="auto" w:fill="FFFFFF" w:themeFill="background1"/>
                  <w:vAlign w:val="center"/>
                </w:tcPr>
                <w:p>
                  <w:pPr>
                    <w:pStyle w:val="400"/>
                    <w:jc w:val="center"/>
                    <w:rPr>
                      <w:b/>
                      <w:szCs w:val="21"/>
                    </w:rPr>
                  </w:pPr>
                  <w:r>
                    <w:rPr>
                      <w:rFonts w:hint="eastAsia"/>
                      <w:b/>
                      <w:szCs w:val="21"/>
                    </w:rPr>
                    <w:t>危险特性</w:t>
                  </w:r>
                </w:p>
              </w:tc>
              <w:tc>
                <w:tcPr>
                  <w:tcW w:w="657" w:type="pct"/>
                  <w:tcBorders>
                    <w:tl2br w:val="nil"/>
                    <w:tr2bl w:val="nil"/>
                  </w:tcBorders>
                  <w:shd w:val="clear" w:color="auto" w:fill="FFFFFF" w:themeFill="background1"/>
                  <w:vAlign w:val="center"/>
                </w:tcPr>
                <w:p>
                  <w:pPr>
                    <w:pStyle w:val="400"/>
                    <w:jc w:val="center"/>
                    <w:rPr>
                      <w:b/>
                      <w:szCs w:val="21"/>
                    </w:rPr>
                  </w:pPr>
                  <w:r>
                    <w:rPr>
                      <w:rFonts w:hint="eastAsia"/>
                      <w:b/>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1</w:t>
                  </w:r>
                </w:p>
              </w:tc>
              <w:tc>
                <w:tcPr>
                  <w:tcW w:w="607" w:type="pct"/>
                  <w:tcBorders>
                    <w:tl2br w:val="nil"/>
                    <w:tr2bl w:val="nil"/>
                  </w:tcBorders>
                  <w:vAlign w:val="center"/>
                </w:tcPr>
                <w:p>
                  <w:pPr>
                    <w:topLinePunct/>
                    <w:adjustRightInd w:val="0"/>
                    <w:snapToGrid w:val="0"/>
                    <w:jc w:val="center"/>
                    <w:rPr>
                      <w:kern w:val="0"/>
                      <w:szCs w:val="21"/>
                    </w:rPr>
                  </w:pPr>
                  <w:r>
                    <w:rPr>
                      <w:kern w:val="0"/>
                      <w:szCs w:val="21"/>
                    </w:rPr>
                    <w:t>废润滑油</w:t>
                  </w:r>
                </w:p>
              </w:tc>
              <w:tc>
                <w:tcPr>
                  <w:tcW w:w="333" w:type="pct"/>
                  <w:tcBorders>
                    <w:tl2br w:val="nil"/>
                    <w:tr2bl w:val="nil"/>
                  </w:tcBorders>
                  <w:vAlign w:val="center"/>
                </w:tcPr>
                <w:p>
                  <w:pPr>
                    <w:topLinePunct/>
                    <w:adjustRightInd w:val="0"/>
                    <w:snapToGrid w:val="0"/>
                    <w:jc w:val="center"/>
                    <w:rPr>
                      <w:bCs/>
                      <w:szCs w:val="21"/>
                    </w:rPr>
                  </w:pPr>
                  <w:r>
                    <w:rPr>
                      <w:szCs w:val="21"/>
                    </w:rPr>
                    <w:t>HW08</w:t>
                  </w:r>
                </w:p>
              </w:tc>
              <w:tc>
                <w:tcPr>
                  <w:tcW w:w="395" w:type="pct"/>
                  <w:tcBorders>
                    <w:tl2br w:val="nil"/>
                    <w:tr2bl w:val="nil"/>
                  </w:tcBorders>
                  <w:vAlign w:val="center"/>
                </w:tcPr>
                <w:p>
                  <w:pPr>
                    <w:topLinePunct/>
                    <w:adjustRightInd w:val="0"/>
                    <w:snapToGrid w:val="0"/>
                    <w:jc w:val="center"/>
                    <w:rPr>
                      <w:bCs/>
                      <w:szCs w:val="21"/>
                    </w:rPr>
                  </w:pPr>
                  <w:r>
                    <w:rPr>
                      <w:szCs w:val="21"/>
                    </w:rPr>
                    <w:t>900-217-08</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topLinePunct/>
                    <w:adjustRightInd w:val="0"/>
                    <w:snapToGrid w:val="0"/>
                    <w:jc w:val="center"/>
                    <w:rPr>
                      <w:bCs/>
                      <w:szCs w:val="21"/>
                    </w:rPr>
                  </w:pPr>
                  <w:r>
                    <w:rPr>
                      <w:kern w:val="0"/>
                      <w:szCs w:val="21"/>
                    </w:rPr>
                    <w:t>0.03</w:t>
                  </w:r>
                </w:p>
              </w:tc>
              <w:tc>
                <w:tcPr>
                  <w:tcW w:w="396" w:type="pct"/>
                  <w:tcBorders>
                    <w:tl2br w:val="nil"/>
                    <w:tr2bl w:val="nil"/>
                  </w:tcBorders>
                  <w:vAlign w:val="center"/>
                </w:tcPr>
                <w:p>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pPr>
                    <w:topLinePunct/>
                    <w:adjustRightInd w:val="0"/>
                    <w:snapToGrid w:val="0"/>
                    <w:jc w:val="center"/>
                    <w:rPr>
                      <w:bCs/>
                      <w:szCs w:val="21"/>
                    </w:rPr>
                  </w:pPr>
                  <w:r>
                    <w:rPr>
                      <w:kern w:val="0"/>
                      <w:szCs w:val="21"/>
                    </w:rPr>
                    <w:t>液态</w:t>
                  </w:r>
                </w:p>
              </w:tc>
              <w:tc>
                <w:tcPr>
                  <w:tcW w:w="400" w:type="pct"/>
                  <w:tcBorders>
                    <w:tl2br w:val="nil"/>
                    <w:tr2bl w:val="nil"/>
                  </w:tcBorders>
                  <w:vAlign w:val="center"/>
                </w:tcPr>
                <w:p>
                  <w:pPr>
                    <w:topLinePunct/>
                    <w:adjustRightInd w:val="0"/>
                    <w:snapToGrid w:val="0"/>
                    <w:jc w:val="center"/>
                    <w:rPr>
                      <w:bCs/>
                      <w:szCs w:val="21"/>
                    </w:rPr>
                  </w:pPr>
                  <w:r>
                    <w:rPr>
                      <w:kern w:val="0"/>
                      <w:szCs w:val="21"/>
                    </w:rPr>
                    <w:t>矿物油</w:t>
                  </w:r>
                </w:p>
              </w:tc>
              <w:tc>
                <w:tcPr>
                  <w:tcW w:w="318" w:type="pct"/>
                  <w:tcBorders>
                    <w:tl2br w:val="nil"/>
                    <w:tr2bl w:val="nil"/>
                  </w:tcBorders>
                  <w:vAlign w:val="center"/>
                </w:tcPr>
                <w:p>
                  <w:pPr>
                    <w:topLinePunct/>
                    <w:adjustRightInd w:val="0"/>
                    <w:snapToGrid w:val="0"/>
                    <w:jc w:val="center"/>
                    <w:rPr>
                      <w:bCs/>
                      <w:szCs w:val="21"/>
                    </w:rPr>
                  </w:pPr>
                  <w:r>
                    <w:rPr>
                      <w:kern w:val="0"/>
                      <w:szCs w:val="21"/>
                    </w:rPr>
                    <w:t>矿物油</w:t>
                  </w:r>
                </w:p>
              </w:tc>
              <w:tc>
                <w:tcPr>
                  <w:tcW w:w="313" w:type="pct"/>
                  <w:vMerge w:val="restart"/>
                  <w:tcBorders>
                    <w:tl2br w:val="nil"/>
                    <w:tr2bl w:val="nil"/>
                  </w:tcBorders>
                  <w:vAlign w:val="center"/>
                </w:tcPr>
                <w:p>
                  <w:pPr>
                    <w:topLinePunct/>
                    <w:adjustRightInd w:val="0"/>
                    <w:snapToGrid w:val="0"/>
                    <w:jc w:val="center"/>
                    <w:rPr>
                      <w:bCs/>
                      <w:szCs w:val="21"/>
                    </w:rPr>
                  </w:pPr>
                  <w:r>
                    <w:rPr>
                      <w:rFonts w:hint="eastAsia"/>
                      <w:bCs/>
                      <w:szCs w:val="21"/>
                    </w:rPr>
                    <w:t>储层改造施工期间</w:t>
                  </w:r>
                </w:p>
              </w:tc>
              <w:tc>
                <w:tcPr>
                  <w:tcW w:w="338" w:type="pct"/>
                  <w:tcBorders>
                    <w:tl2br w:val="nil"/>
                    <w:tr2bl w:val="nil"/>
                  </w:tcBorders>
                  <w:vAlign w:val="center"/>
                </w:tcPr>
                <w:p>
                  <w:pPr>
                    <w:pStyle w:val="400"/>
                    <w:jc w:val="center"/>
                    <w:rPr>
                      <w:bCs/>
                      <w:szCs w:val="21"/>
                    </w:rPr>
                  </w:pPr>
                  <w:r>
                    <w:rPr>
                      <w:bCs/>
                      <w:szCs w:val="21"/>
                    </w:rPr>
                    <w:t>T</w:t>
                  </w:r>
                </w:p>
              </w:tc>
              <w:tc>
                <w:tcPr>
                  <w:tcW w:w="657" w:type="pct"/>
                  <w:vMerge w:val="restart"/>
                  <w:tcBorders>
                    <w:tl2br w:val="nil"/>
                    <w:tr2bl w:val="nil"/>
                  </w:tcBorders>
                  <w:vAlign w:val="center"/>
                </w:tcPr>
                <w:p>
                  <w:pPr>
                    <w:pStyle w:val="400"/>
                    <w:jc w:val="center"/>
                    <w:rPr>
                      <w:bCs/>
                      <w:szCs w:val="21"/>
                    </w:rPr>
                  </w:pPr>
                  <w:r>
                    <w:rPr>
                      <w:rFonts w:hint="eastAsia"/>
                      <w:bCs/>
                      <w:szCs w:val="21"/>
                    </w:rPr>
                    <w:t>收集后</w:t>
                  </w:r>
                  <w:r>
                    <w:rPr>
                      <w:bCs/>
                      <w:szCs w:val="21"/>
                    </w:rPr>
                    <w:t>暂存于</w:t>
                  </w:r>
                  <w:r>
                    <w:rPr>
                      <w:rFonts w:hint="eastAsia"/>
                      <w:bCs/>
                      <w:szCs w:val="21"/>
                    </w:rPr>
                    <w:t>危险废物贮存点</w:t>
                  </w:r>
                  <w:r>
                    <w:rPr>
                      <w:bCs/>
                      <w:szCs w:val="21"/>
                    </w:rPr>
                    <w:t>，委托有资质单位处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2</w:t>
                  </w:r>
                </w:p>
              </w:tc>
              <w:tc>
                <w:tcPr>
                  <w:tcW w:w="607" w:type="pct"/>
                  <w:tcBorders>
                    <w:tl2br w:val="nil"/>
                    <w:tr2bl w:val="nil"/>
                  </w:tcBorders>
                  <w:vAlign w:val="center"/>
                </w:tcPr>
                <w:p>
                  <w:pPr>
                    <w:topLinePunct/>
                    <w:adjustRightInd w:val="0"/>
                    <w:snapToGrid w:val="0"/>
                    <w:jc w:val="center"/>
                    <w:rPr>
                      <w:kern w:val="0"/>
                      <w:szCs w:val="21"/>
                    </w:rPr>
                  </w:pPr>
                  <w:r>
                    <w:rPr>
                      <w:kern w:val="0"/>
                      <w:szCs w:val="21"/>
                    </w:rPr>
                    <w:t>废油桶</w:t>
                  </w:r>
                </w:p>
              </w:tc>
              <w:tc>
                <w:tcPr>
                  <w:tcW w:w="333" w:type="pct"/>
                  <w:tcBorders>
                    <w:tl2br w:val="nil"/>
                    <w:tr2bl w:val="nil"/>
                  </w:tcBorders>
                  <w:vAlign w:val="center"/>
                </w:tcPr>
                <w:p>
                  <w:pPr>
                    <w:topLinePunct/>
                    <w:adjustRightInd w:val="0"/>
                    <w:snapToGrid w:val="0"/>
                    <w:jc w:val="center"/>
                    <w:rPr>
                      <w:bCs/>
                      <w:szCs w:val="21"/>
                    </w:rPr>
                  </w:pPr>
                  <w:r>
                    <w:rPr>
                      <w:szCs w:val="21"/>
                    </w:rPr>
                    <w:t>HW08</w:t>
                  </w:r>
                </w:p>
              </w:tc>
              <w:tc>
                <w:tcPr>
                  <w:tcW w:w="395" w:type="pct"/>
                  <w:tcBorders>
                    <w:tl2br w:val="nil"/>
                    <w:tr2bl w:val="nil"/>
                  </w:tcBorders>
                  <w:vAlign w:val="center"/>
                </w:tcPr>
                <w:p>
                  <w:pPr>
                    <w:topLinePunct/>
                    <w:adjustRightInd w:val="0"/>
                    <w:snapToGrid w:val="0"/>
                    <w:jc w:val="center"/>
                    <w:rPr>
                      <w:bCs/>
                      <w:szCs w:val="21"/>
                    </w:rPr>
                  </w:pPr>
                  <w:r>
                    <w:rPr>
                      <w:szCs w:val="21"/>
                    </w:rPr>
                    <w:t>900-249-08</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topLinePunct/>
                    <w:adjustRightInd w:val="0"/>
                    <w:snapToGrid w:val="0"/>
                    <w:jc w:val="center"/>
                    <w:rPr>
                      <w:bCs/>
                      <w:szCs w:val="21"/>
                    </w:rPr>
                  </w:pPr>
                  <w:r>
                    <w:rPr>
                      <w:kern w:val="0"/>
                      <w:szCs w:val="21"/>
                    </w:rPr>
                    <w:t>0.06</w:t>
                  </w:r>
                </w:p>
              </w:tc>
              <w:tc>
                <w:tcPr>
                  <w:tcW w:w="396" w:type="pct"/>
                  <w:tcBorders>
                    <w:tl2br w:val="nil"/>
                    <w:tr2bl w:val="nil"/>
                  </w:tcBorders>
                  <w:vAlign w:val="center"/>
                </w:tcPr>
                <w:p>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pPr>
                    <w:topLinePunct/>
                    <w:adjustRightInd w:val="0"/>
                    <w:snapToGrid w:val="0"/>
                    <w:jc w:val="center"/>
                    <w:rPr>
                      <w:bCs/>
                      <w:szCs w:val="21"/>
                    </w:rPr>
                  </w:pPr>
                  <w:r>
                    <w:rPr>
                      <w:kern w:val="0"/>
                      <w:szCs w:val="21"/>
                    </w:rPr>
                    <w:t>固态</w:t>
                  </w:r>
                </w:p>
              </w:tc>
              <w:tc>
                <w:tcPr>
                  <w:tcW w:w="400" w:type="pct"/>
                  <w:tcBorders>
                    <w:tl2br w:val="nil"/>
                    <w:tr2bl w:val="nil"/>
                  </w:tcBorders>
                  <w:vAlign w:val="center"/>
                </w:tcPr>
                <w:p>
                  <w:pPr>
                    <w:topLinePunct/>
                    <w:adjustRightInd w:val="0"/>
                    <w:snapToGrid w:val="0"/>
                    <w:jc w:val="center"/>
                    <w:rPr>
                      <w:bCs/>
                      <w:szCs w:val="21"/>
                    </w:rPr>
                  </w:pPr>
                  <w:r>
                    <w:rPr>
                      <w:kern w:val="0"/>
                      <w:szCs w:val="21"/>
                    </w:rPr>
                    <w:t>铁、矿物油</w:t>
                  </w:r>
                </w:p>
              </w:tc>
              <w:tc>
                <w:tcPr>
                  <w:tcW w:w="318" w:type="pct"/>
                  <w:tcBorders>
                    <w:tl2br w:val="nil"/>
                    <w:tr2bl w:val="nil"/>
                  </w:tcBorders>
                  <w:vAlign w:val="center"/>
                </w:tcPr>
                <w:p>
                  <w:pPr>
                    <w:topLinePunct/>
                    <w:adjustRightInd w:val="0"/>
                    <w:snapToGrid w:val="0"/>
                    <w:jc w:val="center"/>
                    <w:rPr>
                      <w:bCs/>
                      <w:szCs w:val="21"/>
                    </w:rPr>
                  </w:pPr>
                  <w:r>
                    <w:rPr>
                      <w:kern w:val="0"/>
                      <w:szCs w:val="21"/>
                    </w:rPr>
                    <w:t>矿物油</w:t>
                  </w:r>
                </w:p>
              </w:tc>
              <w:tc>
                <w:tcPr>
                  <w:tcW w:w="313" w:type="pct"/>
                  <w:vMerge w:val="continue"/>
                  <w:tcBorders>
                    <w:tl2br w:val="nil"/>
                    <w:tr2bl w:val="nil"/>
                  </w:tcBorders>
                  <w:vAlign w:val="center"/>
                </w:tcPr>
                <w:p>
                  <w:pPr>
                    <w:topLinePunct/>
                    <w:adjustRightInd w:val="0"/>
                    <w:snapToGrid w:val="0"/>
                    <w:jc w:val="center"/>
                    <w:rPr>
                      <w:bCs/>
                      <w:szCs w:val="21"/>
                    </w:rPr>
                  </w:pPr>
                </w:p>
              </w:tc>
              <w:tc>
                <w:tcPr>
                  <w:tcW w:w="338" w:type="pct"/>
                  <w:tcBorders>
                    <w:tl2br w:val="nil"/>
                    <w:tr2bl w:val="nil"/>
                  </w:tcBorders>
                  <w:vAlign w:val="center"/>
                </w:tcPr>
                <w:p>
                  <w:pPr>
                    <w:pStyle w:val="400"/>
                    <w:jc w:val="center"/>
                    <w:rPr>
                      <w:bCs/>
                      <w:szCs w:val="21"/>
                    </w:rPr>
                  </w:pPr>
                  <w:r>
                    <w:rPr>
                      <w:rFonts w:hint="eastAsia"/>
                      <w:bCs/>
                      <w:szCs w:val="21"/>
                    </w:rPr>
                    <w:t>T</w:t>
                  </w:r>
                </w:p>
              </w:tc>
              <w:tc>
                <w:tcPr>
                  <w:tcW w:w="657" w:type="pct"/>
                  <w:vMerge w:val="continue"/>
                  <w:tcBorders>
                    <w:tl2br w:val="nil"/>
                    <w:tr2bl w:val="nil"/>
                  </w:tcBorders>
                  <w:vAlign w:val="center"/>
                </w:tcPr>
                <w:p>
                  <w:pPr>
                    <w:pStyle w:val="40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0"/>
                    <w:jc w:val="center"/>
                    <w:rPr>
                      <w:bCs/>
                      <w:szCs w:val="21"/>
                    </w:rPr>
                  </w:pPr>
                  <w:r>
                    <w:rPr>
                      <w:rFonts w:hint="eastAsia"/>
                      <w:bCs/>
                      <w:szCs w:val="21"/>
                    </w:rPr>
                    <w:t>3</w:t>
                  </w:r>
                </w:p>
              </w:tc>
              <w:tc>
                <w:tcPr>
                  <w:tcW w:w="607" w:type="pct"/>
                  <w:tcBorders>
                    <w:tl2br w:val="nil"/>
                    <w:tr2bl w:val="nil"/>
                  </w:tcBorders>
                  <w:vAlign w:val="center"/>
                </w:tcPr>
                <w:p>
                  <w:pPr>
                    <w:topLinePunct/>
                    <w:adjustRightInd w:val="0"/>
                    <w:snapToGrid w:val="0"/>
                    <w:jc w:val="center"/>
                    <w:rPr>
                      <w:kern w:val="0"/>
                      <w:szCs w:val="21"/>
                    </w:rPr>
                  </w:pPr>
                  <w:r>
                    <w:rPr>
                      <w:kern w:val="0"/>
                      <w:szCs w:val="21"/>
                    </w:rPr>
                    <w:t>废棉纱/手套</w:t>
                  </w:r>
                </w:p>
              </w:tc>
              <w:tc>
                <w:tcPr>
                  <w:tcW w:w="333" w:type="pct"/>
                  <w:tcBorders>
                    <w:tl2br w:val="nil"/>
                    <w:tr2bl w:val="nil"/>
                  </w:tcBorders>
                  <w:vAlign w:val="center"/>
                </w:tcPr>
                <w:p>
                  <w:pPr>
                    <w:topLinePunct/>
                    <w:adjustRightInd w:val="0"/>
                    <w:snapToGrid w:val="0"/>
                    <w:jc w:val="center"/>
                    <w:rPr>
                      <w:bCs/>
                      <w:szCs w:val="21"/>
                    </w:rPr>
                  </w:pPr>
                  <w:r>
                    <w:rPr>
                      <w:szCs w:val="21"/>
                    </w:rPr>
                    <w:t>HW49</w:t>
                  </w:r>
                </w:p>
              </w:tc>
              <w:tc>
                <w:tcPr>
                  <w:tcW w:w="395" w:type="pct"/>
                  <w:tcBorders>
                    <w:tl2br w:val="nil"/>
                    <w:tr2bl w:val="nil"/>
                  </w:tcBorders>
                  <w:vAlign w:val="center"/>
                </w:tcPr>
                <w:p>
                  <w:pPr>
                    <w:topLinePunct/>
                    <w:adjustRightInd w:val="0"/>
                    <w:snapToGrid w:val="0"/>
                    <w:jc w:val="center"/>
                    <w:rPr>
                      <w:bCs/>
                      <w:szCs w:val="21"/>
                    </w:rPr>
                  </w:pPr>
                  <w:r>
                    <w:rPr>
                      <w:szCs w:val="21"/>
                    </w:rPr>
                    <w:t>900-041-49</w:t>
                  </w:r>
                </w:p>
              </w:tc>
              <w:tc>
                <w:tcPr>
                  <w:tcW w:w="401" w:type="pct"/>
                  <w:tcBorders>
                    <w:tl2br w:val="nil"/>
                    <w:tr2bl w:val="nil"/>
                  </w:tcBorders>
                  <w:vAlign w:val="center"/>
                </w:tcPr>
                <w:p>
                  <w:pPr>
                    <w:pStyle w:val="400"/>
                    <w:jc w:val="center"/>
                    <w:rPr>
                      <w:bCs/>
                      <w:szCs w:val="21"/>
                    </w:rPr>
                  </w:pPr>
                  <w:r>
                    <w:rPr>
                      <w:rFonts w:hint="eastAsia"/>
                      <w:bCs/>
                      <w:szCs w:val="21"/>
                    </w:rPr>
                    <w:t>危险废物</w:t>
                  </w:r>
                </w:p>
              </w:tc>
              <w:tc>
                <w:tcPr>
                  <w:tcW w:w="396" w:type="pct"/>
                  <w:tcBorders>
                    <w:tl2br w:val="nil"/>
                    <w:tr2bl w:val="nil"/>
                  </w:tcBorders>
                  <w:vAlign w:val="center"/>
                </w:tcPr>
                <w:p>
                  <w:pPr>
                    <w:topLinePunct/>
                    <w:adjustRightInd w:val="0"/>
                    <w:snapToGrid w:val="0"/>
                    <w:jc w:val="center"/>
                    <w:rPr>
                      <w:bCs/>
                      <w:szCs w:val="21"/>
                    </w:rPr>
                  </w:pPr>
                  <w:r>
                    <w:rPr>
                      <w:kern w:val="0"/>
                      <w:szCs w:val="21"/>
                    </w:rPr>
                    <w:t>0.1</w:t>
                  </w:r>
                </w:p>
              </w:tc>
              <w:tc>
                <w:tcPr>
                  <w:tcW w:w="396" w:type="pct"/>
                  <w:tcBorders>
                    <w:tl2br w:val="nil"/>
                    <w:tr2bl w:val="nil"/>
                  </w:tcBorders>
                  <w:vAlign w:val="center"/>
                </w:tcPr>
                <w:p>
                  <w:pPr>
                    <w:topLinePunct/>
                    <w:adjustRightInd w:val="0"/>
                    <w:snapToGrid w:val="0"/>
                    <w:jc w:val="center"/>
                    <w:rPr>
                      <w:bCs/>
                      <w:szCs w:val="21"/>
                    </w:rPr>
                  </w:pPr>
                  <w:r>
                    <w:rPr>
                      <w:kern w:val="0"/>
                      <w:szCs w:val="21"/>
                    </w:rPr>
                    <w:t>设备维护</w:t>
                  </w:r>
                </w:p>
              </w:tc>
              <w:tc>
                <w:tcPr>
                  <w:tcW w:w="249" w:type="pct"/>
                  <w:tcBorders>
                    <w:tl2br w:val="nil"/>
                    <w:tr2bl w:val="nil"/>
                  </w:tcBorders>
                  <w:vAlign w:val="center"/>
                </w:tcPr>
                <w:p>
                  <w:pPr>
                    <w:topLinePunct/>
                    <w:adjustRightInd w:val="0"/>
                    <w:snapToGrid w:val="0"/>
                    <w:jc w:val="center"/>
                    <w:rPr>
                      <w:bCs/>
                      <w:szCs w:val="21"/>
                    </w:rPr>
                  </w:pPr>
                  <w:r>
                    <w:rPr>
                      <w:kern w:val="0"/>
                      <w:szCs w:val="21"/>
                    </w:rPr>
                    <w:t>固态</w:t>
                  </w:r>
                </w:p>
              </w:tc>
              <w:tc>
                <w:tcPr>
                  <w:tcW w:w="400" w:type="pct"/>
                  <w:tcBorders>
                    <w:tl2br w:val="nil"/>
                    <w:tr2bl w:val="nil"/>
                  </w:tcBorders>
                  <w:vAlign w:val="center"/>
                </w:tcPr>
                <w:p>
                  <w:pPr>
                    <w:topLinePunct/>
                    <w:adjustRightInd w:val="0"/>
                    <w:snapToGrid w:val="0"/>
                    <w:jc w:val="center"/>
                    <w:rPr>
                      <w:bCs/>
                      <w:szCs w:val="21"/>
                    </w:rPr>
                  </w:pPr>
                  <w:r>
                    <w:rPr>
                      <w:kern w:val="0"/>
                      <w:szCs w:val="21"/>
                    </w:rPr>
                    <w:t>棉纱、矿物油</w:t>
                  </w:r>
                </w:p>
              </w:tc>
              <w:tc>
                <w:tcPr>
                  <w:tcW w:w="318" w:type="pct"/>
                  <w:tcBorders>
                    <w:tl2br w:val="nil"/>
                    <w:tr2bl w:val="nil"/>
                  </w:tcBorders>
                  <w:vAlign w:val="center"/>
                </w:tcPr>
                <w:p>
                  <w:pPr>
                    <w:topLinePunct/>
                    <w:adjustRightInd w:val="0"/>
                    <w:snapToGrid w:val="0"/>
                    <w:jc w:val="center"/>
                    <w:rPr>
                      <w:bCs/>
                      <w:szCs w:val="21"/>
                    </w:rPr>
                  </w:pPr>
                  <w:r>
                    <w:rPr>
                      <w:kern w:val="0"/>
                      <w:szCs w:val="21"/>
                    </w:rPr>
                    <w:t>矿物油</w:t>
                  </w:r>
                </w:p>
              </w:tc>
              <w:tc>
                <w:tcPr>
                  <w:tcW w:w="313" w:type="pct"/>
                  <w:vMerge w:val="continue"/>
                  <w:tcBorders>
                    <w:tl2br w:val="nil"/>
                    <w:tr2bl w:val="nil"/>
                  </w:tcBorders>
                  <w:vAlign w:val="center"/>
                </w:tcPr>
                <w:p>
                  <w:pPr>
                    <w:topLinePunct/>
                    <w:adjustRightInd w:val="0"/>
                    <w:snapToGrid w:val="0"/>
                    <w:jc w:val="center"/>
                    <w:rPr>
                      <w:bCs/>
                      <w:szCs w:val="21"/>
                    </w:rPr>
                  </w:pPr>
                </w:p>
              </w:tc>
              <w:tc>
                <w:tcPr>
                  <w:tcW w:w="338" w:type="pct"/>
                  <w:tcBorders>
                    <w:tl2br w:val="nil"/>
                    <w:tr2bl w:val="nil"/>
                  </w:tcBorders>
                  <w:vAlign w:val="center"/>
                </w:tcPr>
                <w:p>
                  <w:pPr>
                    <w:pStyle w:val="400"/>
                    <w:jc w:val="center"/>
                    <w:rPr>
                      <w:bCs/>
                      <w:szCs w:val="21"/>
                    </w:rPr>
                  </w:pPr>
                  <w:r>
                    <w:rPr>
                      <w:rFonts w:hint="eastAsia"/>
                      <w:bCs/>
                      <w:szCs w:val="21"/>
                    </w:rPr>
                    <w:t>T/I</w:t>
                  </w:r>
                </w:p>
              </w:tc>
              <w:tc>
                <w:tcPr>
                  <w:tcW w:w="657" w:type="pct"/>
                  <w:vMerge w:val="continue"/>
                  <w:tcBorders>
                    <w:tl2br w:val="nil"/>
                    <w:tr2bl w:val="nil"/>
                  </w:tcBorders>
                  <w:vAlign w:val="center"/>
                </w:tcPr>
                <w:p>
                  <w:pPr>
                    <w:pStyle w:val="400"/>
                    <w:jc w:val="center"/>
                    <w:rPr>
                      <w:bCs/>
                      <w:szCs w:val="21"/>
                    </w:rPr>
                  </w:pPr>
                </w:p>
              </w:tc>
            </w:tr>
          </w:tbl>
          <w:p>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bCs/>
                <w:sz w:val="24"/>
              </w:rPr>
              <w:t>④</w:t>
            </w:r>
            <w:r>
              <w:rPr>
                <w:bCs/>
                <w:sz w:val="24"/>
              </w:rPr>
              <w:fldChar w:fldCharType="end"/>
            </w:r>
            <w:r>
              <w:rPr>
                <w:bCs/>
                <w:sz w:val="24"/>
              </w:rPr>
              <w:t>废包装材料</w:t>
            </w:r>
          </w:p>
          <w:p>
            <w:pPr>
              <w:adjustRightInd w:val="0"/>
              <w:snapToGrid w:val="0"/>
              <w:spacing w:line="360" w:lineRule="auto"/>
              <w:ind w:firstLine="480" w:firstLineChars="200"/>
              <w:rPr>
                <w:bCs/>
                <w:sz w:val="24"/>
              </w:rPr>
            </w:pPr>
            <w:r>
              <w:rPr>
                <w:rFonts w:hint="eastAsia"/>
                <w:bCs/>
                <w:sz w:val="24"/>
              </w:rPr>
              <w:t>储层改造期间</w:t>
            </w:r>
            <w:r>
              <w:rPr>
                <w:bCs/>
                <w:sz w:val="24"/>
              </w:rPr>
              <w:t>产生的废包装材料主要为各原辅材料的包装袋/箱，为一般废物，其产生量约0.3t，集中收集后定期运至就近的废品回收站进行处理。</w:t>
            </w:r>
          </w:p>
          <w:p>
            <w:pPr>
              <w:adjustRightInd w:val="0"/>
              <w:snapToGrid w:val="0"/>
              <w:spacing w:line="360" w:lineRule="auto"/>
              <w:ind w:firstLine="480" w:firstLineChars="200"/>
              <w:rPr>
                <w:bCs/>
                <w:sz w:val="24"/>
              </w:rPr>
            </w:pPr>
            <w:r>
              <w:rPr>
                <w:bCs/>
                <w:sz w:val="24"/>
              </w:rPr>
              <w:fldChar w:fldCharType="begin"/>
            </w:r>
            <w:r>
              <w:rPr>
                <w:bCs/>
                <w:sz w:val="24"/>
              </w:rPr>
              <w:instrText xml:space="preserve"> = 5 \* GB3 </w:instrText>
            </w:r>
            <w:r>
              <w:rPr>
                <w:bCs/>
                <w:sz w:val="24"/>
              </w:rPr>
              <w:fldChar w:fldCharType="separate"/>
            </w:r>
            <w:r>
              <w:rPr>
                <w:bCs/>
                <w:sz w:val="24"/>
              </w:rPr>
              <w:t>⑤</w:t>
            </w:r>
            <w:r>
              <w:rPr>
                <w:bCs/>
                <w:sz w:val="24"/>
              </w:rPr>
              <w:fldChar w:fldCharType="end"/>
            </w:r>
            <w:r>
              <w:rPr>
                <w:bCs/>
                <w:sz w:val="24"/>
              </w:rPr>
              <w:t>生活垃圾</w:t>
            </w:r>
          </w:p>
          <w:p>
            <w:pPr>
              <w:adjustRightInd w:val="0"/>
              <w:snapToGrid w:val="0"/>
              <w:spacing w:line="360" w:lineRule="auto"/>
              <w:ind w:firstLine="480" w:firstLineChars="200"/>
              <w:rPr>
                <w:bCs/>
                <w:sz w:val="24"/>
              </w:rPr>
            </w:pPr>
            <w:r>
              <w:rPr>
                <w:bCs/>
                <w:sz w:val="24"/>
              </w:rPr>
              <w:t>完井测试员工约40人，生活垃圾产生量按每人每天产生0.5kg计算，完井测试时长约</w:t>
            </w:r>
            <w:r>
              <w:rPr>
                <w:rFonts w:hint="eastAsia"/>
                <w:bCs/>
                <w:sz w:val="24"/>
              </w:rPr>
              <w:t>45</w:t>
            </w:r>
            <w:r>
              <w:rPr>
                <w:bCs/>
                <w:sz w:val="24"/>
              </w:rPr>
              <w:t>天，则生活垃圾产生量为0.</w:t>
            </w:r>
            <w:r>
              <w:rPr>
                <w:rFonts w:hint="eastAsia"/>
                <w:bCs/>
                <w:sz w:val="24"/>
              </w:rPr>
              <w:t>9</w:t>
            </w:r>
            <w:r>
              <w:rPr>
                <w:bCs/>
                <w:sz w:val="24"/>
              </w:rPr>
              <w:t>t。</w:t>
            </w:r>
          </w:p>
          <w:p>
            <w:pPr>
              <w:adjustRightInd w:val="0"/>
              <w:snapToGrid w:val="0"/>
              <w:spacing w:line="360" w:lineRule="auto"/>
              <w:ind w:firstLine="480" w:firstLineChars="200"/>
              <w:rPr>
                <w:bCs/>
                <w:sz w:val="24"/>
              </w:rPr>
            </w:pPr>
            <w:r>
              <w:rPr>
                <w:bCs/>
                <w:sz w:val="24"/>
              </w:rPr>
              <w:t>本工程完井测试固废产生量见下表。</w:t>
            </w:r>
          </w:p>
          <w:p>
            <w:pPr>
              <w:adjustRightInd w:val="0"/>
              <w:snapToGrid w:val="0"/>
              <w:spacing w:line="360" w:lineRule="auto"/>
              <w:jc w:val="center"/>
              <w:rPr>
                <w:b/>
                <w:bCs/>
                <w:sz w:val="24"/>
              </w:rPr>
            </w:pPr>
            <w:r>
              <w:rPr>
                <w:b/>
                <w:bCs/>
                <w:sz w:val="24"/>
              </w:rPr>
              <w:t>表4-</w:t>
            </w:r>
            <w:r>
              <w:rPr>
                <w:rFonts w:hint="eastAsia"/>
                <w:b/>
                <w:bCs/>
                <w:sz w:val="24"/>
                <w:lang w:val="en-US" w:eastAsia="zh-CN"/>
              </w:rPr>
              <w:t>18</w:t>
            </w:r>
            <w:r>
              <w:rPr>
                <w:b/>
                <w:bCs/>
                <w:sz w:val="24"/>
              </w:rPr>
              <w:t xml:space="preserve">  本工程完井阶段固体废物统计表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963"/>
              <w:gridCol w:w="1377"/>
              <w:gridCol w:w="164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pStyle w:val="26"/>
                    <w:spacing w:line="240" w:lineRule="auto"/>
                    <w:jc w:val="center"/>
                    <w:rPr>
                      <w:b/>
                      <w:sz w:val="21"/>
                      <w:szCs w:val="21"/>
                    </w:rPr>
                  </w:pPr>
                  <w:r>
                    <w:rPr>
                      <w:b/>
                      <w:sz w:val="21"/>
                      <w:szCs w:val="21"/>
                    </w:rPr>
                    <w:t>固废类型</w:t>
                  </w:r>
                </w:p>
              </w:tc>
              <w:tc>
                <w:tcPr>
                  <w:tcW w:w="593" w:type="pct"/>
                  <w:tcBorders>
                    <w:tl2br w:val="nil"/>
                    <w:tr2bl w:val="nil"/>
                  </w:tcBorders>
                  <w:vAlign w:val="center"/>
                </w:tcPr>
                <w:p>
                  <w:pPr>
                    <w:pStyle w:val="26"/>
                    <w:spacing w:line="240" w:lineRule="auto"/>
                    <w:jc w:val="center"/>
                    <w:rPr>
                      <w:b/>
                      <w:sz w:val="21"/>
                      <w:szCs w:val="21"/>
                    </w:rPr>
                  </w:pPr>
                  <w:r>
                    <w:rPr>
                      <w:b/>
                      <w:sz w:val="21"/>
                      <w:szCs w:val="21"/>
                    </w:rPr>
                    <w:t>产生量t</w:t>
                  </w:r>
                </w:p>
              </w:tc>
              <w:tc>
                <w:tcPr>
                  <w:tcW w:w="848" w:type="pct"/>
                  <w:tcBorders>
                    <w:tl2br w:val="nil"/>
                    <w:tr2bl w:val="nil"/>
                  </w:tcBorders>
                  <w:vAlign w:val="center"/>
                </w:tcPr>
                <w:p>
                  <w:pPr>
                    <w:pStyle w:val="26"/>
                    <w:spacing w:line="240" w:lineRule="auto"/>
                    <w:jc w:val="center"/>
                    <w:rPr>
                      <w:b/>
                      <w:sz w:val="21"/>
                      <w:szCs w:val="21"/>
                    </w:rPr>
                  </w:pPr>
                  <w:r>
                    <w:rPr>
                      <w:b/>
                      <w:sz w:val="21"/>
                      <w:szCs w:val="21"/>
                    </w:rPr>
                    <w:t>固废性质</w:t>
                  </w:r>
                </w:p>
              </w:tc>
              <w:tc>
                <w:tcPr>
                  <w:tcW w:w="1016" w:type="pct"/>
                  <w:tcBorders>
                    <w:tl2br w:val="nil"/>
                    <w:tr2bl w:val="nil"/>
                  </w:tcBorders>
                  <w:vAlign w:val="center"/>
                </w:tcPr>
                <w:p>
                  <w:pPr>
                    <w:pStyle w:val="26"/>
                    <w:spacing w:line="240" w:lineRule="auto"/>
                    <w:jc w:val="center"/>
                    <w:rPr>
                      <w:b/>
                      <w:sz w:val="21"/>
                      <w:szCs w:val="21"/>
                    </w:rPr>
                  </w:pPr>
                  <w:r>
                    <w:rPr>
                      <w:b/>
                      <w:sz w:val="21"/>
                      <w:szCs w:val="21"/>
                    </w:rPr>
                    <w:t>代码</w:t>
                  </w:r>
                </w:p>
              </w:tc>
              <w:tc>
                <w:tcPr>
                  <w:tcW w:w="1702" w:type="pct"/>
                  <w:tcBorders>
                    <w:tl2br w:val="nil"/>
                    <w:tr2bl w:val="nil"/>
                  </w:tcBorders>
                  <w:vAlign w:val="center"/>
                </w:tcPr>
                <w:p>
                  <w:pPr>
                    <w:pStyle w:val="26"/>
                    <w:spacing w:line="240" w:lineRule="auto"/>
                    <w:jc w:val="center"/>
                    <w:rPr>
                      <w:b/>
                      <w:sz w:val="21"/>
                      <w:szCs w:val="21"/>
                    </w:rPr>
                  </w:pPr>
                  <w:r>
                    <w:rPr>
                      <w:b/>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pStyle w:val="26"/>
                    <w:spacing w:line="240" w:lineRule="auto"/>
                    <w:jc w:val="center"/>
                    <w:rPr>
                      <w:sz w:val="21"/>
                      <w:szCs w:val="21"/>
                    </w:rPr>
                  </w:pPr>
                  <w:r>
                    <w:rPr>
                      <w:sz w:val="21"/>
                      <w:szCs w:val="21"/>
                    </w:rPr>
                    <w:t>废油</w:t>
                  </w:r>
                </w:p>
              </w:tc>
              <w:tc>
                <w:tcPr>
                  <w:tcW w:w="593" w:type="pct"/>
                  <w:tcBorders>
                    <w:tl2br w:val="nil"/>
                    <w:tr2bl w:val="nil"/>
                  </w:tcBorders>
                  <w:vAlign w:val="center"/>
                </w:tcPr>
                <w:p>
                  <w:pPr>
                    <w:pStyle w:val="26"/>
                    <w:spacing w:line="240" w:lineRule="auto"/>
                    <w:jc w:val="center"/>
                    <w:rPr>
                      <w:sz w:val="21"/>
                      <w:szCs w:val="21"/>
                    </w:rPr>
                  </w:pPr>
                  <w:r>
                    <w:rPr>
                      <w:sz w:val="21"/>
                      <w:szCs w:val="21"/>
                    </w:rPr>
                    <w:t>0.03</w:t>
                  </w:r>
                </w:p>
              </w:tc>
              <w:tc>
                <w:tcPr>
                  <w:tcW w:w="848" w:type="pct"/>
                  <w:vMerge w:val="restart"/>
                  <w:tcBorders>
                    <w:tl2br w:val="nil"/>
                    <w:tr2bl w:val="nil"/>
                  </w:tcBorders>
                  <w:vAlign w:val="center"/>
                </w:tcPr>
                <w:p>
                  <w:pPr>
                    <w:widowControl/>
                    <w:jc w:val="center"/>
                    <w:rPr>
                      <w:szCs w:val="21"/>
                    </w:rPr>
                  </w:pPr>
                  <w:r>
                    <w:rPr>
                      <w:szCs w:val="21"/>
                    </w:rPr>
                    <w:t>危险废物</w:t>
                  </w:r>
                </w:p>
              </w:tc>
              <w:tc>
                <w:tcPr>
                  <w:tcW w:w="1016" w:type="pct"/>
                  <w:tcBorders>
                    <w:tl2br w:val="nil"/>
                    <w:tr2bl w:val="nil"/>
                  </w:tcBorders>
                  <w:vAlign w:val="center"/>
                </w:tcPr>
                <w:p>
                  <w:pPr>
                    <w:topLinePunct/>
                    <w:adjustRightInd w:val="0"/>
                    <w:snapToGrid w:val="0"/>
                    <w:jc w:val="center"/>
                    <w:rPr>
                      <w:spacing w:val="-10"/>
                      <w:szCs w:val="21"/>
                    </w:rPr>
                  </w:pPr>
                  <w:r>
                    <w:rPr>
                      <w:spacing w:val="-10"/>
                      <w:szCs w:val="21"/>
                    </w:rPr>
                    <w:t>HW08：900-217-08</w:t>
                  </w:r>
                </w:p>
              </w:tc>
              <w:tc>
                <w:tcPr>
                  <w:tcW w:w="1702" w:type="pct"/>
                  <w:tcBorders>
                    <w:tl2br w:val="nil"/>
                    <w:tr2bl w:val="nil"/>
                  </w:tcBorders>
                  <w:vAlign w:val="center"/>
                </w:tcPr>
                <w:p>
                  <w:pPr>
                    <w:pStyle w:val="26"/>
                    <w:spacing w:line="240" w:lineRule="auto"/>
                    <w:jc w:val="center"/>
                    <w:rPr>
                      <w:sz w:val="21"/>
                      <w:szCs w:val="21"/>
                    </w:rPr>
                  </w:pPr>
                  <w:r>
                    <w:rPr>
                      <w:sz w:val="21"/>
                      <w:szCs w:val="21"/>
                    </w:rPr>
                    <w:t>废油桶收集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topLinePunct/>
                    <w:adjustRightInd w:val="0"/>
                    <w:snapToGrid w:val="0"/>
                    <w:jc w:val="center"/>
                    <w:rPr>
                      <w:spacing w:val="-10"/>
                      <w:kern w:val="0"/>
                      <w:szCs w:val="21"/>
                    </w:rPr>
                  </w:pPr>
                  <w:r>
                    <w:rPr>
                      <w:spacing w:val="-10"/>
                      <w:kern w:val="0"/>
                      <w:szCs w:val="21"/>
                    </w:rPr>
                    <w:t>废油桶</w:t>
                  </w:r>
                </w:p>
              </w:tc>
              <w:tc>
                <w:tcPr>
                  <w:tcW w:w="593" w:type="pct"/>
                  <w:tcBorders>
                    <w:tl2br w:val="nil"/>
                    <w:tr2bl w:val="nil"/>
                  </w:tcBorders>
                  <w:vAlign w:val="center"/>
                </w:tcPr>
                <w:p>
                  <w:pPr>
                    <w:topLinePunct/>
                    <w:adjustRightInd w:val="0"/>
                    <w:snapToGrid w:val="0"/>
                    <w:jc w:val="center"/>
                    <w:rPr>
                      <w:spacing w:val="-10"/>
                      <w:kern w:val="0"/>
                      <w:szCs w:val="21"/>
                    </w:rPr>
                  </w:pPr>
                  <w:r>
                    <w:rPr>
                      <w:spacing w:val="-10"/>
                      <w:kern w:val="0"/>
                      <w:szCs w:val="21"/>
                    </w:rPr>
                    <w:t>0.06</w:t>
                  </w:r>
                </w:p>
              </w:tc>
              <w:tc>
                <w:tcPr>
                  <w:tcW w:w="848" w:type="pct"/>
                  <w:vMerge w:val="continue"/>
                  <w:tcBorders>
                    <w:tl2br w:val="nil"/>
                    <w:tr2bl w:val="nil"/>
                  </w:tcBorders>
                  <w:vAlign w:val="center"/>
                </w:tcPr>
                <w:p>
                  <w:pPr>
                    <w:widowControl/>
                    <w:jc w:val="center"/>
                    <w:rPr>
                      <w:szCs w:val="21"/>
                    </w:rPr>
                  </w:pPr>
                </w:p>
              </w:tc>
              <w:tc>
                <w:tcPr>
                  <w:tcW w:w="1016" w:type="pct"/>
                  <w:tcBorders>
                    <w:tl2br w:val="nil"/>
                    <w:tr2bl w:val="nil"/>
                  </w:tcBorders>
                  <w:vAlign w:val="center"/>
                </w:tcPr>
                <w:p>
                  <w:pPr>
                    <w:topLinePunct/>
                    <w:adjustRightInd w:val="0"/>
                    <w:snapToGrid w:val="0"/>
                    <w:jc w:val="center"/>
                    <w:rPr>
                      <w:spacing w:val="-10"/>
                      <w:szCs w:val="21"/>
                    </w:rPr>
                  </w:pPr>
                  <w:r>
                    <w:rPr>
                      <w:spacing w:val="-10"/>
                      <w:szCs w:val="21"/>
                    </w:rPr>
                    <w:t>HW08：900-249-08</w:t>
                  </w:r>
                </w:p>
              </w:tc>
              <w:tc>
                <w:tcPr>
                  <w:tcW w:w="1702" w:type="pct"/>
                  <w:vMerge w:val="restart"/>
                  <w:tcBorders>
                    <w:tl2br w:val="nil"/>
                    <w:tr2bl w:val="nil"/>
                  </w:tcBorders>
                  <w:vAlign w:val="center"/>
                </w:tcPr>
                <w:p>
                  <w:pPr>
                    <w:pStyle w:val="26"/>
                    <w:spacing w:line="240" w:lineRule="auto"/>
                    <w:jc w:val="center"/>
                    <w:rPr>
                      <w:sz w:val="21"/>
                      <w:szCs w:val="21"/>
                    </w:rPr>
                  </w:pPr>
                  <w:r>
                    <w:rPr>
                      <w:sz w:val="21"/>
                      <w:szCs w:val="21"/>
                    </w:rPr>
                    <w:t>废油桶收集暂存于</w:t>
                  </w:r>
                  <w:r>
                    <w:rPr>
                      <w:rFonts w:hint="eastAsia"/>
                      <w:sz w:val="21"/>
                      <w:szCs w:val="21"/>
                    </w:rPr>
                    <w:t>危险废物贮存点</w:t>
                  </w:r>
                  <w:r>
                    <w:rPr>
                      <w:sz w:val="21"/>
                      <w:szCs w:val="21"/>
                    </w:rPr>
                    <w:t>，拟及时交由</w:t>
                  </w:r>
                  <w:r>
                    <w:rPr>
                      <w:rFonts w:hint="eastAsia"/>
                      <w:sz w:val="21"/>
                      <w:szCs w:val="21"/>
                    </w:rPr>
                    <w:t>有资质单位</w:t>
                  </w:r>
                  <w:r>
                    <w:rPr>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topLinePunct/>
                    <w:adjustRightInd w:val="0"/>
                    <w:snapToGrid w:val="0"/>
                    <w:jc w:val="center"/>
                    <w:rPr>
                      <w:spacing w:val="-10"/>
                      <w:kern w:val="0"/>
                      <w:szCs w:val="21"/>
                    </w:rPr>
                  </w:pPr>
                  <w:r>
                    <w:rPr>
                      <w:spacing w:val="-10"/>
                      <w:kern w:val="0"/>
                      <w:szCs w:val="21"/>
                    </w:rPr>
                    <w:t>废棉纱/手套</w:t>
                  </w:r>
                </w:p>
              </w:tc>
              <w:tc>
                <w:tcPr>
                  <w:tcW w:w="593" w:type="pct"/>
                  <w:tcBorders>
                    <w:tl2br w:val="nil"/>
                    <w:tr2bl w:val="nil"/>
                  </w:tcBorders>
                  <w:vAlign w:val="center"/>
                </w:tcPr>
                <w:p>
                  <w:pPr>
                    <w:topLinePunct/>
                    <w:adjustRightInd w:val="0"/>
                    <w:snapToGrid w:val="0"/>
                    <w:jc w:val="center"/>
                    <w:rPr>
                      <w:spacing w:val="-10"/>
                      <w:kern w:val="0"/>
                      <w:szCs w:val="21"/>
                    </w:rPr>
                  </w:pPr>
                  <w:r>
                    <w:rPr>
                      <w:spacing w:val="-10"/>
                      <w:kern w:val="0"/>
                      <w:szCs w:val="21"/>
                    </w:rPr>
                    <w:t>0.2</w:t>
                  </w:r>
                </w:p>
              </w:tc>
              <w:tc>
                <w:tcPr>
                  <w:tcW w:w="848" w:type="pct"/>
                  <w:vMerge w:val="continue"/>
                  <w:tcBorders>
                    <w:tl2br w:val="nil"/>
                    <w:tr2bl w:val="nil"/>
                  </w:tcBorders>
                  <w:vAlign w:val="center"/>
                </w:tcPr>
                <w:p>
                  <w:pPr>
                    <w:widowControl/>
                    <w:jc w:val="center"/>
                    <w:rPr>
                      <w:szCs w:val="21"/>
                    </w:rPr>
                  </w:pPr>
                </w:p>
              </w:tc>
              <w:tc>
                <w:tcPr>
                  <w:tcW w:w="1016" w:type="pct"/>
                  <w:tcBorders>
                    <w:tl2br w:val="nil"/>
                    <w:tr2bl w:val="nil"/>
                  </w:tcBorders>
                  <w:vAlign w:val="center"/>
                </w:tcPr>
                <w:p>
                  <w:pPr>
                    <w:topLinePunct/>
                    <w:adjustRightInd w:val="0"/>
                    <w:snapToGrid w:val="0"/>
                    <w:jc w:val="center"/>
                    <w:rPr>
                      <w:spacing w:val="-10"/>
                      <w:szCs w:val="21"/>
                    </w:rPr>
                  </w:pPr>
                  <w:r>
                    <w:rPr>
                      <w:spacing w:val="-10"/>
                      <w:szCs w:val="21"/>
                    </w:rPr>
                    <w:t>HW49：900-041-49</w:t>
                  </w:r>
                </w:p>
              </w:tc>
              <w:tc>
                <w:tcPr>
                  <w:tcW w:w="1702" w:type="pct"/>
                  <w:vMerge w:val="continue"/>
                  <w:tcBorders>
                    <w:tl2br w:val="nil"/>
                    <w:tr2bl w:val="nil"/>
                  </w:tcBorders>
                  <w:vAlign w:val="center"/>
                </w:tcPr>
                <w:p>
                  <w:pPr>
                    <w:pStyle w:val="26"/>
                    <w:spacing w:line="240"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pStyle w:val="26"/>
                    <w:spacing w:line="240" w:lineRule="auto"/>
                    <w:jc w:val="center"/>
                    <w:rPr>
                      <w:sz w:val="21"/>
                      <w:szCs w:val="21"/>
                    </w:rPr>
                  </w:pPr>
                  <w:r>
                    <w:rPr>
                      <w:sz w:val="21"/>
                      <w:szCs w:val="21"/>
                    </w:rPr>
                    <w:t>废包装材料</w:t>
                  </w:r>
                </w:p>
              </w:tc>
              <w:tc>
                <w:tcPr>
                  <w:tcW w:w="593" w:type="pct"/>
                  <w:tcBorders>
                    <w:tl2br w:val="nil"/>
                    <w:tr2bl w:val="nil"/>
                  </w:tcBorders>
                  <w:vAlign w:val="center"/>
                </w:tcPr>
                <w:p>
                  <w:pPr>
                    <w:pStyle w:val="26"/>
                    <w:spacing w:line="240" w:lineRule="auto"/>
                    <w:jc w:val="center"/>
                    <w:rPr>
                      <w:sz w:val="21"/>
                      <w:szCs w:val="21"/>
                    </w:rPr>
                  </w:pPr>
                  <w:r>
                    <w:rPr>
                      <w:sz w:val="21"/>
                      <w:szCs w:val="21"/>
                    </w:rPr>
                    <w:t>0.3</w:t>
                  </w:r>
                </w:p>
              </w:tc>
              <w:tc>
                <w:tcPr>
                  <w:tcW w:w="848" w:type="pct"/>
                  <w:tcBorders>
                    <w:tl2br w:val="nil"/>
                    <w:tr2bl w:val="nil"/>
                  </w:tcBorders>
                  <w:vAlign w:val="center"/>
                </w:tcPr>
                <w:p>
                  <w:pPr>
                    <w:pStyle w:val="26"/>
                    <w:spacing w:line="240" w:lineRule="auto"/>
                    <w:jc w:val="center"/>
                    <w:rPr>
                      <w:sz w:val="21"/>
                      <w:szCs w:val="21"/>
                    </w:rPr>
                  </w:pPr>
                  <w:r>
                    <w:rPr>
                      <w:sz w:val="21"/>
                      <w:szCs w:val="21"/>
                    </w:rPr>
                    <w:t>一般固废</w:t>
                  </w:r>
                </w:p>
              </w:tc>
              <w:tc>
                <w:tcPr>
                  <w:tcW w:w="1016" w:type="pct"/>
                  <w:tcBorders>
                    <w:tl2br w:val="nil"/>
                    <w:tr2bl w:val="nil"/>
                  </w:tcBorders>
                  <w:vAlign w:val="center"/>
                </w:tcPr>
                <w:p>
                  <w:pPr>
                    <w:jc w:val="center"/>
                    <w:rPr>
                      <w:szCs w:val="21"/>
                    </w:rPr>
                  </w:pPr>
                  <w:r>
                    <w:rPr>
                      <w:szCs w:val="21"/>
                    </w:rPr>
                    <w:t>747-001-</w:t>
                  </w:r>
                </w:p>
                <w:p>
                  <w:pPr>
                    <w:pStyle w:val="26"/>
                    <w:spacing w:line="240" w:lineRule="auto"/>
                    <w:jc w:val="center"/>
                    <w:rPr>
                      <w:sz w:val="21"/>
                      <w:szCs w:val="21"/>
                    </w:rPr>
                  </w:pPr>
                  <w:r>
                    <w:rPr>
                      <w:sz w:val="21"/>
                      <w:szCs w:val="21"/>
                    </w:rPr>
                    <w:t>07</w:t>
                  </w:r>
                </w:p>
              </w:tc>
              <w:tc>
                <w:tcPr>
                  <w:tcW w:w="1702" w:type="pct"/>
                  <w:tcBorders>
                    <w:tl2br w:val="nil"/>
                    <w:tr2bl w:val="nil"/>
                  </w:tcBorders>
                  <w:vAlign w:val="center"/>
                </w:tcPr>
                <w:p>
                  <w:pPr>
                    <w:pStyle w:val="26"/>
                    <w:spacing w:line="240" w:lineRule="auto"/>
                    <w:jc w:val="center"/>
                    <w:rPr>
                      <w:sz w:val="21"/>
                      <w:szCs w:val="21"/>
                    </w:rPr>
                  </w:pPr>
                  <w:r>
                    <w:rPr>
                      <w:sz w:val="21"/>
                      <w:szCs w:val="21"/>
                    </w:rPr>
                    <w:t>收集后定期运至就近的废品回收站进行处理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tcBorders>
                    <w:tl2br w:val="nil"/>
                    <w:tr2bl w:val="nil"/>
                  </w:tcBorders>
                  <w:vAlign w:val="center"/>
                </w:tcPr>
                <w:p>
                  <w:pPr>
                    <w:pStyle w:val="26"/>
                    <w:spacing w:line="240" w:lineRule="auto"/>
                    <w:jc w:val="center"/>
                    <w:rPr>
                      <w:sz w:val="21"/>
                      <w:szCs w:val="21"/>
                    </w:rPr>
                  </w:pPr>
                  <w:r>
                    <w:rPr>
                      <w:sz w:val="21"/>
                      <w:szCs w:val="21"/>
                    </w:rPr>
                    <w:t>生活垃圾</w:t>
                  </w:r>
                </w:p>
              </w:tc>
              <w:tc>
                <w:tcPr>
                  <w:tcW w:w="593" w:type="pct"/>
                  <w:tcBorders>
                    <w:tl2br w:val="nil"/>
                    <w:tr2bl w:val="nil"/>
                  </w:tcBorders>
                  <w:vAlign w:val="center"/>
                </w:tcPr>
                <w:p>
                  <w:pPr>
                    <w:pStyle w:val="26"/>
                    <w:spacing w:line="240" w:lineRule="auto"/>
                    <w:jc w:val="center"/>
                    <w:rPr>
                      <w:sz w:val="21"/>
                      <w:szCs w:val="21"/>
                    </w:rPr>
                  </w:pPr>
                  <w:r>
                    <w:rPr>
                      <w:sz w:val="21"/>
                      <w:szCs w:val="21"/>
                    </w:rPr>
                    <w:t>0.</w:t>
                  </w:r>
                  <w:r>
                    <w:rPr>
                      <w:rFonts w:hint="eastAsia"/>
                      <w:sz w:val="21"/>
                      <w:szCs w:val="21"/>
                    </w:rPr>
                    <w:t>9</w:t>
                  </w:r>
                </w:p>
              </w:tc>
              <w:tc>
                <w:tcPr>
                  <w:tcW w:w="848" w:type="pct"/>
                  <w:tcBorders>
                    <w:tl2br w:val="nil"/>
                    <w:tr2bl w:val="nil"/>
                  </w:tcBorders>
                  <w:vAlign w:val="center"/>
                </w:tcPr>
                <w:p>
                  <w:pPr>
                    <w:pStyle w:val="26"/>
                    <w:spacing w:line="240" w:lineRule="auto"/>
                    <w:jc w:val="center"/>
                    <w:rPr>
                      <w:sz w:val="21"/>
                      <w:szCs w:val="21"/>
                    </w:rPr>
                  </w:pPr>
                  <w:r>
                    <w:rPr>
                      <w:sz w:val="21"/>
                      <w:szCs w:val="21"/>
                    </w:rPr>
                    <w:t>生活垃圾</w:t>
                  </w:r>
                </w:p>
              </w:tc>
              <w:tc>
                <w:tcPr>
                  <w:tcW w:w="1016" w:type="pct"/>
                  <w:tcBorders>
                    <w:tl2br w:val="nil"/>
                    <w:tr2bl w:val="nil"/>
                  </w:tcBorders>
                  <w:vAlign w:val="center"/>
                </w:tcPr>
                <w:p>
                  <w:pPr>
                    <w:pStyle w:val="26"/>
                    <w:spacing w:line="240" w:lineRule="auto"/>
                    <w:jc w:val="center"/>
                    <w:rPr>
                      <w:sz w:val="21"/>
                      <w:szCs w:val="21"/>
                    </w:rPr>
                  </w:pPr>
                  <w:r>
                    <w:rPr>
                      <w:sz w:val="21"/>
                      <w:szCs w:val="21"/>
                    </w:rPr>
                    <w:t>/</w:t>
                  </w:r>
                </w:p>
              </w:tc>
              <w:tc>
                <w:tcPr>
                  <w:tcW w:w="1702" w:type="pct"/>
                  <w:tcBorders>
                    <w:tl2br w:val="nil"/>
                    <w:tr2bl w:val="nil"/>
                  </w:tcBorders>
                  <w:vAlign w:val="center"/>
                </w:tcPr>
                <w:p>
                  <w:pPr>
                    <w:pStyle w:val="26"/>
                    <w:spacing w:line="240" w:lineRule="auto"/>
                    <w:jc w:val="center"/>
                    <w:rPr>
                      <w:sz w:val="21"/>
                      <w:szCs w:val="21"/>
                    </w:rPr>
                  </w:pPr>
                  <w:r>
                    <w:rPr>
                      <w:sz w:val="21"/>
                      <w:szCs w:val="21"/>
                    </w:rPr>
                    <w:t>垃圾桶集中收集后，交当地环卫部门处理</w:t>
                  </w:r>
                </w:p>
              </w:tc>
            </w:tr>
          </w:tbl>
          <w:p>
            <w:pPr>
              <w:adjustRightInd w:val="0"/>
              <w:snapToGrid w:val="0"/>
              <w:spacing w:line="360" w:lineRule="auto"/>
              <w:ind w:firstLine="480" w:firstLineChars="200"/>
              <w:rPr>
                <w:bCs/>
                <w:sz w:val="24"/>
              </w:rPr>
            </w:pPr>
            <w:r>
              <w:rPr>
                <w:bCs/>
                <w:sz w:val="24"/>
              </w:rPr>
              <w:t>根据上表，完井测试期间各类固废分类收集，得到有效处置，可合理处置各类固废，对周围环境不会造成污染影响。</w:t>
            </w:r>
          </w:p>
          <w:p>
            <w:pPr>
              <w:spacing w:line="360" w:lineRule="auto"/>
              <w:rPr>
                <w:b/>
                <w:bCs/>
                <w:sz w:val="24"/>
              </w:rPr>
            </w:pPr>
            <w:r>
              <w:rPr>
                <w:b/>
                <w:bCs/>
                <w:sz w:val="24"/>
              </w:rPr>
              <w:t>4.4地下水环境影响分析</w:t>
            </w:r>
          </w:p>
          <w:p>
            <w:pPr>
              <w:spacing w:line="360" w:lineRule="auto"/>
              <w:ind w:firstLine="480" w:firstLineChars="200"/>
              <w:rPr>
                <w:bCs/>
                <w:sz w:val="24"/>
              </w:rPr>
            </w:pPr>
            <w:r>
              <w:rPr>
                <w:bCs/>
                <w:sz w:val="24"/>
              </w:rPr>
              <w:t>根据地下水环境影响评价专题报告可知，事故工况下，</w:t>
            </w:r>
            <w:r>
              <w:rPr>
                <w:rFonts w:hint="eastAsia"/>
                <w:bCs/>
                <w:sz w:val="24"/>
              </w:rPr>
              <w:t>废水池</w:t>
            </w:r>
            <w:r>
              <w:rPr>
                <w:bCs/>
                <w:sz w:val="24"/>
              </w:rPr>
              <w:t>废水泄漏在3650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spacing w:line="360" w:lineRule="auto"/>
              <w:ind w:firstLine="482" w:firstLineChars="200"/>
              <w:rPr>
                <w:sz w:val="24"/>
              </w:rPr>
            </w:pPr>
            <w:r>
              <w:rPr>
                <w:b/>
                <w:bCs/>
                <w:sz w:val="24"/>
              </w:rPr>
              <w:t>项目地下水环境影响分析详见《地下水环境影响评价专题报告》</w:t>
            </w:r>
            <w:r>
              <w:rPr>
                <w:sz w:val="24"/>
              </w:rPr>
              <w:t>。</w:t>
            </w:r>
          </w:p>
          <w:p>
            <w:pPr>
              <w:spacing w:line="360" w:lineRule="auto"/>
              <w:rPr>
                <w:b/>
                <w:bCs/>
                <w:sz w:val="24"/>
              </w:rPr>
            </w:pPr>
            <w:r>
              <w:rPr>
                <w:b/>
                <w:bCs/>
                <w:sz w:val="24"/>
              </w:rPr>
              <w:t>4.5环境风险影响分析</w:t>
            </w:r>
          </w:p>
          <w:p>
            <w:pPr>
              <w:spacing w:line="360" w:lineRule="auto"/>
              <w:ind w:firstLine="480" w:firstLineChars="200"/>
              <w:rPr>
                <w:sz w:val="24"/>
              </w:rPr>
            </w:pPr>
            <w:r>
              <w:rPr>
                <w:sz w:val="24"/>
              </w:rPr>
              <w:t>（1）井喷失控天然气泄漏环境风险</w:t>
            </w:r>
          </w:p>
          <w:p>
            <w:pPr>
              <w:spacing w:line="360" w:lineRule="auto"/>
              <w:ind w:firstLine="480" w:firstLineChars="200"/>
              <w:rPr>
                <w:sz w:val="24"/>
              </w:rPr>
            </w:pPr>
            <w:r>
              <w:rPr>
                <w:sz w:val="24"/>
              </w:rPr>
              <w:t>设计在钻井现场配备自动、手动和高压高能电子点火三套独立点火系统，按照建设单位对发生井喷环境风险事故时的井控管理要求，在出现井喷事故征兆时，现场作业人员应立即进行点火准备工作”。事故状态下在15min内启动点火程序实施点火，井场内同时配备自动、手动和高压高能电子点火三套独立点火系统，可确保按要求在井喷失控后15min内成功实施点火作业，环境风险可控。</w:t>
            </w:r>
          </w:p>
          <w:p>
            <w:pPr>
              <w:spacing w:line="360" w:lineRule="auto"/>
              <w:ind w:firstLine="480" w:firstLineChars="200"/>
              <w:rPr>
                <w:sz w:val="24"/>
              </w:rPr>
            </w:pPr>
            <w:r>
              <w:rPr>
                <w:sz w:val="24"/>
              </w:rPr>
              <w:t>（2）套管破裂天然气窜层泄漏进入地表环境风险影响分析</w:t>
            </w:r>
          </w:p>
          <w:p>
            <w:pPr>
              <w:spacing w:line="360" w:lineRule="auto"/>
              <w:ind w:firstLine="480" w:firstLineChars="200"/>
              <w:rPr>
                <w:sz w:val="24"/>
              </w:rPr>
            </w:pPr>
            <w:r>
              <w:rPr>
                <w:sz w:val="24"/>
              </w:rPr>
              <w:t>套管破裂在钻井中出现的几率非常小，在严把质量关的前提下发生该事故的几率极其小，主要表现为可燃气体的泄漏遇火爆炸环境风险。由于通过地下岩层的阻隔，事故发生后窜层泄漏进入地表的量、压力、速率比井喷量小很多，影响程度比井喷小很多。</w:t>
            </w:r>
          </w:p>
          <w:p>
            <w:pPr>
              <w:spacing w:line="360" w:lineRule="auto"/>
              <w:ind w:firstLine="480" w:firstLineChars="200"/>
              <w:rPr>
                <w:sz w:val="24"/>
              </w:rPr>
            </w:pPr>
            <w:r>
              <w:rPr>
                <w:sz w:val="24"/>
              </w:rPr>
              <w:t>（3）钻井泥浆漏失环境风险</w:t>
            </w:r>
          </w:p>
          <w:p>
            <w:pPr>
              <w:spacing w:line="360" w:lineRule="auto"/>
              <w:ind w:firstLine="480" w:firstLineChars="200"/>
              <w:rPr>
                <w:sz w:val="24"/>
              </w:rPr>
            </w:pPr>
            <w:r>
              <w:rPr>
                <w:sz w:val="24"/>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pPr>
              <w:spacing w:line="360" w:lineRule="auto"/>
              <w:ind w:firstLine="480" w:firstLineChars="200"/>
              <w:rPr>
                <w:sz w:val="24"/>
              </w:rPr>
            </w:pPr>
            <w:r>
              <w:rPr>
                <w:sz w:val="24"/>
              </w:rPr>
              <w:t>（4）柴油泄漏环境风险</w:t>
            </w:r>
          </w:p>
          <w:p>
            <w:pPr>
              <w:spacing w:line="360" w:lineRule="auto"/>
              <w:ind w:firstLine="480" w:firstLineChars="200"/>
              <w:rPr>
                <w:sz w:val="24"/>
              </w:rPr>
            </w:pPr>
            <w:r>
              <w:rPr>
                <w:sz w:val="24"/>
              </w:rPr>
              <w:t>油罐密闭，柴油发生大量泄漏的几率很小，一般情况管道阀门泄漏，少量跑冒漏滴均收集在隔油池内，可有效进行防止污染。罐体破裂导致柴油大量泄漏的</w:t>
            </w:r>
            <w:r>
              <w:rPr>
                <w:rFonts w:hint="eastAsia"/>
                <w:sz w:val="24"/>
              </w:rPr>
              <w:t>几率</w:t>
            </w:r>
            <w:r>
              <w:rPr>
                <w:sz w:val="24"/>
              </w:rPr>
              <w:t>很小，发生时可能污染罐体周边土壤、地表水及地下水，对生态环境造成影响。</w:t>
            </w:r>
          </w:p>
          <w:p>
            <w:pPr>
              <w:spacing w:line="360" w:lineRule="auto"/>
              <w:ind w:firstLine="480" w:firstLineChars="200"/>
              <w:rPr>
                <w:sz w:val="24"/>
              </w:rPr>
            </w:pPr>
            <w:r>
              <w:rPr>
                <w:sz w:val="24"/>
              </w:rPr>
              <w:t>（</w:t>
            </w:r>
            <w:r>
              <w:rPr>
                <w:rFonts w:hint="eastAsia"/>
                <w:sz w:val="24"/>
              </w:rPr>
              <w:t>5</w:t>
            </w:r>
            <w:r>
              <w:rPr>
                <w:sz w:val="24"/>
              </w:rPr>
              <w:t>）</w:t>
            </w:r>
            <w:r>
              <w:rPr>
                <w:rFonts w:hint="eastAsia"/>
                <w:sz w:val="24"/>
              </w:rPr>
              <w:t>废水池</w:t>
            </w:r>
            <w:r>
              <w:rPr>
                <w:sz w:val="24"/>
              </w:rPr>
              <w:t>废水外溢等环境风险</w:t>
            </w:r>
          </w:p>
          <w:p>
            <w:pPr>
              <w:spacing w:line="360" w:lineRule="auto"/>
              <w:ind w:firstLine="480" w:firstLineChars="200"/>
              <w:rPr>
                <w:sz w:val="24"/>
              </w:rPr>
            </w:pPr>
            <w:r>
              <w:rPr>
                <w:sz w:val="24"/>
              </w:rPr>
              <w:t>本工程</w:t>
            </w:r>
            <w:r>
              <w:rPr>
                <w:rFonts w:hint="eastAsia"/>
                <w:sz w:val="24"/>
              </w:rPr>
              <w:t>废水池</w:t>
            </w:r>
            <w:r>
              <w:rPr>
                <w:sz w:val="24"/>
              </w:rPr>
              <w:t>为半地下式结构，发生泄漏事故的可能性小，发生泄漏时主要的环境影响为对</w:t>
            </w:r>
            <w:r>
              <w:rPr>
                <w:rFonts w:hint="eastAsia"/>
                <w:sz w:val="24"/>
              </w:rPr>
              <w:t>废水池</w:t>
            </w:r>
            <w:r>
              <w:rPr>
                <w:sz w:val="24"/>
              </w:rPr>
              <w:t>附近土壤、地表水及地下水产生污染影响。本项目</w:t>
            </w:r>
            <w:r>
              <w:rPr>
                <w:rFonts w:hint="eastAsia"/>
                <w:sz w:val="24"/>
              </w:rPr>
              <w:t>废水池</w:t>
            </w:r>
            <w:r>
              <w:rPr>
                <w:sz w:val="24"/>
              </w:rPr>
              <w:t>临时贮存的废水，泄漏的废水中pH值呈碱性、可溶性盐含量高、含石油类，影响土壤的结构，危害植物生长。</w:t>
            </w:r>
          </w:p>
          <w:p>
            <w:pPr>
              <w:spacing w:line="360" w:lineRule="auto"/>
              <w:ind w:firstLine="480" w:firstLineChars="200"/>
              <w:rPr>
                <w:sz w:val="24"/>
              </w:rPr>
            </w:pPr>
            <w:r>
              <w:rPr>
                <w:sz w:val="24"/>
              </w:rPr>
              <w:t>（</w:t>
            </w:r>
            <w:r>
              <w:rPr>
                <w:rFonts w:hint="eastAsia"/>
                <w:sz w:val="24"/>
              </w:rPr>
              <w:t>6</w:t>
            </w:r>
            <w:r>
              <w:rPr>
                <w:sz w:val="24"/>
              </w:rPr>
              <w:t>）废水外运过程事故影响分析</w:t>
            </w:r>
          </w:p>
          <w:p>
            <w:pPr>
              <w:spacing w:line="360" w:lineRule="auto"/>
              <w:ind w:firstLine="480" w:firstLineChars="200"/>
              <w:rPr>
                <w:sz w:val="24"/>
              </w:rPr>
            </w:pPr>
            <w:r>
              <w:rPr>
                <w:sz w:val="24"/>
              </w:rPr>
              <w:t>本项目压裂返排液外运处理，运输过程中可能会发生事故泄漏风险而产生环境影响。压裂返排液转运采用罐体装载污水，罐体为钢板密封罐，发生翻车泄漏的</w:t>
            </w:r>
            <w:r>
              <w:rPr>
                <w:rFonts w:hint="eastAsia"/>
                <w:sz w:val="24"/>
              </w:rPr>
              <w:t>几率</w:t>
            </w:r>
            <w:r>
              <w:rPr>
                <w:sz w:val="24"/>
              </w:rPr>
              <w:t>很小；压裂返排液罐车转运过程中发生事故污染的可能性极小，在环境所能接受的范围内。</w:t>
            </w:r>
          </w:p>
          <w:p>
            <w:pPr>
              <w:spacing w:line="360" w:lineRule="auto"/>
              <w:ind w:firstLine="482" w:firstLineChars="200"/>
              <w:rPr>
                <w:sz w:val="24"/>
              </w:rPr>
            </w:pPr>
            <w:r>
              <w:rPr>
                <w:b/>
                <w:sz w:val="24"/>
              </w:rPr>
              <w:t>详见环境风险专项分析</w:t>
            </w:r>
            <w:r>
              <w:rPr>
                <w:sz w:val="24"/>
              </w:rPr>
              <w:t>。</w:t>
            </w:r>
          </w:p>
          <w:p>
            <w:pPr>
              <w:spacing w:line="360" w:lineRule="auto"/>
              <w:rPr>
                <w:sz w:val="24"/>
              </w:rPr>
            </w:pPr>
            <w:r>
              <w:rPr>
                <w:b/>
                <w:bCs/>
                <w:sz w:val="24"/>
              </w:rPr>
              <w:t>4.6土壤环境影响分析</w:t>
            </w:r>
          </w:p>
          <w:p>
            <w:pPr>
              <w:spacing w:line="360" w:lineRule="auto"/>
              <w:rPr>
                <w:b/>
                <w:bCs/>
                <w:sz w:val="24"/>
              </w:rPr>
            </w:pPr>
            <w:r>
              <w:rPr>
                <w:b/>
                <w:bCs/>
                <w:sz w:val="24"/>
              </w:rPr>
              <w:t>4.6.1影响途径</w:t>
            </w:r>
          </w:p>
          <w:p>
            <w:pPr>
              <w:spacing w:line="360" w:lineRule="auto"/>
              <w:ind w:firstLine="480" w:firstLineChars="200"/>
              <w:rPr>
                <w:sz w:val="24"/>
              </w:rPr>
            </w:pPr>
            <w:r>
              <w:rPr>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20"/>
              <w:widowControl w:val="0"/>
              <w:tabs>
                <w:tab w:val="left" w:pos="0"/>
                <w:tab w:val="left" w:pos="833"/>
              </w:tabs>
              <w:spacing w:before="0" w:after="0" w:line="360" w:lineRule="auto"/>
              <w:ind w:left="420" w:right="0"/>
              <w:jc w:val="center"/>
              <w:rPr>
                <w:b/>
                <w:sz w:val="24"/>
                <w:szCs w:val="24"/>
              </w:rPr>
            </w:pPr>
            <w:r>
              <w:rPr>
                <w:b/>
                <w:sz w:val="24"/>
                <w:szCs w:val="24"/>
              </w:rPr>
              <w:t>表4-</w:t>
            </w:r>
            <w:r>
              <w:rPr>
                <w:rFonts w:hint="eastAsia"/>
                <w:b/>
                <w:sz w:val="24"/>
                <w:szCs w:val="24"/>
                <w:lang w:val="en-US" w:eastAsia="zh-CN"/>
              </w:rPr>
              <w:t>19</w:t>
            </w:r>
            <w:r>
              <w:rPr>
                <w:b/>
                <w:sz w:val="24"/>
                <w:szCs w:val="24"/>
              </w:rPr>
              <w:t xml:space="preserve"> 建设项目土壤环境影响类型与影响途径表</w:t>
            </w:r>
          </w:p>
          <w:tbl>
            <w:tblPr>
              <w:tblStyle w:val="45"/>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b/>
                      <w:sz w:val="21"/>
                      <w:szCs w:val="21"/>
                    </w:rPr>
                    <w:t>不同时段</w:t>
                  </w:r>
                </w:p>
              </w:tc>
              <w:tc>
                <w:tcPr>
                  <w:tcW w:w="6170" w:type="dxa"/>
                  <w:gridSpan w:val="4"/>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b/>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大气沉降</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地面漫流</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垂直入渗</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b/>
                      <w:sz w:val="21"/>
                      <w:szCs w:val="21"/>
                    </w:rPr>
                    <w:t>钻井期</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w:t>
                  </w:r>
                </w:p>
              </w:tc>
              <w:tc>
                <w:tcPr>
                  <w:tcW w:w="1542"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w:t>
                  </w:r>
                </w:p>
              </w:tc>
              <w:tc>
                <w:tcPr>
                  <w:tcW w:w="1543" w:type="dxa"/>
                  <w:tcBorders>
                    <w:tl2br w:val="nil"/>
                    <w:tr2bl w:val="nil"/>
                  </w:tcBorders>
                  <w:vAlign w:val="center"/>
                </w:tcPr>
                <w:p>
                  <w:pPr>
                    <w:pStyle w:val="20"/>
                    <w:widowControl w:val="0"/>
                    <w:tabs>
                      <w:tab w:val="left" w:pos="0"/>
                      <w:tab w:val="left" w:pos="833"/>
                    </w:tabs>
                    <w:spacing w:before="0" w:after="0" w:line="240" w:lineRule="auto"/>
                    <w:ind w:right="0"/>
                    <w:jc w:val="center"/>
                    <w:rPr>
                      <w:b/>
                      <w:sz w:val="21"/>
                      <w:szCs w:val="21"/>
                    </w:rPr>
                  </w:pPr>
                  <w:r>
                    <w:rPr>
                      <w:szCs w:val="21"/>
                    </w:rPr>
                    <w:t>-</w:t>
                  </w:r>
                </w:p>
              </w:tc>
            </w:tr>
          </w:tbl>
          <w:p>
            <w:pPr>
              <w:spacing w:line="360" w:lineRule="auto"/>
              <w:rPr>
                <w:b/>
                <w:bCs/>
                <w:sz w:val="24"/>
              </w:rPr>
            </w:pPr>
            <w:r>
              <w:rPr>
                <w:b/>
                <w:bCs/>
                <w:sz w:val="24"/>
              </w:rPr>
              <w:t>4.6.2影响源与影响因子</w:t>
            </w:r>
          </w:p>
          <w:p>
            <w:pPr>
              <w:spacing w:line="360" w:lineRule="auto"/>
              <w:ind w:firstLine="480" w:firstLineChars="200"/>
              <w:jc w:val="left"/>
              <w:rPr>
                <w:sz w:val="24"/>
              </w:rPr>
            </w:pPr>
            <w:r>
              <w:rPr>
                <w:kern w:val="0"/>
                <w:sz w:val="24"/>
                <w:lang w:bidi="ar"/>
              </w:rPr>
              <w:t>根据工程分析，项目的主要土壤影响源为井场</w:t>
            </w:r>
            <w:r>
              <w:rPr>
                <w:sz w:val="24"/>
              </w:rPr>
              <w:t>污染区（泥浆循环区、井口区、动力机组区、清洁生产操作平台）废水、固废入渗影响，</w:t>
            </w:r>
            <w:r>
              <w:rPr>
                <w:rFonts w:hint="eastAsia"/>
                <w:sz w:val="24"/>
              </w:rPr>
              <w:t>废水池</w:t>
            </w:r>
            <w:r>
              <w:rPr>
                <w:sz w:val="24"/>
              </w:rPr>
              <w:t>废水的入渗影响，油罐区废水的入渗影响，井场区雨水的漫流影响。</w:t>
            </w:r>
          </w:p>
          <w:p>
            <w:pPr>
              <w:pStyle w:val="20"/>
              <w:widowControl w:val="0"/>
              <w:tabs>
                <w:tab w:val="left" w:pos="0"/>
                <w:tab w:val="left" w:pos="833"/>
              </w:tabs>
              <w:spacing w:before="0" w:after="0" w:line="360" w:lineRule="auto"/>
              <w:ind w:left="420" w:right="0"/>
              <w:jc w:val="center"/>
              <w:rPr>
                <w:b/>
                <w:sz w:val="24"/>
                <w:szCs w:val="24"/>
              </w:rPr>
            </w:pPr>
            <w:r>
              <w:rPr>
                <w:b/>
                <w:sz w:val="24"/>
                <w:szCs w:val="24"/>
              </w:rPr>
              <w:t>表4-2</w:t>
            </w:r>
            <w:r>
              <w:rPr>
                <w:rFonts w:hint="eastAsia"/>
                <w:b/>
                <w:sz w:val="24"/>
                <w:szCs w:val="24"/>
                <w:lang w:val="en-US" w:eastAsia="zh-CN"/>
              </w:rPr>
              <w:t>0</w:t>
            </w:r>
            <w:r>
              <w:rPr>
                <w:b/>
                <w:sz w:val="24"/>
                <w:szCs w:val="24"/>
              </w:rPr>
              <w:t xml:space="preserve"> 土壤环境影响源及影响因子识别表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污染源</w:t>
                  </w:r>
                </w:p>
              </w:tc>
              <w:tc>
                <w:tcPr>
                  <w:tcW w:w="1515"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工艺流程/节点</w:t>
                  </w: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污染途径</w:t>
                  </w:r>
                </w:p>
              </w:tc>
              <w:tc>
                <w:tcPr>
                  <w:tcW w:w="1627"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全部污染物指标</w:t>
                  </w:r>
                </w:p>
              </w:tc>
              <w:tc>
                <w:tcPr>
                  <w:tcW w:w="1430"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特征因子</w:t>
                  </w:r>
                </w:p>
              </w:tc>
              <w:tc>
                <w:tcPr>
                  <w:tcW w:w="94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井场</w:t>
                  </w:r>
                </w:p>
              </w:tc>
              <w:tc>
                <w:tcPr>
                  <w:tcW w:w="1515"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污染区（泥浆循环区、井口区、动力机组区、清洁生产操作平台）</w:t>
                  </w: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COD、SS、硫化物、石油类</w:t>
                  </w:r>
                </w:p>
              </w:tc>
              <w:tc>
                <w:tcPr>
                  <w:tcW w:w="1430"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石油烃、硫化物</w:t>
                  </w:r>
                </w:p>
              </w:tc>
              <w:tc>
                <w:tcPr>
                  <w:tcW w:w="94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szCs w:val="21"/>
                      <w:lang w:val="zh-CN" w:bidi="zh-CN"/>
                    </w:rPr>
                  </w:pPr>
                </w:p>
              </w:tc>
              <w:tc>
                <w:tcPr>
                  <w:tcW w:w="1515"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清洁区</w:t>
                  </w: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COD、SS、硫化物、石油类</w:t>
                  </w:r>
                </w:p>
              </w:tc>
              <w:tc>
                <w:tcPr>
                  <w:tcW w:w="1430"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石油烃、硫化物</w:t>
                  </w:r>
                </w:p>
              </w:tc>
              <w:tc>
                <w:tcPr>
                  <w:tcW w:w="94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szCs w:val="21"/>
                      <w:lang w:val="zh-CN" w:bidi="zh-CN"/>
                    </w:rPr>
                  </w:pPr>
                </w:p>
              </w:tc>
              <w:tc>
                <w:tcPr>
                  <w:tcW w:w="1515" w:type="dxa"/>
                  <w:vMerge w:val="continue"/>
                  <w:tcBorders>
                    <w:tl2br w:val="nil"/>
                    <w:tr2bl w:val="nil"/>
                  </w:tcBorders>
                  <w:vAlign w:val="center"/>
                </w:tcPr>
                <w:p>
                  <w:pPr>
                    <w:widowControl/>
                    <w:jc w:val="center"/>
                    <w:rPr>
                      <w:szCs w:val="21"/>
                      <w:lang w:val="zh-CN" w:bidi="zh-CN"/>
                    </w:rPr>
                  </w:pP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地面漫流</w:t>
                  </w:r>
                </w:p>
              </w:tc>
              <w:tc>
                <w:tcPr>
                  <w:tcW w:w="1627" w:type="dxa"/>
                  <w:vMerge w:val="continue"/>
                  <w:tcBorders>
                    <w:tl2br w:val="nil"/>
                    <w:tr2bl w:val="nil"/>
                  </w:tcBorders>
                  <w:vAlign w:val="center"/>
                </w:tcPr>
                <w:p>
                  <w:pPr>
                    <w:widowControl/>
                    <w:jc w:val="center"/>
                    <w:rPr>
                      <w:szCs w:val="21"/>
                      <w:lang w:val="zh-CN" w:bidi="zh-CN"/>
                    </w:rPr>
                  </w:pPr>
                </w:p>
              </w:tc>
              <w:tc>
                <w:tcPr>
                  <w:tcW w:w="1430" w:type="dxa"/>
                  <w:vMerge w:val="continue"/>
                  <w:tcBorders>
                    <w:tl2br w:val="nil"/>
                    <w:tr2bl w:val="nil"/>
                  </w:tcBorders>
                  <w:vAlign w:val="center"/>
                </w:tcPr>
                <w:p>
                  <w:pPr>
                    <w:widowControl/>
                    <w:jc w:val="center"/>
                    <w:rPr>
                      <w:szCs w:val="21"/>
                      <w:lang w:val="zh-CN" w:bidi="zh-CN"/>
                    </w:rPr>
                  </w:pPr>
                </w:p>
              </w:tc>
              <w:tc>
                <w:tcPr>
                  <w:tcW w:w="94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2"/>
                    <w:ind w:firstLine="3"/>
                    <w:jc w:val="center"/>
                    <w:rPr>
                      <w:rFonts w:ascii="Times New Roman" w:hAnsi="Times New Roman" w:eastAsia="宋体" w:cs="Times New Roman"/>
                      <w:szCs w:val="21"/>
                    </w:rPr>
                  </w:pPr>
                  <w:r>
                    <w:rPr>
                      <w:rFonts w:hint="eastAsia" w:ascii="Times New Roman" w:hAnsi="Times New Roman" w:eastAsia="宋体" w:cs="Times New Roman"/>
                      <w:szCs w:val="21"/>
                    </w:rPr>
                    <w:t>废水池</w:t>
                  </w:r>
                </w:p>
              </w:tc>
              <w:tc>
                <w:tcPr>
                  <w:tcW w:w="1515" w:type="dxa"/>
                  <w:tcBorders>
                    <w:tl2br w:val="nil"/>
                    <w:tr2bl w:val="nil"/>
                  </w:tcBorders>
                  <w:vAlign w:val="center"/>
                </w:tcPr>
                <w:p>
                  <w:pPr>
                    <w:pStyle w:val="252"/>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COD、SS、硫化物、石油类</w:t>
                  </w:r>
                </w:p>
              </w:tc>
              <w:tc>
                <w:tcPr>
                  <w:tcW w:w="1430"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石油烃、硫化物</w:t>
                  </w:r>
                </w:p>
              </w:tc>
              <w:tc>
                <w:tcPr>
                  <w:tcW w:w="94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连续、事故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油罐区、隔油池</w:t>
                  </w:r>
                </w:p>
              </w:tc>
              <w:tc>
                <w:tcPr>
                  <w:tcW w:w="1515" w:type="dxa"/>
                  <w:tcBorders>
                    <w:tl2br w:val="nil"/>
                    <w:tr2bl w:val="nil"/>
                  </w:tcBorders>
                  <w:vAlign w:val="center"/>
                </w:tcPr>
                <w:p>
                  <w:pPr>
                    <w:pStyle w:val="252"/>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垂直入渗</w:t>
                  </w:r>
                </w:p>
              </w:tc>
              <w:tc>
                <w:tcPr>
                  <w:tcW w:w="1627"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石油类</w:t>
                  </w:r>
                </w:p>
              </w:tc>
              <w:tc>
                <w:tcPr>
                  <w:tcW w:w="1430" w:type="dxa"/>
                  <w:vMerge w:val="restart"/>
                  <w:tcBorders>
                    <w:tl2br w:val="nil"/>
                    <w:tr2bl w:val="nil"/>
                  </w:tcBorders>
                  <w:vAlign w:val="center"/>
                </w:tcPr>
                <w:p>
                  <w:pPr>
                    <w:pStyle w:val="252"/>
                    <w:ind w:firstLine="3"/>
                    <w:jc w:val="center"/>
                    <w:rPr>
                      <w:rFonts w:ascii="Times New Roman" w:hAnsi="Times New Roman" w:eastAsia="宋体" w:cs="Times New Roman"/>
                      <w:szCs w:val="21"/>
                    </w:rPr>
                  </w:pPr>
                  <w:r>
                    <w:rPr>
                      <w:rFonts w:ascii="Times New Roman" w:hAnsi="Times New Roman" w:eastAsia="宋体" w:cs="Times New Roman"/>
                      <w:szCs w:val="21"/>
                    </w:rPr>
                    <w:t>石油烃</w:t>
                  </w:r>
                </w:p>
              </w:tc>
              <w:tc>
                <w:tcPr>
                  <w:tcW w:w="941" w:type="dxa"/>
                  <w:tcBorders>
                    <w:tl2br w:val="nil"/>
                    <w:tr2bl w:val="nil"/>
                  </w:tcBorders>
                  <w:vAlign w:val="center"/>
                </w:tcPr>
                <w:p>
                  <w:pPr>
                    <w:pStyle w:val="252"/>
                    <w:ind w:firstLine="3"/>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widowControl/>
                    <w:jc w:val="center"/>
                    <w:rPr>
                      <w:szCs w:val="21"/>
                      <w:lang w:val="zh-CN" w:bidi="zh-CN"/>
                    </w:rPr>
                  </w:pPr>
                </w:p>
              </w:tc>
              <w:tc>
                <w:tcPr>
                  <w:tcW w:w="1515" w:type="dxa"/>
                  <w:tcBorders>
                    <w:tl2br w:val="nil"/>
                    <w:tr2bl w:val="nil"/>
                  </w:tcBorders>
                  <w:vAlign w:val="center"/>
                </w:tcPr>
                <w:p>
                  <w:pPr>
                    <w:pStyle w:val="252"/>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c>
                <w:tcPr>
                  <w:tcW w:w="1101" w:type="dxa"/>
                  <w:tcBorders>
                    <w:tl2br w:val="nil"/>
                    <w:tr2bl w:val="nil"/>
                  </w:tcBorders>
                  <w:vAlign w:val="center"/>
                </w:tcPr>
                <w:p>
                  <w:pPr>
                    <w:pStyle w:val="252"/>
                    <w:jc w:val="center"/>
                    <w:rPr>
                      <w:rFonts w:ascii="Times New Roman" w:hAnsi="Times New Roman" w:eastAsia="宋体" w:cs="Times New Roman"/>
                      <w:szCs w:val="21"/>
                    </w:rPr>
                  </w:pPr>
                  <w:r>
                    <w:rPr>
                      <w:rFonts w:ascii="Times New Roman" w:hAnsi="Times New Roman" w:eastAsia="宋体" w:cs="Times New Roman"/>
                      <w:szCs w:val="21"/>
                    </w:rPr>
                    <w:t>地面漫流</w:t>
                  </w:r>
                </w:p>
              </w:tc>
              <w:tc>
                <w:tcPr>
                  <w:tcW w:w="1627" w:type="dxa"/>
                  <w:vMerge w:val="continue"/>
                  <w:tcBorders>
                    <w:tl2br w:val="nil"/>
                    <w:tr2bl w:val="nil"/>
                  </w:tcBorders>
                  <w:vAlign w:val="center"/>
                </w:tcPr>
                <w:p>
                  <w:pPr>
                    <w:widowControl/>
                    <w:jc w:val="center"/>
                    <w:rPr>
                      <w:szCs w:val="21"/>
                      <w:lang w:val="zh-CN" w:bidi="zh-CN"/>
                    </w:rPr>
                  </w:pPr>
                </w:p>
              </w:tc>
              <w:tc>
                <w:tcPr>
                  <w:tcW w:w="1430" w:type="dxa"/>
                  <w:vMerge w:val="continue"/>
                  <w:tcBorders>
                    <w:tl2br w:val="nil"/>
                    <w:tr2bl w:val="nil"/>
                  </w:tcBorders>
                  <w:vAlign w:val="center"/>
                </w:tcPr>
                <w:p>
                  <w:pPr>
                    <w:widowControl/>
                    <w:jc w:val="center"/>
                    <w:rPr>
                      <w:szCs w:val="21"/>
                      <w:lang w:val="zh-CN" w:bidi="zh-CN"/>
                    </w:rPr>
                  </w:pPr>
                </w:p>
              </w:tc>
              <w:tc>
                <w:tcPr>
                  <w:tcW w:w="941" w:type="dxa"/>
                  <w:tcBorders>
                    <w:tl2br w:val="nil"/>
                    <w:tr2bl w:val="nil"/>
                  </w:tcBorders>
                  <w:vAlign w:val="center"/>
                </w:tcPr>
                <w:p>
                  <w:pPr>
                    <w:pStyle w:val="252"/>
                    <w:jc w:val="center"/>
                    <w:rPr>
                      <w:rFonts w:ascii="Times New Roman" w:hAnsi="Times New Roman" w:eastAsia="宋体" w:cs="Times New Roman"/>
                      <w:szCs w:val="21"/>
                      <w:lang w:val="en-US"/>
                    </w:rPr>
                  </w:pPr>
                  <w:r>
                    <w:rPr>
                      <w:rFonts w:ascii="Times New Roman" w:hAnsi="Times New Roman" w:eastAsia="宋体" w:cs="Times New Roman"/>
                      <w:szCs w:val="21"/>
                      <w:lang w:val="en-US"/>
                    </w:rPr>
                    <w:t>/</w:t>
                  </w:r>
                </w:p>
              </w:tc>
            </w:tr>
          </w:tbl>
          <w:p>
            <w:pPr>
              <w:spacing w:line="360" w:lineRule="auto"/>
              <w:rPr>
                <w:b/>
                <w:bCs/>
                <w:snapToGrid w:val="0"/>
                <w:kern w:val="0"/>
                <w:sz w:val="24"/>
              </w:rPr>
            </w:pPr>
            <w:r>
              <w:rPr>
                <w:b/>
                <w:bCs/>
                <w:snapToGrid w:val="0"/>
                <w:kern w:val="0"/>
                <w:sz w:val="24"/>
              </w:rPr>
              <w:t>4.6.2土壤环境影响分析</w:t>
            </w:r>
          </w:p>
          <w:p>
            <w:pPr>
              <w:spacing w:line="360" w:lineRule="auto"/>
              <w:ind w:firstLine="480" w:firstLineChars="200"/>
              <w:jc w:val="left"/>
              <w:rPr>
                <w:bCs/>
                <w:snapToGrid w:val="0"/>
                <w:kern w:val="0"/>
                <w:sz w:val="24"/>
              </w:rPr>
            </w:pPr>
            <w:r>
              <w:rPr>
                <w:sz w:val="24"/>
              </w:rPr>
              <w:t>本项目土壤环境影响分析将从如下方面进行分析：</w:t>
            </w:r>
          </w:p>
          <w:p>
            <w:pPr>
              <w:spacing w:line="360" w:lineRule="auto"/>
              <w:ind w:firstLine="480" w:firstLineChars="200"/>
              <w:jc w:val="left"/>
              <w:rPr>
                <w:bCs/>
                <w:snapToGrid w:val="0"/>
                <w:kern w:val="0"/>
                <w:sz w:val="24"/>
              </w:rPr>
            </w:pPr>
            <w:r>
              <w:rPr>
                <w:bCs/>
                <w:snapToGrid w:val="0"/>
                <w:kern w:val="0"/>
                <w:sz w:val="24"/>
              </w:rPr>
              <w:t>（1）破坏土壤结构</w:t>
            </w:r>
          </w:p>
          <w:p>
            <w:pPr>
              <w:spacing w:line="360" w:lineRule="auto"/>
              <w:ind w:firstLine="480" w:firstLineChars="200"/>
              <w:jc w:val="left"/>
              <w:rPr>
                <w:bCs/>
                <w:snapToGrid w:val="0"/>
                <w:kern w:val="0"/>
                <w:sz w:val="24"/>
              </w:rPr>
            </w:pPr>
            <w:r>
              <w:rPr>
                <w:bCs/>
                <w:snapToGrid w:val="0"/>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spacing w:line="360" w:lineRule="auto"/>
              <w:ind w:firstLine="480" w:firstLineChars="200"/>
              <w:jc w:val="left"/>
              <w:rPr>
                <w:bCs/>
                <w:snapToGrid w:val="0"/>
                <w:kern w:val="0"/>
                <w:sz w:val="24"/>
              </w:rPr>
            </w:pPr>
            <w:r>
              <w:rPr>
                <w:bCs/>
                <w:snapToGrid w:val="0"/>
                <w:kern w:val="0"/>
                <w:sz w:val="24"/>
              </w:rPr>
              <w:t>（2）改变土壤质地</w:t>
            </w:r>
          </w:p>
          <w:p>
            <w:pPr>
              <w:spacing w:line="360" w:lineRule="auto"/>
              <w:ind w:firstLine="480" w:firstLineChars="200"/>
              <w:jc w:val="left"/>
              <w:rPr>
                <w:bCs/>
                <w:snapToGrid w:val="0"/>
                <w:kern w:val="0"/>
                <w:sz w:val="24"/>
              </w:rPr>
            </w:pPr>
            <w:r>
              <w:rPr>
                <w:bCs/>
                <w:snapToGrid w:val="0"/>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spacing w:line="360" w:lineRule="auto"/>
              <w:ind w:firstLine="480" w:firstLineChars="200"/>
              <w:jc w:val="left"/>
              <w:rPr>
                <w:bCs/>
                <w:snapToGrid w:val="0"/>
                <w:kern w:val="0"/>
                <w:sz w:val="24"/>
              </w:rPr>
            </w:pPr>
            <w:r>
              <w:rPr>
                <w:bCs/>
                <w:snapToGrid w:val="0"/>
                <w:kern w:val="0"/>
                <w:sz w:val="24"/>
              </w:rPr>
              <w:t>（3）影响土壤紧实度</w:t>
            </w:r>
          </w:p>
          <w:p>
            <w:pPr>
              <w:spacing w:line="360" w:lineRule="auto"/>
              <w:ind w:firstLine="480" w:firstLineChars="200"/>
              <w:jc w:val="left"/>
              <w:rPr>
                <w:bCs/>
                <w:snapToGrid w:val="0"/>
                <w:kern w:val="0"/>
                <w:sz w:val="24"/>
              </w:rPr>
            </w:pPr>
            <w:r>
              <w:rPr>
                <w:bCs/>
                <w:snapToGrid w:val="0"/>
                <w:kern w:val="0"/>
                <w:sz w:val="24"/>
              </w:rPr>
              <w:t>基础施工后一般在短时期难以恢复其原有的紧实度。表层过于疏松时，因灌溉和降水容易造成</w:t>
            </w:r>
            <w:r>
              <w:rPr>
                <w:rFonts w:hint="eastAsia"/>
                <w:bCs/>
                <w:snapToGrid w:val="0"/>
                <w:kern w:val="0"/>
                <w:sz w:val="24"/>
              </w:rPr>
              <w:t>水分</w:t>
            </w:r>
            <w:r>
              <w:rPr>
                <w:bCs/>
                <w:snapToGrid w:val="0"/>
                <w:kern w:val="0"/>
                <w:sz w:val="24"/>
              </w:rPr>
              <w:t>下渗，使土层明显下陷形成凹沟。过于紧实时又会影响植物根系下扎。施工期间的车辆和重型机械的碾压也会造成管道两侧表层过于紧实，对植物生长产生不良影响。</w:t>
            </w:r>
          </w:p>
          <w:p>
            <w:pPr>
              <w:spacing w:line="360" w:lineRule="auto"/>
              <w:ind w:firstLine="480" w:firstLineChars="200"/>
              <w:jc w:val="left"/>
              <w:rPr>
                <w:bCs/>
                <w:snapToGrid w:val="0"/>
                <w:kern w:val="0"/>
                <w:sz w:val="24"/>
              </w:rPr>
            </w:pPr>
            <w:r>
              <w:rPr>
                <w:bCs/>
                <w:snapToGrid w:val="0"/>
                <w:kern w:val="0"/>
                <w:sz w:val="24"/>
              </w:rPr>
              <w:t>（4）施工废弃物对土壤环境的影响</w:t>
            </w:r>
          </w:p>
          <w:p>
            <w:pPr>
              <w:spacing w:line="360" w:lineRule="auto"/>
              <w:ind w:firstLine="480" w:firstLineChars="200"/>
              <w:jc w:val="left"/>
              <w:rPr>
                <w:bCs/>
                <w:snapToGrid w:val="0"/>
                <w:kern w:val="0"/>
                <w:sz w:val="24"/>
              </w:rPr>
            </w:pPr>
            <w:r>
              <w:rPr>
                <w:bCs/>
                <w:snapToGrid w:val="0"/>
                <w:kern w:val="0"/>
                <w:sz w:val="24"/>
              </w:rPr>
              <w:t>项目施工的产生的泥浆若落入土地，有可能把固体废弃物残留于土壤之中。这些固体废物一般都比较难于分解，影响环境景观和作物生长，若埋于土壤中则会对作物根系的生长和发育造成影响。</w:t>
            </w:r>
          </w:p>
          <w:p>
            <w:pPr>
              <w:spacing w:line="360" w:lineRule="auto"/>
              <w:ind w:firstLine="480" w:firstLineChars="200"/>
              <w:jc w:val="left"/>
              <w:rPr>
                <w:bCs/>
                <w:snapToGrid w:val="0"/>
                <w:kern w:val="0"/>
                <w:sz w:val="24"/>
              </w:rPr>
            </w:pPr>
            <w:r>
              <w:rPr>
                <w:bCs/>
                <w:snapToGrid w:val="0"/>
                <w:kern w:val="0"/>
                <w:sz w:val="24"/>
              </w:rPr>
              <w:t>（5）项目建设对土壤养分现状的影响</w:t>
            </w:r>
          </w:p>
          <w:p>
            <w:pPr>
              <w:spacing w:line="360" w:lineRule="auto"/>
              <w:ind w:firstLine="480" w:firstLineChars="200"/>
              <w:jc w:val="left"/>
              <w:rPr>
                <w:bCs/>
                <w:snapToGrid w:val="0"/>
                <w:kern w:val="0"/>
                <w:sz w:val="24"/>
              </w:rPr>
            </w:pPr>
            <w:r>
              <w:rPr>
                <w:bCs/>
                <w:snapToGrid w:val="0"/>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于恢复。</w:t>
            </w:r>
          </w:p>
          <w:p>
            <w:pPr>
              <w:spacing w:line="360" w:lineRule="auto"/>
              <w:ind w:firstLine="480" w:firstLineChars="200"/>
              <w:jc w:val="left"/>
              <w:rPr>
                <w:bCs/>
                <w:snapToGrid w:val="0"/>
                <w:kern w:val="0"/>
                <w:sz w:val="24"/>
              </w:rPr>
            </w:pPr>
            <w:r>
              <w:rPr>
                <w:bCs/>
                <w:snapToGrid w:val="0"/>
                <w:kern w:val="0"/>
                <w:sz w:val="24"/>
              </w:rPr>
              <w:t>（6）事故状态下对土壤的影响</w:t>
            </w:r>
          </w:p>
          <w:p>
            <w:pPr>
              <w:spacing w:line="360" w:lineRule="auto"/>
              <w:ind w:firstLine="480" w:firstLineChars="200"/>
              <w:jc w:val="left"/>
              <w:rPr>
                <w:sz w:val="24"/>
              </w:rPr>
            </w:pPr>
            <w:r>
              <w:rPr>
                <w:bCs/>
                <w:snapToGrid w:val="0"/>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spacing w:line="360" w:lineRule="auto"/>
              <w:rPr>
                <w:b/>
                <w:bCs/>
                <w:sz w:val="24"/>
              </w:rPr>
            </w:pPr>
            <w:r>
              <w:rPr>
                <w:b/>
                <w:bCs/>
                <w:sz w:val="24"/>
              </w:rPr>
              <w:t>4.6.3其他影响源调查</w:t>
            </w:r>
          </w:p>
          <w:p>
            <w:pPr>
              <w:spacing w:line="360" w:lineRule="auto"/>
              <w:ind w:firstLine="480" w:firstLineChars="200"/>
              <w:rPr>
                <w:b/>
                <w:bCs/>
                <w:sz w:val="24"/>
              </w:rPr>
            </w:pPr>
            <w:r>
              <w:rPr>
                <w:sz w:val="24"/>
              </w:rPr>
              <w:t>项目周边为农村地区，无与建设项目产生同种特征因子或造成相同土壤环境影响后果的影响源。</w:t>
            </w:r>
          </w:p>
          <w:p>
            <w:pPr>
              <w:spacing w:line="360" w:lineRule="auto"/>
              <w:ind w:firstLine="480" w:firstLineChars="200"/>
              <w:rPr>
                <w:sz w:val="24"/>
              </w:rPr>
            </w:pPr>
            <w:r>
              <w:rPr>
                <w:sz w:val="24"/>
              </w:rPr>
              <w:t>岩屑堆放区设置雨棚，防止雨水淋滤导致污染物下渗污染。</w:t>
            </w:r>
          </w:p>
          <w:p>
            <w:pPr>
              <w:spacing w:line="360" w:lineRule="auto"/>
              <w:ind w:firstLine="480" w:firstLineChars="200"/>
              <w:rPr>
                <w:sz w:val="24"/>
              </w:rPr>
            </w:pPr>
            <w:r>
              <w:rPr>
                <w:sz w:val="24"/>
              </w:rPr>
              <w:t>针对渗入影响落实地下水评价内容提出的防渗分区及防渗措施。</w:t>
            </w:r>
          </w:p>
          <w:p>
            <w:pPr>
              <w:adjustRightInd w:val="0"/>
              <w:snapToGrid w:val="0"/>
              <w:spacing w:line="360" w:lineRule="auto"/>
              <w:ind w:firstLine="480" w:firstLineChars="200"/>
              <w:rPr>
                <w:sz w:val="24"/>
              </w:rPr>
            </w:pPr>
            <w:r>
              <w:rPr>
                <w:sz w:val="24"/>
              </w:rPr>
              <w:t>针对地面漫流影响实施井场清污分流措施，在井场四周设置雨水排水沟，场外雨水随雨水沟排放；井场分为清洁区和污染区，通过挡墙隔离。污染区雨水进入集水坑收集泵提升废水罐处理后回用。油罐区雨水经过隔油池处理后外排。以上措施分别纳入地下水的分区防渗和地表水的清污分流措施投资，经济可行，技术简单可行。</w:t>
            </w:r>
          </w:p>
          <w:p>
            <w:pPr>
              <w:spacing w:line="360" w:lineRule="auto"/>
              <w:rPr>
                <w:b/>
                <w:bCs/>
                <w:sz w:val="24"/>
              </w:rPr>
            </w:pPr>
            <w:r>
              <w:rPr>
                <w:b/>
                <w:bCs/>
                <w:sz w:val="24"/>
              </w:rPr>
              <w:t>4.7生态环境影响分析</w:t>
            </w:r>
          </w:p>
          <w:p>
            <w:pPr>
              <w:spacing w:line="360" w:lineRule="auto"/>
              <w:rPr>
                <w:b/>
                <w:sz w:val="24"/>
              </w:rPr>
            </w:pPr>
            <w:bookmarkStart w:id="44" w:name="_Hlk66980492"/>
            <w:r>
              <w:rPr>
                <w:b/>
                <w:sz w:val="24"/>
              </w:rPr>
              <w:t>4.7.1生态影响分析</w:t>
            </w:r>
          </w:p>
          <w:p>
            <w:pPr>
              <w:spacing w:line="360" w:lineRule="auto"/>
              <w:ind w:firstLine="480" w:firstLineChars="200"/>
              <w:rPr>
                <w:sz w:val="24"/>
              </w:rPr>
            </w:pPr>
            <w:r>
              <w:rPr>
                <w:rFonts w:hint="default"/>
                <w:sz w:val="24"/>
              </w:rPr>
              <w:t>本项目</w:t>
            </w:r>
            <w:r>
              <w:rPr>
                <w:rFonts w:hint="eastAsia"/>
                <w:sz w:val="24"/>
                <w:lang w:val="en-US" w:eastAsia="zh-CN"/>
              </w:rPr>
              <w:t>总</w:t>
            </w:r>
            <w:r>
              <w:rPr>
                <w:rFonts w:hint="default"/>
                <w:sz w:val="24"/>
              </w:rPr>
              <w:t>占地</w:t>
            </w:r>
            <w:r>
              <w:rPr>
                <w:rFonts w:hint="eastAsia"/>
                <w:sz w:val="24"/>
                <w:lang w:val="en-US" w:eastAsia="zh-CN"/>
              </w:rPr>
              <w:t>面积为15439</w:t>
            </w:r>
            <w:r>
              <w:rPr>
                <w:rFonts w:hint="default"/>
                <w:sz w:val="24"/>
              </w:rPr>
              <w:t>m</w:t>
            </w:r>
            <w:r>
              <w:rPr>
                <w:rFonts w:hint="default"/>
                <w:sz w:val="24"/>
                <w:vertAlign w:val="superscript"/>
              </w:rPr>
              <w:t>2</w:t>
            </w:r>
            <w:r>
              <w:rPr>
                <w:rFonts w:hint="default"/>
                <w:sz w:val="24"/>
              </w:rPr>
              <w:t>，</w:t>
            </w:r>
            <w:r>
              <w:rPr>
                <w:rFonts w:hint="eastAsia"/>
                <w:sz w:val="24"/>
                <w:lang w:val="en-US" w:eastAsia="zh-CN"/>
              </w:rPr>
              <w:t>其中依托原有井场占地面积为8650m</w:t>
            </w:r>
            <w:r>
              <w:rPr>
                <w:rFonts w:hint="eastAsia"/>
                <w:sz w:val="24"/>
                <w:vertAlign w:val="superscript"/>
                <w:lang w:val="en-US" w:eastAsia="zh-CN"/>
              </w:rPr>
              <w:t>2</w:t>
            </w:r>
            <w:r>
              <w:rPr>
                <w:rFonts w:hint="eastAsia"/>
                <w:sz w:val="24"/>
                <w:lang w:val="en-US" w:eastAsia="zh-CN"/>
              </w:rPr>
              <w:t>，本</w:t>
            </w:r>
            <w:r>
              <w:rPr>
                <w:rFonts w:hint="default"/>
                <w:sz w:val="24"/>
              </w:rPr>
              <w:t>工程影响生态环境的因素主要是在钻前施工期间，在此期间会对井场、井场道路所征用土地的植被进行清除，改变土地利用现状；对井场及井场道路用地进行开挖、平整会改变土壤结构，造成地表裸露，开挖的土石方临时就近堆放，引起新的水土流失；环境改变和施工噪声可能会影响周围栖息的动物。</w:t>
            </w:r>
            <w:r>
              <w:rPr>
                <w:sz w:val="24"/>
              </w:rPr>
              <w:t>对区域土地利用格局产生的影响甚微</w:t>
            </w:r>
          </w:p>
          <w:bookmarkEnd w:id="44"/>
          <w:p>
            <w:pPr>
              <w:spacing w:line="360" w:lineRule="auto"/>
              <w:rPr>
                <w:b/>
                <w:bCs/>
                <w:sz w:val="24"/>
              </w:rPr>
            </w:pPr>
            <w:r>
              <w:rPr>
                <w:b/>
                <w:bCs/>
                <w:sz w:val="24"/>
              </w:rPr>
              <w:t>4.7.2项目占地对土地利用影响分析</w:t>
            </w:r>
          </w:p>
          <w:p>
            <w:pPr>
              <w:tabs>
                <w:tab w:val="left" w:pos="7170"/>
              </w:tabs>
              <w:autoSpaceDE w:val="0"/>
              <w:autoSpaceDN w:val="0"/>
              <w:spacing w:line="360" w:lineRule="auto"/>
              <w:ind w:firstLine="480" w:firstLineChars="200"/>
              <w:rPr>
                <w:sz w:val="24"/>
              </w:rPr>
            </w:pPr>
            <w:bookmarkStart w:id="45" w:name="_Hlk66980532"/>
            <w:r>
              <w:rPr>
                <w:rFonts w:hint="default"/>
                <w:sz w:val="24"/>
              </w:rPr>
              <w:t>本项目临时占地面积约</w:t>
            </w:r>
            <w:r>
              <w:rPr>
                <w:rFonts w:hint="eastAsia"/>
                <w:sz w:val="24"/>
                <w:lang w:val="en-US" w:eastAsia="zh-CN"/>
              </w:rPr>
              <w:t>15439</w:t>
            </w:r>
            <w:r>
              <w:rPr>
                <w:rFonts w:hint="default"/>
                <w:sz w:val="24"/>
              </w:rPr>
              <w:t>m</w:t>
            </w:r>
            <w:r>
              <w:rPr>
                <w:rFonts w:hint="default"/>
                <w:sz w:val="24"/>
                <w:vertAlign w:val="superscript"/>
              </w:rPr>
              <w:t>2</w:t>
            </w:r>
            <w:r>
              <w:rPr>
                <w:rFonts w:hint="default"/>
                <w:sz w:val="24"/>
              </w:rPr>
              <w:t>，</w:t>
            </w:r>
            <w:r>
              <w:rPr>
                <w:rFonts w:hint="default"/>
                <w:sz w:val="24"/>
                <w:lang w:val="en-US" w:eastAsia="zh-CN"/>
              </w:rPr>
              <w:t>其中依托原有井场占地面积为8650m</w:t>
            </w:r>
            <w:r>
              <w:rPr>
                <w:rFonts w:hint="default"/>
                <w:sz w:val="24"/>
                <w:vertAlign w:val="superscript"/>
                <w:lang w:val="en-US" w:eastAsia="zh-CN"/>
              </w:rPr>
              <w:t>2</w:t>
            </w:r>
            <w:r>
              <w:rPr>
                <w:rFonts w:hint="default"/>
                <w:sz w:val="24"/>
                <w:lang w:val="en-US" w:eastAsia="zh-CN"/>
              </w:rPr>
              <w:t>，</w:t>
            </w:r>
            <w:r>
              <w:rPr>
                <w:rFonts w:hint="eastAsia"/>
                <w:sz w:val="24"/>
                <w:lang w:val="en-US" w:eastAsia="zh-CN"/>
              </w:rPr>
              <w:t>本项目新增</w:t>
            </w:r>
            <w:r>
              <w:rPr>
                <w:rFonts w:hint="default"/>
                <w:sz w:val="24"/>
              </w:rPr>
              <w:t>临时占地主要为旱地、水田，区域土地利用结构破碎程度较高。项目施工期占地面积相对较小，不会导致区域土地利用格局的发生明显变化</w:t>
            </w:r>
            <w:r>
              <w:rPr>
                <w:sz w:val="24"/>
              </w:rPr>
              <w:t>。</w:t>
            </w:r>
            <w:bookmarkEnd w:id="45"/>
          </w:p>
          <w:p>
            <w:pPr>
              <w:tabs>
                <w:tab w:val="left" w:pos="7170"/>
              </w:tabs>
              <w:autoSpaceDE w:val="0"/>
              <w:autoSpaceDN w:val="0"/>
              <w:spacing w:line="360" w:lineRule="auto"/>
              <w:rPr>
                <w:b/>
                <w:bCs/>
                <w:sz w:val="24"/>
              </w:rPr>
            </w:pPr>
            <w:r>
              <w:rPr>
                <w:b/>
                <w:bCs/>
                <w:sz w:val="24"/>
              </w:rPr>
              <w:t>4.7.3对项目所在区域植物影响分析</w:t>
            </w:r>
          </w:p>
          <w:p>
            <w:pPr>
              <w:tabs>
                <w:tab w:val="left" w:pos="7170"/>
              </w:tabs>
              <w:autoSpaceDE w:val="0"/>
              <w:autoSpaceDN w:val="0"/>
              <w:spacing w:line="360" w:lineRule="auto"/>
              <w:ind w:firstLine="480" w:firstLineChars="200"/>
              <w:rPr>
                <w:sz w:val="24"/>
              </w:rPr>
            </w:pPr>
            <w:r>
              <w:rPr>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tabs>
                <w:tab w:val="left" w:pos="7170"/>
              </w:tabs>
              <w:autoSpaceDE w:val="0"/>
              <w:autoSpaceDN w:val="0"/>
              <w:spacing w:line="360" w:lineRule="auto"/>
              <w:ind w:firstLine="480" w:firstLineChars="200"/>
              <w:rPr>
                <w:sz w:val="24"/>
              </w:rPr>
            </w:pPr>
            <w:r>
              <w:rPr>
                <w:sz w:val="24"/>
              </w:rPr>
              <w:t>（1）对生物量的影响</w:t>
            </w:r>
          </w:p>
          <w:p>
            <w:pPr>
              <w:tabs>
                <w:tab w:val="left" w:pos="7170"/>
              </w:tabs>
              <w:autoSpaceDE w:val="0"/>
              <w:autoSpaceDN w:val="0"/>
              <w:spacing w:line="360" w:lineRule="auto"/>
              <w:ind w:firstLine="480" w:firstLineChars="200"/>
              <w:rPr>
                <w:sz w:val="24"/>
              </w:rPr>
            </w:pPr>
            <w:r>
              <w:rPr>
                <w:rFonts w:hint="eastAsia"/>
                <w:sz w:val="24"/>
              </w:rPr>
              <w:t>生活区临时占地</w:t>
            </w:r>
            <w:r>
              <w:rPr>
                <w:sz w:val="24"/>
              </w:rPr>
              <w:t>等建设将清除地表植被，剥离地表覆盖层，势必降低植被覆盖率，导致区域植被的损失。一般工程临时占地对农作物的影响主要为当季影响，在施工结束后，第二年即可复种，根据同类工程调查，复垦地1~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期损失的地表植被生物总量和生产力会得到一定的补偿。</w:t>
            </w:r>
          </w:p>
          <w:p>
            <w:pPr>
              <w:tabs>
                <w:tab w:val="left" w:pos="7170"/>
              </w:tabs>
              <w:autoSpaceDE w:val="0"/>
              <w:autoSpaceDN w:val="0"/>
              <w:spacing w:line="360" w:lineRule="auto"/>
              <w:ind w:firstLine="480" w:firstLineChars="200"/>
              <w:rPr>
                <w:sz w:val="24"/>
              </w:rPr>
            </w:pPr>
            <w:r>
              <w:rPr>
                <w:sz w:val="24"/>
              </w:rPr>
              <w:t>（2）对多样性的影响</w:t>
            </w:r>
          </w:p>
          <w:p>
            <w:pPr>
              <w:tabs>
                <w:tab w:val="left" w:pos="7170"/>
              </w:tabs>
              <w:autoSpaceDE w:val="0"/>
              <w:autoSpaceDN w:val="0"/>
              <w:spacing w:line="360" w:lineRule="auto"/>
              <w:ind w:firstLine="480" w:firstLineChars="200"/>
              <w:rPr>
                <w:sz w:val="24"/>
              </w:rPr>
            </w:pPr>
            <w:r>
              <w:rPr>
                <w:rFonts w:hint="eastAsia"/>
                <w:sz w:val="24"/>
              </w:rPr>
              <w:t>本项目依托原铁北1井已建井场建设，不涉及新建井场，因此对周边环境影响较小。</w:t>
            </w:r>
            <w:r>
              <w:rPr>
                <w:sz w:val="24"/>
              </w:rPr>
              <w:t>根据现场调查，项目</w:t>
            </w:r>
            <w:r>
              <w:rPr>
                <w:rFonts w:hint="eastAsia"/>
                <w:sz w:val="24"/>
              </w:rPr>
              <w:t>周边</w:t>
            </w:r>
            <w:r>
              <w:rPr>
                <w:sz w:val="24"/>
              </w:rPr>
              <w:t>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更也不会引起物种的损失。</w:t>
            </w:r>
          </w:p>
          <w:p>
            <w:pPr>
              <w:tabs>
                <w:tab w:val="left" w:pos="7170"/>
              </w:tabs>
              <w:autoSpaceDE w:val="0"/>
              <w:autoSpaceDN w:val="0"/>
              <w:spacing w:line="360" w:lineRule="auto"/>
              <w:ind w:firstLine="480" w:firstLineChars="200"/>
              <w:rPr>
                <w:sz w:val="24"/>
              </w:rPr>
            </w:pPr>
            <w:r>
              <w:rPr>
                <w:sz w:val="24"/>
              </w:rPr>
              <w:t>（3）失火风险</w:t>
            </w:r>
          </w:p>
          <w:p>
            <w:pPr>
              <w:tabs>
                <w:tab w:val="left" w:pos="7170"/>
              </w:tabs>
              <w:autoSpaceDE w:val="0"/>
              <w:autoSpaceDN w:val="0"/>
              <w:spacing w:line="360" w:lineRule="auto"/>
              <w:ind w:firstLine="480" w:firstLineChars="200"/>
              <w:rPr>
                <w:sz w:val="24"/>
              </w:rPr>
            </w:pPr>
            <w:r>
              <w:rPr>
                <w:sz w:val="24"/>
              </w:rPr>
              <w:t>根据施工规范，在放喷池周边设置防火带，加上井场施工自身的防火要求，将严格控制施工人员的管理，规范用火。做好相关管控措施后，造成周边植被起火风险性小。</w:t>
            </w:r>
          </w:p>
          <w:p>
            <w:pPr>
              <w:spacing w:line="360" w:lineRule="auto"/>
              <w:rPr>
                <w:b/>
                <w:bCs/>
                <w:sz w:val="24"/>
              </w:rPr>
            </w:pPr>
            <w:bookmarkStart w:id="46" w:name="_Hlk66980561"/>
            <w:r>
              <w:rPr>
                <w:b/>
                <w:bCs/>
                <w:sz w:val="24"/>
              </w:rPr>
              <w:t>4.7.4非正常生产时事故放喷对生态环境的影响分析</w:t>
            </w:r>
          </w:p>
          <w:bookmarkEnd w:id="46"/>
          <w:p>
            <w:pPr>
              <w:pStyle w:val="204"/>
              <w:spacing w:line="360" w:lineRule="auto"/>
              <w:ind w:firstLine="480"/>
              <w:rPr>
                <w:szCs w:val="24"/>
              </w:rPr>
            </w:pPr>
            <w:bookmarkStart w:id="47" w:name="_Hlk66980570"/>
            <w:r>
              <w:rPr>
                <w:szCs w:val="24"/>
              </w:rPr>
              <w:t>钻井非正常生产时事故放喷放喷对生态环境的影响主要是放喷产生的热辐射和SO</w:t>
            </w:r>
            <w:r>
              <w:rPr>
                <w:szCs w:val="24"/>
                <w:vertAlign w:val="subscript"/>
              </w:rPr>
              <w:t>2</w:t>
            </w:r>
            <w:r>
              <w:rPr>
                <w:szCs w:val="24"/>
              </w:rPr>
              <w:t>、CO</w:t>
            </w:r>
            <w:r>
              <w:rPr>
                <w:szCs w:val="24"/>
                <w:vertAlign w:val="subscript"/>
              </w:rPr>
              <w:t>2</w:t>
            </w:r>
            <w:r>
              <w:rPr>
                <w:szCs w:val="24"/>
              </w:rPr>
              <w:t>对生态的影响。</w:t>
            </w:r>
          </w:p>
          <w:p>
            <w:pPr>
              <w:pStyle w:val="204"/>
              <w:spacing w:line="360" w:lineRule="auto"/>
              <w:ind w:firstLine="480"/>
              <w:rPr>
                <w:szCs w:val="24"/>
              </w:rPr>
            </w:pPr>
            <w:r>
              <w:rPr>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50m范围的农作物。天然气放喷在专门的放喷池中点火放喷，放喷池是由三面3m高的砖墙组成，采用放喷池放喷，可以有效减小放喷天然气燃烧产生的热辐射对周围的土壤和植被的灼伤。</w:t>
            </w:r>
          </w:p>
          <w:p>
            <w:pPr>
              <w:spacing w:line="360" w:lineRule="auto"/>
              <w:rPr>
                <w:b/>
                <w:sz w:val="24"/>
              </w:rPr>
            </w:pPr>
            <w:r>
              <w:rPr>
                <w:b/>
                <w:sz w:val="24"/>
              </w:rPr>
              <w:t>4.</w:t>
            </w:r>
            <w:bookmarkStart w:id="48" w:name="_Hlk80689288"/>
            <w:r>
              <w:rPr>
                <w:b/>
                <w:sz w:val="24"/>
              </w:rPr>
              <w:t>8土壤环境影响分析</w:t>
            </w:r>
            <w:bookmarkEnd w:id="48"/>
          </w:p>
          <w:p>
            <w:pPr>
              <w:pStyle w:val="204"/>
              <w:spacing w:line="360" w:lineRule="auto"/>
              <w:ind w:left="0" w:leftChars="0" w:firstLine="0" w:firstLineChars="0"/>
              <w:rPr>
                <w:rFonts w:hint="eastAsia"/>
                <w:b/>
                <w:bCs/>
                <w:szCs w:val="24"/>
              </w:rPr>
            </w:pPr>
            <w:bookmarkStart w:id="49" w:name="_Hlk80689308"/>
            <w:r>
              <w:rPr>
                <w:rFonts w:hint="eastAsia"/>
                <w:b/>
                <w:bCs/>
                <w:szCs w:val="24"/>
              </w:rPr>
              <w:t>4.</w:t>
            </w:r>
            <w:r>
              <w:rPr>
                <w:rFonts w:hint="eastAsia"/>
                <w:b/>
                <w:bCs/>
                <w:szCs w:val="24"/>
                <w:lang w:val="en-US" w:eastAsia="zh-CN"/>
              </w:rPr>
              <w:t>8</w:t>
            </w:r>
            <w:r>
              <w:rPr>
                <w:rFonts w:hint="eastAsia"/>
                <w:b/>
                <w:bCs/>
                <w:szCs w:val="24"/>
              </w:rPr>
              <w:t>.1影响途径</w:t>
            </w:r>
          </w:p>
          <w:p>
            <w:pPr>
              <w:pStyle w:val="204"/>
              <w:spacing w:line="360" w:lineRule="auto"/>
              <w:ind w:firstLine="480"/>
              <w:rPr>
                <w:rFonts w:hint="eastAsia"/>
                <w:szCs w:val="24"/>
              </w:rPr>
            </w:pPr>
            <w:r>
              <w:rPr>
                <w:rFonts w:hint="eastAsia"/>
                <w:szCs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20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bCs/>
                <w:szCs w:val="24"/>
              </w:rPr>
            </w:pPr>
            <w:r>
              <w:rPr>
                <w:rFonts w:hint="eastAsia"/>
                <w:b/>
                <w:bCs/>
                <w:szCs w:val="24"/>
              </w:rPr>
              <w:t>表4-2</w:t>
            </w:r>
            <w:r>
              <w:rPr>
                <w:rFonts w:hint="eastAsia"/>
                <w:b/>
                <w:bCs/>
                <w:szCs w:val="24"/>
                <w:lang w:val="en-US" w:eastAsia="zh-CN"/>
              </w:rPr>
              <w:t>1</w:t>
            </w:r>
            <w:r>
              <w:rPr>
                <w:rFonts w:hint="eastAsia"/>
                <w:b/>
                <w:bCs/>
                <w:szCs w:val="24"/>
              </w:rPr>
              <w:t xml:space="preserve"> 建设项目土壤环境影响类型与影响途径表</w:t>
            </w:r>
          </w:p>
          <w:tbl>
            <w:tblPr>
              <w:tblStyle w:val="45"/>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不同时段</w:t>
                  </w:r>
                </w:p>
              </w:tc>
              <w:tc>
                <w:tcPr>
                  <w:tcW w:w="6170" w:type="dxa"/>
                  <w:gridSpan w:val="4"/>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542"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大气沉降</w:t>
                  </w:r>
                </w:p>
              </w:tc>
              <w:tc>
                <w:tcPr>
                  <w:tcW w:w="1542"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地面漫流</w:t>
                  </w:r>
                </w:p>
              </w:tc>
              <w:tc>
                <w:tcPr>
                  <w:tcW w:w="1543"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垂直入渗</w:t>
                  </w:r>
                </w:p>
              </w:tc>
              <w:tc>
                <w:tcPr>
                  <w:tcW w:w="1543"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钻井期</w:t>
                  </w:r>
                </w:p>
              </w:tc>
              <w:tc>
                <w:tcPr>
                  <w:tcW w:w="1542"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w:t>
                  </w:r>
                </w:p>
              </w:tc>
              <w:tc>
                <w:tcPr>
                  <w:tcW w:w="1542"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w:t>
                  </w:r>
                </w:p>
              </w:tc>
              <w:tc>
                <w:tcPr>
                  <w:tcW w:w="1543"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w:t>
                  </w:r>
                </w:p>
              </w:tc>
              <w:tc>
                <w:tcPr>
                  <w:tcW w:w="1543"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w:t>
                  </w:r>
                </w:p>
              </w:tc>
            </w:tr>
          </w:tbl>
          <w:p>
            <w:pPr>
              <w:pStyle w:val="204"/>
              <w:spacing w:line="360" w:lineRule="auto"/>
              <w:ind w:left="0" w:leftChars="0" w:firstLine="0" w:firstLineChars="0"/>
              <w:rPr>
                <w:rFonts w:hint="eastAsia"/>
                <w:b/>
                <w:bCs/>
                <w:szCs w:val="24"/>
              </w:rPr>
            </w:pPr>
            <w:r>
              <w:rPr>
                <w:rFonts w:hint="eastAsia"/>
                <w:b/>
                <w:bCs/>
                <w:szCs w:val="24"/>
              </w:rPr>
              <w:t>4.</w:t>
            </w:r>
            <w:r>
              <w:rPr>
                <w:rFonts w:hint="eastAsia"/>
                <w:b/>
                <w:bCs/>
                <w:szCs w:val="24"/>
                <w:lang w:val="en-US" w:eastAsia="zh-CN"/>
              </w:rPr>
              <w:t>8</w:t>
            </w:r>
            <w:r>
              <w:rPr>
                <w:rFonts w:hint="eastAsia"/>
                <w:b/>
                <w:bCs/>
                <w:szCs w:val="24"/>
              </w:rPr>
              <w:t>.2影响源与影响因子</w:t>
            </w:r>
          </w:p>
          <w:p>
            <w:pPr>
              <w:pStyle w:val="204"/>
              <w:spacing w:line="360" w:lineRule="auto"/>
              <w:ind w:firstLine="480"/>
              <w:rPr>
                <w:rFonts w:hint="eastAsia"/>
                <w:szCs w:val="24"/>
              </w:rPr>
            </w:pPr>
            <w:r>
              <w:rPr>
                <w:rFonts w:hint="eastAsia"/>
                <w:szCs w:val="24"/>
              </w:rPr>
              <w:t>根据工程分析，项目的主要土壤影响源为井场污染区（泥浆循环区、井口区、动力机组区、清洁生产操作平台）废水、固废入渗影响，应急池废水的入渗影响，油罐区废水的入渗影响，井场区雨水的漫流影响。</w:t>
            </w:r>
          </w:p>
          <w:p>
            <w:pPr>
              <w:pStyle w:val="204"/>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b/>
                <w:bCs/>
                <w:szCs w:val="24"/>
              </w:rPr>
            </w:pPr>
            <w:r>
              <w:rPr>
                <w:rFonts w:hint="eastAsia"/>
                <w:b/>
                <w:bCs/>
                <w:szCs w:val="24"/>
              </w:rPr>
              <w:t>表4-2</w:t>
            </w:r>
            <w:r>
              <w:rPr>
                <w:rFonts w:hint="eastAsia"/>
                <w:b/>
                <w:bCs/>
                <w:szCs w:val="24"/>
                <w:lang w:val="en-US" w:eastAsia="zh-CN"/>
              </w:rPr>
              <w:t>2</w:t>
            </w:r>
            <w:r>
              <w:rPr>
                <w:rFonts w:hint="eastAsia"/>
                <w:b/>
                <w:bCs/>
                <w:szCs w:val="24"/>
              </w:rPr>
              <w:t xml:space="preserve"> 土壤环境影响源及影响因子识别表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污染源</w:t>
                  </w:r>
                </w:p>
              </w:tc>
              <w:tc>
                <w:tcPr>
                  <w:tcW w:w="1515"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工艺流程/节点</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污染途径</w:t>
                  </w:r>
                </w:p>
              </w:tc>
              <w:tc>
                <w:tcPr>
                  <w:tcW w:w="1627"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全部污染物指标</w:t>
                  </w:r>
                </w:p>
              </w:tc>
              <w:tc>
                <w:tcPr>
                  <w:tcW w:w="1430"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特征因子</w:t>
                  </w: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井场</w:t>
                  </w:r>
                </w:p>
              </w:tc>
              <w:tc>
                <w:tcPr>
                  <w:tcW w:w="1515"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污染区（泥浆循环区、井口区、动力机组区、清洁生产操作平台）</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垂直入渗</w:t>
                  </w:r>
                </w:p>
              </w:tc>
              <w:tc>
                <w:tcPr>
                  <w:tcW w:w="1627"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COD、SS、硫化物、石油类</w:t>
                  </w:r>
                </w:p>
              </w:tc>
              <w:tc>
                <w:tcPr>
                  <w:tcW w:w="1430"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石油烃、硫化物</w:t>
                  </w: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515"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清洁区</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垂直入渗</w:t>
                  </w:r>
                </w:p>
              </w:tc>
              <w:tc>
                <w:tcPr>
                  <w:tcW w:w="1627"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COD、SS、硫化物、石油类</w:t>
                  </w:r>
                </w:p>
              </w:tc>
              <w:tc>
                <w:tcPr>
                  <w:tcW w:w="1430"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石油烃、硫化物</w:t>
                  </w: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515"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地面漫流</w:t>
                  </w:r>
                </w:p>
              </w:tc>
              <w:tc>
                <w:tcPr>
                  <w:tcW w:w="1627"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430"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应急池</w:t>
                  </w:r>
                </w:p>
              </w:tc>
              <w:tc>
                <w:tcPr>
                  <w:tcW w:w="1515"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垂直入渗</w:t>
                  </w:r>
                </w:p>
              </w:tc>
              <w:tc>
                <w:tcPr>
                  <w:tcW w:w="1627"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COD、SS、硫化物、石油类</w:t>
                  </w:r>
                </w:p>
              </w:tc>
              <w:tc>
                <w:tcPr>
                  <w:tcW w:w="1430"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石油烃、硫化物</w:t>
                  </w: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连续、事故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油罐区、隔油池</w:t>
                  </w:r>
                </w:p>
              </w:tc>
              <w:tc>
                <w:tcPr>
                  <w:tcW w:w="1515"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垂直入渗</w:t>
                  </w:r>
                </w:p>
              </w:tc>
              <w:tc>
                <w:tcPr>
                  <w:tcW w:w="1627"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石油类</w:t>
                  </w:r>
                </w:p>
              </w:tc>
              <w:tc>
                <w:tcPr>
                  <w:tcW w:w="1430" w:type="dxa"/>
                  <w:vMerge w:val="restart"/>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石油烃</w:t>
                  </w: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515"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w:t>
                  </w:r>
                </w:p>
              </w:tc>
              <w:tc>
                <w:tcPr>
                  <w:tcW w:w="110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r>
                    <w:rPr>
                      <w:rFonts w:hint="eastAsia" w:ascii="Times New Roman" w:hAnsi="Times New Roman" w:eastAsia="宋体" w:cs="Times New Roman"/>
                      <w:kern w:val="2"/>
                      <w:sz w:val="21"/>
                      <w:szCs w:val="21"/>
                      <w:lang w:val="zh-CN" w:eastAsia="zh-CN" w:bidi="zh-CN"/>
                    </w:rPr>
                    <w:t>地面漫流</w:t>
                  </w:r>
                </w:p>
              </w:tc>
              <w:tc>
                <w:tcPr>
                  <w:tcW w:w="1627"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1430" w:type="dxa"/>
                  <w:vMerge w:val="continue"/>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zh-CN" w:eastAsia="zh-CN" w:bidi="zh-CN"/>
                    </w:rPr>
                  </w:pPr>
                </w:p>
              </w:tc>
              <w:tc>
                <w:tcPr>
                  <w:tcW w:w="941" w:type="dxa"/>
                  <w:tcBorders>
                    <w:tl2br w:val="nil"/>
                    <w:tr2bl w:val="nil"/>
                  </w:tcBorders>
                  <w:vAlign w:val="center"/>
                </w:tcPr>
                <w:p>
                  <w:pPr>
                    <w:pStyle w:val="20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w:t>
                  </w:r>
                </w:p>
              </w:tc>
            </w:tr>
          </w:tbl>
          <w:p>
            <w:pPr>
              <w:pStyle w:val="204"/>
              <w:spacing w:line="360" w:lineRule="auto"/>
              <w:ind w:left="0" w:leftChars="0" w:firstLine="0" w:firstLineChars="0"/>
              <w:rPr>
                <w:rFonts w:hint="eastAsia"/>
                <w:b/>
                <w:bCs/>
                <w:szCs w:val="24"/>
              </w:rPr>
            </w:pPr>
            <w:r>
              <w:rPr>
                <w:rFonts w:hint="eastAsia"/>
                <w:b/>
                <w:bCs/>
                <w:szCs w:val="24"/>
              </w:rPr>
              <w:t>4.</w:t>
            </w:r>
            <w:r>
              <w:rPr>
                <w:rFonts w:hint="eastAsia"/>
                <w:b/>
                <w:bCs/>
                <w:szCs w:val="24"/>
                <w:lang w:val="en-US" w:eastAsia="zh-CN"/>
              </w:rPr>
              <w:t>8</w:t>
            </w:r>
            <w:r>
              <w:rPr>
                <w:rFonts w:hint="eastAsia"/>
                <w:b/>
                <w:bCs/>
                <w:szCs w:val="24"/>
              </w:rPr>
              <w:t>.</w:t>
            </w:r>
            <w:r>
              <w:rPr>
                <w:rFonts w:hint="eastAsia"/>
                <w:b/>
                <w:bCs/>
                <w:szCs w:val="24"/>
                <w:lang w:val="en-US" w:eastAsia="zh-CN"/>
              </w:rPr>
              <w:t>3</w:t>
            </w:r>
            <w:r>
              <w:rPr>
                <w:rFonts w:hint="eastAsia"/>
                <w:b/>
                <w:bCs/>
                <w:szCs w:val="24"/>
              </w:rPr>
              <w:t>土壤环境影响分析</w:t>
            </w:r>
          </w:p>
          <w:p>
            <w:pPr>
              <w:pStyle w:val="204"/>
              <w:spacing w:line="360" w:lineRule="auto"/>
              <w:ind w:firstLine="480"/>
              <w:rPr>
                <w:rFonts w:hint="eastAsia"/>
                <w:szCs w:val="24"/>
              </w:rPr>
            </w:pPr>
            <w:r>
              <w:rPr>
                <w:rFonts w:hint="eastAsia"/>
                <w:szCs w:val="24"/>
              </w:rPr>
              <w:t>本项目土壤环境影响分析将从如下方面进行分析：</w:t>
            </w:r>
          </w:p>
          <w:p>
            <w:pPr>
              <w:pStyle w:val="204"/>
              <w:spacing w:line="360" w:lineRule="auto"/>
              <w:ind w:firstLine="480"/>
              <w:rPr>
                <w:rFonts w:hint="eastAsia"/>
                <w:szCs w:val="24"/>
              </w:rPr>
            </w:pPr>
            <w:r>
              <w:rPr>
                <w:rFonts w:hint="eastAsia"/>
                <w:szCs w:val="24"/>
              </w:rPr>
              <w:t>（1）破坏土壤结构</w:t>
            </w:r>
          </w:p>
          <w:p>
            <w:pPr>
              <w:pStyle w:val="204"/>
              <w:spacing w:line="360" w:lineRule="auto"/>
              <w:ind w:firstLine="480"/>
              <w:rPr>
                <w:rFonts w:hint="eastAsia"/>
                <w:szCs w:val="24"/>
              </w:rPr>
            </w:pPr>
            <w:r>
              <w:rPr>
                <w:rFonts w:hint="eastAsia"/>
                <w:szCs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pStyle w:val="204"/>
              <w:spacing w:line="360" w:lineRule="auto"/>
              <w:ind w:firstLine="480"/>
              <w:rPr>
                <w:rFonts w:hint="eastAsia"/>
                <w:szCs w:val="24"/>
              </w:rPr>
            </w:pPr>
            <w:r>
              <w:rPr>
                <w:rFonts w:hint="eastAsia"/>
                <w:szCs w:val="24"/>
              </w:rPr>
              <w:t>（2）改变土壤质地</w:t>
            </w:r>
          </w:p>
          <w:p>
            <w:pPr>
              <w:pStyle w:val="204"/>
              <w:spacing w:line="360" w:lineRule="auto"/>
              <w:ind w:firstLine="480"/>
              <w:rPr>
                <w:rFonts w:hint="eastAsia"/>
                <w:szCs w:val="24"/>
              </w:rPr>
            </w:pPr>
            <w:r>
              <w:rPr>
                <w:rFonts w:hint="eastAsia"/>
                <w:szCs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pStyle w:val="204"/>
              <w:spacing w:line="360" w:lineRule="auto"/>
              <w:ind w:firstLine="480"/>
              <w:rPr>
                <w:rFonts w:hint="eastAsia"/>
                <w:szCs w:val="24"/>
              </w:rPr>
            </w:pPr>
            <w:r>
              <w:rPr>
                <w:rFonts w:hint="eastAsia"/>
                <w:szCs w:val="24"/>
              </w:rPr>
              <w:t>（3）影响土壤紧实度</w:t>
            </w:r>
          </w:p>
          <w:p>
            <w:pPr>
              <w:pStyle w:val="204"/>
              <w:spacing w:line="360" w:lineRule="auto"/>
              <w:ind w:firstLine="480"/>
              <w:rPr>
                <w:rFonts w:hint="eastAsia"/>
                <w:szCs w:val="24"/>
              </w:rPr>
            </w:pPr>
            <w:r>
              <w:rPr>
                <w:rFonts w:hint="eastAsia"/>
                <w:szCs w:val="24"/>
              </w:rPr>
              <w:t>基础施工后一般在短时期难以恢复其原有的紧实度。表层过于疏松时，因灌溉和降水容易造成</w:t>
            </w:r>
            <w:r>
              <w:rPr>
                <w:rFonts w:hint="eastAsia"/>
                <w:szCs w:val="24"/>
                <w:lang w:val="en-US" w:eastAsia="zh-CN"/>
              </w:rPr>
              <w:t>水分</w:t>
            </w:r>
            <w:r>
              <w:rPr>
                <w:rFonts w:hint="eastAsia"/>
                <w:szCs w:val="24"/>
              </w:rPr>
              <w:t>下渗，使土层明显下陷形成凹沟。过于紧实时又会影响植物根系下扎。施工期间的车辆和重型机械的碾压也会造成管道两侧表层过于紧实，对植物生长产生不良影响。</w:t>
            </w:r>
          </w:p>
          <w:p>
            <w:pPr>
              <w:pStyle w:val="204"/>
              <w:spacing w:line="360" w:lineRule="auto"/>
              <w:ind w:firstLine="480"/>
              <w:rPr>
                <w:rFonts w:hint="eastAsia"/>
                <w:szCs w:val="24"/>
              </w:rPr>
            </w:pPr>
            <w:r>
              <w:rPr>
                <w:rFonts w:hint="eastAsia"/>
                <w:szCs w:val="24"/>
              </w:rPr>
              <w:t>（4）施工废弃物对土壤环境的影响</w:t>
            </w:r>
          </w:p>
          <w:p>
            <w:pPr>
              <w:pStyle w:val="204"/>
              <w:spacing w:line="360" w:lineRule="auto"/>
              <w:ind w:firstLine="480"/>
              <w:rPr>
                <w:rFonts w:hint="eastAsia"/>
                <w:szCs w:val="24"/>
              </w:rPr>
            </w:pPr>
            <w:r>
              <w:rPr>
                <w:rFonts w:hint="eastAsia"/>
                <w:szCs w:val="24"/>
              </w:rPr>
              <w:t>项目施工的产生的泥浆若落入土地，有可能把固体废弃物残留于土壤之中。这些固体废物一般都比较难于分解，影响环境景观和作物生长，若埋于土壤中则会对作物根系的生长和发育造成影响。</w:t>
            </w:r>
          </w:p>
          <w:p>
            <w:pPr>
              <w:pStyle w:val="204"/>
              <w:spacing w:line="360" w:lineRule="auto"/>
              <w:ind w:firstLine="480"/>
              <w:rPr>
                <w:rFonts w:hint="eastAsia"/>
                <w:szCs w:val="24"/>
              </w:rPr>
            </w:pPr>
            <w:r>
              <w:rPr>
                <w:rFonts w:hint="eastAsia"/>
                <w:szCs w:val="24"/>
              </w:rPr>
              <w:t>（5）项目建设对土壤养分现状的影响</w:t>
            </w:r>
          </w:p>
          <w:p>
            <w:pPr>
              <w:pStyle w:val="204"/>
              <w:spacing w:line="360" w:lineRule="auto"/>
              <w:ind w:firstLine="480"/>
              <w:rPr>
                <w:rFonts w:hint="eastAsia"/>
                <w:szCs w:val="24"/>
              </w:rPr>
            </w:pPr>
            <w:r>
              <w:rPr>
                <w:rFonts w:hint="eastAsia"/>
                <w:szCs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于恢复。</w:t>
            </w:r>
          </w:p>
          <w:p>
            <w:pPr>
              <w:pStyle w:val="204"/>
              <w:spacing w:line="360" w:lineRule="auto"/>
              <w:ind w:firstLine="480"/>
              <w:rPr>
                <w:rFonts w:hint="eastAsia"/>
                <w:szCs w:val="24"/>
              </w:rPr>
            </w:pPr>
            <w:r>
              <w:rPr>
                <w:rFonts w:hint="eastAsia"/>
                <w:szCs w:val="24"/>
              </w:rPr>
              <w:t>（6）事故状态下对土壤的影响</w:t>
            </w:r>
          </w:p>
          <w:p>
            <w:pPr>
              <w:pStyle w:val="204"/>
              <w:spacing w:line="360" w:lineRule="auto"/>
              <w:ind w:firstLine="480"/>
              <w:rPr>
                <w:rFonts w:hint="eastAsia"/>
                <w:szCs w:val="24"/>
              </w:rPr>
            </w:pPr>
            <w:r>
              <w:rPr>
                <w:rFonts w:hint="eastAsia"/>
                <w:szCs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pStyle w:val="204"/>
              <w:spacing w:line="360" w:lineRule="auto"/>
              <w:ind w:left="0" w:leftChars="0" w:firstLine="0" w:firstLineChars="0"/>
              <w:rPr>
                <w:rFonts w:hint="eastAsia"/>
                <w:b/>
                <w:bCs/>
                <w:szCs w:val="24"/>
              </w:rPr>
            </w:pPr>
            <w:r>
              <w:rPr>
                <w:rFonts w:hint="eastAsia"/>
                <w:b/>
                <w:bCs/>
                <w:szCs w:val="24"/>
              </w:rPr>
              <w:t>4.</w:t>
            </w:r>
            <w:r>
              <w:rPr>
                <w:rFonts w:hint="eastAsia"/>
                <w:b/>
                <w:bCs/>
                <w:szCs w:val="24"/>
                <w:lang w:val="en-US" w:eastAsia="zh-CN"/>
              </w:rPr>
              <w:t>8</w:t>
            </w:r>
            <w:r>
              <w:rPr>
                <w:rFonts w:hint="eastAsia"/>
                <w:b/>
                <w:bCs/>
                <w:szCs w:val="24"/>
              </w:rPr>
              <w:t>.3其他影响源调查</w:t>
            </w:r>
          </w:p>
          <w:p>
            <w:pPr>
              <w:pStyle w:val="204"/>
              <w:spacing w:line="360" w:lineRule="auto"/>
              <w:ind w:firstLine="480"/>
              <w:rPr>
                <w:rFonts w:hint="eastAsia"/>
                <w:szCs w:val="24"/>
              </w:rPr>
            </w:pPr>
            <w:r>
              <w:rPr>
                <w:rFonts w:hint="eastAsia"/>
                <w:szCs w:val="24"/>
              </w:rPr>
              <w:t>项目周边为农村地区，无与建设项目产生同种特征因子或造成相同土壤环境影响后果的影响源。</w:t>
            </w:r>
          </w:p>
          <w:p>
            <w:pPr>
              <w:pStyle w:val="204"/>
              <w:spacing w:line="360" w:lineRule="auto"/>
              <w:ind w:firstLine="480"/>
              <w:rPr>
                <w:rFonts w:hint="eastAsia"/>
                <w:szCs w:val="24"/>
              </w:rPr>
            </w:pPr>
            <w:r>
              <w:rPr>
                <w:rFonts w:hint="eastAsia"/>
                <w:szCs w:val="24"/>
              </w:rPr>
              <w:t>岩屑堆放区设置雨棚，防止雨水淋滤导致污染物下渗污染。</w:t>
            </w:r>
          </w:p>
          <w:p>
            <w:pPr>
              <w:pStyle w:val="204"/>
              <w:spacing w:line="360" w:lineRule="auto"/>
              <w:ind w:firstLine="480"/>
              <w:rPr>
                <w:rFonts w:hint="eastAsia"/>
                <w:szCs w:val="24"/>
              </w:rPr>
            </w:pPr>
            <w:r>
              <w:rPr>
                <w:rFonts w:hint="eastAsia"/>
                <w:szCs w:val="24"/>
              </w:rPr>
              <w:t>针对渗入影响落实地下水评价内容提出的防渗分区及防渗措施。</w:t>
            </w:r>
          </w:p>
          <w:p>
            <w:pPr>
              <w:pStyle w:val="204"/>
              <w:spacing w:line="360" w:lineRule="auto"/>
              <w:ind w:firstLine="480"/>
              <w:rPr>
                <w:rFonts w:hint="eastAsia"/>
                <w:szCs w:val="24"/>
              </w:rPr>
            </w:pPr>
            <w:r>
              <w:rPr>
                <w:rFonts w:hint="eastAsia"/>
                <w:szCs w:val="24"/>
              </w:rPr>
              <w:t>针对地面漫流影响实施井场清污分流措施，在井场四周设置雨水排水沟，场外雨水随雨水沟排放；井场分为清洁区和污染区，通过挡墙隔离。污染区雨水进入集水坑收集泵提升废水罐处理后回用。油罐区雨水经过隔油池处理后外排。以上措施分别纳入地下水的分区防渗和地表水的清污分流措施投资，经济可行，技术简单可行</w:t>
            </w:r>
          </w:p>
          <w:bookmarkEnd w:id="47"/>
          <w:bookmarkEnd w:id="49"/>
          <w:p>
            <w:pPr>
              <w:spacing w:line="360" w:lineRule="auto"/>
              <w:rPr>
                <w:b/>
                <w:sz w:val="24"/>
              </w:rPr>
            </w:pPr>
            <w:r>
              <w:rPr>
                <w:b/>
                <w:sz w:val="24"/>
              </w:rPr>
              <w:t>4.9结论</w:t>
            </w:r>
          </w:p>
          <w:p>
            <w:pPr>
              <w:pStyle w:val="204"/>
              <w:spacing w:line="360" w:lineRule="auto"/>
              <w:ind w:firstLine="480"/>
              <w:rPr>
                <w:sz w:val="21"/>
                <w:szCs w:val="21"/>
              </w:rPr>
            </w:pPr>
            <w:r>
              <w:rPr>
                <w:szCs w:val="24"/>
              </w:rPr>
              <w:t>综上所述，项目实施将对周边环境带来一定的影响，但这种影响是局部和暂时的，随工程施工结束而消失，不会引起该区域野生动物大面积迁移而消亡，因此，项目的实施对生态环境影响较小。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8"/>
              <w:widowControl w:val="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t>运营期生态环境影响分析</w:t>
            </w:r>
          </w:p>
        </w:tc>
        <w:tc>
          <w:tcPr>
            <w:tcW w:w="8363" w:type="dxa"/>
          </w:tcPr>
          <w:p>
            <w:pPr>
              <w:adjustRightInd w:val="0"/>
              <w:snapToGrid w:val="0"/>
              <w:spacing w:line="360" w:lineRule="auto"/>
              <w:ind w:firstLine="480" w:firstLineChars="200"/>
              <w:rPr>
                <w:bCs/>
                <w:sz w:val="24"/>
              </w:rPr>
            </w:pPr>
            <w:r>
              <w:rPr>
                <w:bCs/>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pPr>
              <w:adjustRightInd w:val="0"/>
              <w:snapToGrid w:val="0"/>
              <w:spacing w:line="360" w:lineRule="auto"/>
              <w:ind w:firstLine="480" w:firstLineChars="200"/>
              <w:rPr>
                <w:bCs/>
                <w:szCs w:val="21"/>
              </w:rPr>
            </w:pPr>
            <w:r>
              <w:rPr>
                <w:bCs/>
                <w:sz w:val="24"/>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pPr>
              <w:pStyle w:val="38"/>
              <w:widowControl w:val="0"/>
              <w:adjustRightInd w:val="0"/>
              <w:snapToGrid w:val="0"/>
              <w:spacing w:before="0" w:beforeAutospacing="0" w:after="0" w:afterAutospacing="0"/>
              <w:jc w:val="center"/>
              <w:rPr>
                <w:rFonts w:ascii="Times New Roman" w:hAnsi="Times New Roman"/>
                <w:bCs/>
                <w:spacing w:val="10"/>
                <w:kern w:val="2"/>
                <w:sz w:val="21"/>
                <w:szCs w:val="21"/>
              </w:rPr>
            </w:pPr>
            <w:r>
              <w:rPr>
                <w:rFonts w:ascii="Times New Roman" w:hAnsi="Times New Roman"/>
                <w:bCs/>
                <w:spacing w:val="10"/>
                <w:kern w:val="2"/>
                <w:sz w:val="21"/>
                <w:szCs w:val="21"/>
              </w:rPr>
              <w:t>选址选线环境合理性分析</w:t>
            </w:r>
          </w:p>
        </w:tc>
        <w:tc>
          <w:tcPr>
            <w:tcW w:w="8363" w:type="dxa"/>
          </w:tcPr>
          <w:p>
            <w:pPr>
              <w:adjustRightInd w:val="0"/>
              <w:snapToGrid w:val="0"/>
              <w:spacing w:line="360" w:lineRule="auto"/>
              <w:ind w:firstLine="480" w:firstLineChars="200"/>
              <w:rPr>
                <w:bCs/>
                <w:sz w:val="24"/>
              </w:rPr>
            </w:pPr>
            <w:r>
              <w:rPr>
                <w:bCs/>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pPr>
              <w:adjustRightInd w:val="0"/>
              <w:snapToGrid w:val="0"/>
              <w:spacing w:line="360" w:lineRule="auto"/>
              <w:ind w:firstLine="480" w:firstLineChars="200"/>
              <w:rPr>
                <w:bCs/>
                <w:sz w:val="24"/>
              </w:rPr>
            </w:pPr>
            <w:r>
              <w:rPr>
                <w:bCs/>
                <w:sz w:val="24"/>
              </w:rPr>
              <w:t>参考《钻前工程及井场布置技术要求》（SY/T5466-2013）的相关规定：油、气井井口距高压线及其他永久性设施不小于75m，距民宅不小于100m，距铁路、高速公路不小于200m，距学校、医院和大型油库等人口密集性、高危性场所不小于500m。在地下矿产采掘区钻井，井筒与采掘坑道、矿井坑道之间的距离不小于100m。工程井口与周围设施间距离等基本情况见下表。</w:t>
            </w:r>
          </w:p>
          <w:p>
            <w:pPr>
              <w:spacing w:line="360" w:lineRule="auto"/>
              <w:jc w:val="center"/>
              <w:rPr>
                <w:b/>
                <w:sz w:val="24"/>
              </w:rPr>
            </w:pPr>
            <w:r>
              <w:rPr>
                <w:b/>
                <w:sz w:val="24"/>
              </w:rPr>
              <w:t>表4-23 工程井口与周围设施间距离的符合性</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名称</w:t>
                  </w:r>
                </w:p>
              </w:tc>
              <w:tc>
                <w:tcPr>
                  <w:tcW w:w="1501" w:type="dxa"/>
                  <w:tcBorders>
                    <w:tl2br w:val="nil"/>
                    <w:tr2bl w:val="nil"/>
                  </w:tcBorders>
                  <w:vAlign w:val="center"/>
                </w:tcPr>
                <w:p>
                  <w:pPr>
                    <w:jc w:val="center"/>
                    <w:rPr>
                      <w:szCs w:val="21"/>
                    </w:rPr>
                  </w:pPr>
                  <w:r>
                    <w:rPr>
                      <w:szCs w:val="21"/>
                    </w:rPr>
                    <w:t>钻前工程井场技术要求</w:t>
                  </w:r>
                </w:p>
              </w:tc>
              <w:tc>
                <w:tcPr>
                  <w:tcW w:w="2567" w:type="dxa"/>
                  <w:tcBorders>
                    <w:tl2br w:val="nil"/>
                    <w:tr2bl w:val="nil"/>
                  </w:tcBorders>
                  <w:vAlign w:val="center"/>
                </w:tcPr>
                <w:p>
                  <w:pPr>
                    <w:jc w:val="center"/>
                    <w:rPr>
                      <w:szCs w:val="21"/>
                    </w:rPr>
                  </w:pPr>
                  <w:r>
                    <w:rPr>
                      <w:szCs w:val="21"/>
                    </w:rPr>
                    <w:t>是否涉及居民区、铁路等</w:t>
                  </w:r>
                </w:p>
              </w:tc>
              <w:tc>
                <w:tcPr>
                  <w:tcW w:w="2035" w:type="dxa"/>
                  <w:tcBorders>
                    <w:tl2br w:val="nil"/>
                    <w:tr2bl w:val="nil"/>
                  </w:tcBorders>
                  <w:vAlign w:val="center"/>
                </w:tcPr>
                <w:p>
                  <w:pPr>
                    <w:jc w:val="center"/>
                    <w:rPr>
                      <w:szCs w:val="21"/>
                    </w:rPr>
                  </w:pPr>
                  <w:r>
                    <w:rPr>
                      <w:szCs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高压线及其他永久设施</w:t>
                  </w:r>
                </w:p>
              </w:tc>
              <w:tc>
                <w:tcPr>
                  <w:tcW w:w="1501" w:type="dxa"/>
                  <w:tcBorders>
                    <w:tl2br w:val="nil"/>
                    <w:tr2bl w:val="nil"/>
                  </w:tcBorders>
                  <w:vAlign w:val="center"/>
                </w:tcPr>
                <w:p>
                  <w:pPr>
                    <w:jc w:val="center"/>
                    <w:rPr>
                      <w:szCs w:val="21"/>
                    </w:rPr>
                  </w:pPr>
                  <w:r>
                    <w:rPr>
                      <w:szCs w:val="21"/>
                    </w:rPr>
                    <w:t>≥75m</w:t>
                  </w:r>
                </w:p>
              </w:tc>
              <w:tc>
                <w:tcPr>
                  <w:tcW w:w="2567" w:type="dxa"/>
                  <w:tcBorders>
                    <w:tl2br w:val="nil"/>
                    <w:tr2bl w:val="nil"/>
                  </w:tcBorders>
                  <w:vAlign w:val="center"/>
                </w:tcPr>
                <w:p>
                  <w:pPr>
                    <w:jc w:val="center"/>
                    <w:rPr>
                      <w:szCs w:val="21"/>
                    </w:rPr>
                  </w:pPr>
                  <w:r>
                    <w:rPr>
                      <w:szCs w:val="21"/>
                    </w:rPr>
                    <w:t>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民宅</w:t>
                  </w:r>
                </w:p>
              </w:tc>
              <w:tc>
                <w:tcPr>
                  <w:tcW w:w="1501" w:type="dxa"/>
                  <w:tcBorders>
                    <w:tl2br w:val="nil"/>
                    <w:tr2bl w:val="nil"/>
                  </w:tcBorders>
                  <w:vAlign w:val="center"/>
                </w:tcPr>
                <w:p>
                  <w:pPr>
                    <w:jc w:val="center"/>
                    <w:rPr>
                      <w:szCs w:val="21"/>
                    </w:rPr>
                  </w:pPr>
                  <w:r>
                    <w:rPr>
                      <w:szCs w:val="21"/>
                    </w:rPr>
                    <w:t>≥100m</w:t>
                  </w:r>
                </w:p>
              </w:tc>
              <w:tc>
                <w:tcPr>
                  <w:tcW w:w="2567" w:type="dxa"/>
                  <w:tcBorders>
                    <w:tl2br w:val="nil"/>
                    <w:tr2bl w:val="nil"/>
                  </w:tcBorders>
                  <w:vAlign w:val="center"/>
                </w:tcPr>
                <w:p>
                  <w:pPr>
                    <w:jc w:val="center"/>
                    <w:rPr>
                      <w:szCs w:val="21"/>
                    </w:rPr>
                  </w:pPr>
                  <w:r>
                    <w:rPr>
                      <w:szCs w:val="21"/>
                    </w:rPr>
                    <w:t>井口100m范围内无民房</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铁路</w:t>
                  </w:r>
                </w:p>
              </w:tc>
              <w:tc>
                <w:tcPr>
                  <w:tcW w:w="1501" w:type="dxa"/>
                  <w:tcBorders>
                    <w:tl2br w:val="nil"/>
                    <w:tr2bl w:val="nil"/>
                  </w:tcBorders>
                  <w:vAlign w:val="center"/>
                </w:tcPr>
                <w:p>
                  <w:pPr>
                    <w:jc w:val="center"/>
                    <w:rPr>
                      <w:szCs w:val="21"/>
                    </w:rPr>
                  </w:pPr>
                  <w:r>
                    <w:rPr>
                      <w:szCs w:val="21"/>
                    </w:rPr>
                    <w:t>≥200m</w:t>
                  </w:r>
                </w:p>
              </w:tc>
              <w:tc>
                <w:tcPr>
                  <w:tcW w:w="2567" w:type="dxa"/>
                  <w:tcBorders>
                    <w:tl2br w:val="nil"/>
                    <w:tr2bl w:val="nil"/>
                  </w:tcBorders>
                  <w:vAlign w:val="center"/>
                </w:tcPr>
                <w:p>
                  <w:pPr>
                    <w:jc w:val="center"/>
                    <w:rPr>
                      <w:szCs w:val="21"/>
                    </w:rPr>
                  </w:pPr>
                  <w:r>
                    <w:rPr>
                      <w:szCs w:val="21"/>
                    </w:rPr>
                    <w:t>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高速公路</w:t>
                  </w:r>
                </w:p>
              </w:tc>
              <w:tc>
                <w:tcPr>
                  <w:tcW w:w="1501" w:type="dxa"/>
                  <w:tcBorders>
                    <w:tl2br w:val="nil"/>
                    <w:tr2bl w:val="nil"/>
                  </w:tcBorders>
                  <w:vAlign w:val="center"/>
                </w:tcPr>
                <w:p>
                  <w:pPr>
                    <w:jc w:val="center"/>
                    <w:rPr>
                      <w:szCs w:val="21"/>
                    </w:rPr>
                  </w:pPr>
                  <w:r>
                    <w:rPr>
                      <w:szCs w:val="21"/>
                    </w:rPr>
                    <w:t>≥200m</w:t>
                  </w:r>
                </w:p>
              </w:tc>
              <w:tc>
                <w:tcPr>
                  <w:tcW w:w="2567" w:type="dxa"/>
                  <w:tcBorders>
                    <w:tl2br w:val="nil"/>
                    <w:tr2bl w:val="nil"/>
                  </w:tcBorders>
                  <w:vAlign w:val="center"/>
                </w:tcPr>
                <w:p>
                  <w:pPr>
                    <w:jc w:val="center"/>
                    <w:rPr>
                      <w:szCs w:val="21"/>
                    </w:rPr>
                  </w:pPr>
                  <w:r>
                    <w:rPr>
                      <w:szCs w:val="21"/>
                    </w:rPr>
                    <w:t>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学校</w:t>
                  </w:r>
                </w:p>
              </w:tc>
              <w:tc>
                <w:tcPr>
                  <w:tcW w:w="1501" w:type="dxa"/>
                  <w:tcBorders>
                    <w:tl2br w:val="nil"/>
                    <w:tr2bl w:val="nil"/>
                  </w:tcBorders>
                  <w:vAlign w:val="center"/>
                </w:tcPr>
                <w:p>
                  <w:pPr>
                    <w:jc w:val="center"/>
                    <w:rPr>
                      <w:szCs w:val="21"/>
                    </w:rPr>
                  </w:pPr>
                  <w:r>
                    <w:rPr>
                      <w:szCs w:val="21"/>
                    </w:rPr>
                    <w:t>≥500m</w:t>
                  </w:r>
                </w:p>
              </w:tc>
              <w:tc>
                <w:tcPr>
                  <w:tcW w:w="2567" w:type="dxa"/>
                  <w:tcBorders>
                    <w:tl2br w:val="nil"/>
                    <w:tr2bl w:val="nil"/>
                  </w:tcBorders>
                  <w:vAlign w:val="center"/>
                </w:tcPr>
                <w:p>
                  <w:pPr>
                    <w:jc w:val="center"/>
                    <w:rPr>
                      <w:szCs w:val="21"/>
                    </w:rPr>
                  </w:pPr>
                  <w:r>
                    <w:rPr>
                      <w:szCs w:val="21"/>
                    </w:rPr>
                    <w:t>500m范围内不涉及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医院</w:t>
                  </w:r>
                </w:p>
              </w:tc>
              <w:tc>
                <w:tcPr>
                  <w:tcW w:w="1501" w:type="dxa"/>
                  <w:tcBorders>
                    <w:tl2br w:val="nil"/>
                    <w:tr2bl w:val="nil"/>
                  </w:tcBorders>
                  <w:vAlign w:val="center"/>
                </w:tcPr>
                <w:p>
                  <w:pPr>
                    <w:jc w:val="center"/>
                    <w:rPr>
                      <w:szCs w:val="21"/>
                    </w:rPr>
                  </w:pPr>
                  <w:r>
                    <w:rPr>
                      <w:szCs w:val="21"/>
                    </w:rPr>
                    <w:t>≥500m</w:t>
                  </w:r>
                </w:p>
              </w:tc>
              <w:tc>
                <w:tcPr>
                  <w:tcW w:w="2567" w:type="dxa"/>
                  <w:tcBorders>
                    <w:tl2br w:val="nil"/>
                    <w:tr2bl w:val="nil"/>
                  </w:tcBorders>
                  <w:vAlign w:val="center"/>
                </w:tcPr>
                <w:p>
                  <w:pPr>
                    <w:jc w:val="center"/>
                    <w:rPr>
                      <w:szCs w:val="21"/>
                    </w:rPr>
                  </w:pPr>
                  <w:r>
                    <w:rPr>
                      <w:szCs w:val="21"/>
                    </w:rPr>
                    <w:t>500m范围内不涉及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油库等高危险场所</w:t>
                  </w:r>
                </w:p>
              </w:tc>
              <w:tc>
                <w:tcPr>
                  <w:tcW w:w="1501" w:type="dxa"/>
                  <w:tcBorders>
                    <w:tl2br w:val="nil"/>
                    <w:tr2bl w:val="nil"/>
                  </w:tcBorders>
                  <w:vAlign w:val="center"/>
                </w:tcPr>
                <w:p>
                  <w:pPr>
                    <w:jc w:val="center"/>
                    <w:rPr>
                      <w:szCs w:val="21"/>
                    </w:rPr>
                  </w:pPr>
                  <w:r>
                    <w:rPr>
                      <w:szCs w:val="21"/>
                    </w:rPr>
                    <w:t>≥500m</w:t>
                  </w:r>
                </w:p>
              </w:tc>
              <w:tc>
                <w:tcPr>
                  <w:tcW w:w="2567" w:type="dxa"/>
                  <w:tcBorders>
                    <w:tl2br w:val="nil"/>
                    <w:tr2bl w:val="nil"/>
                  </w:tcBorders>
                  <w:vAlign w:val="center"/>
                </w:tcPr>
                <w:p>
                  <w:pPr>
                    <w:jc w:val="center"/>
                    <w:rPr>
                      <w:szCs w:val="21"/>
                    </w:rPr>
                  </w:pPr>
                  <w:r>
                    <w:rPr>
                      <w:szCs w:val="21"/>
                    </w:rPr>
                    <w:t>500m范围内不涉及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集中居住地、人员密集区</w:t>
                  </w:r>
                </w:p>
              </w:tc>
              <w:tc>
                <w:tcPr>
                  <w:tcW w:w="1501" w:type="dxa"/>
                  <w:tcBorders>
                    <w:tl2br w:val="nil"/>
                    <w:tr2bl w:val="nil"/>
                  </w:tcBorders>
                  <w:vAlign w:val="center"/>
                </w:tcPr>
                <w:p>
                  <w:pPr>
                    <w:jc w:val="center"/>
                    <w:rPr>
                      <w:szCs w:val="21"/>
                    </w:rPr>
                  </w:pPr>
                  <w:r>
                    <w:rPr>
                      <w:szCs w:val="21"/>
                    </w:rPr>
                    <w:t>≥500m</w:t>
                  </w:r>
                </w:p>
              </w:tc>
              <w:tc>
                <w:tcPr>
                  <w:tcW w:w="2567" w:type="dxa"/>
                  <w:tcBorders>
                    <w:tl2br w:val="nil"/>
                    <w:tr2bl w:val="nil"/>
                  </w:tcBorders>
                  <w:vAlign w:val="center"/>
                </w:tcPr>
                <w:p>
                  <w:pPr>
                    <w:jc w:val="center"/>
                    <w:rPr>
                      <w:szCs w:val="21"/>
                    </w:rPr>
                  </w:pPr>
                  <w:r>
                    <w:rPr>
                      <w:szCs w:val="21"/>
                    </w:rPr>
                    <w:t>500m范围内不涉及</w:t>
                  </w:r>
                </w:p>
              </w:tc>
              <w:tc>
                <w:tcPr>
                  <w:tcW w:w="2035" w:type="dxa"/>
                  <w:tcBorders>
                    <w:tl2br w:val="nil"/>
                    <w:tr2bl w:val="nil"/>
                  </w:tcBorders>
                  <w:vAlign w:val="center"/>
                </w:tcPr>
                <w:p>
                  <w:pPr>
                    <w:jc w:val="center"/>
                    <w:rPr>
                      <w:szCs w:val="21"/>
                    </w:rPr>
                  </w:pPr>
                  <w:r>
                    <w:rPr>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jc w:val="center"/>
                    <w:rPr>
                      <w:szCs w:val="21"/>
                    </w:rPr>
                  </w:pPr>
                  <w:r>
                    <w:rPr>
                      <w:szCs w:val="21"/>
                    </w:rPr>
                    <w:t>地下矿产采掘坑、矿井坑道</w:t>
                  </w:r>
                </w:p>
              </w:tc>
              <w:tc>
                <w:tcPr>
                  <w:tcW w:w="1501" w:type="dxa"/>
                  <w:tcBorders>
                    <w:tl2br w:val="nil"/>
                    <w:tr2bl w:val="nil"/>
                  </w:tcBorders>
                  <w:vAlign w:val="center"/>
                </w:tcPr>
                <w:p>
                  <w:pPr>
                    <w:jc w:val="center"/>
                    <w:rPr>
                      <w:szCs w:val="21"/>
                    </w:rPr>
                  </w:pPr>
                  <w:r>
                    <w:rPr>
                      <w:szCs w:val="21"/>
                    </w:rPr>
                    <w:t>≥100m</w:t>
                  </w:r>
                </w:p>
              </w:tc>
              <w:tc>
                <w:tcPr>
                  <w:tcW w:w="2567" w:type="dxa"/>
                  <w:tcBorders>
                    <w:tl2br w:val="nil"/>
                    <w:tr2bl w:val="nil"/>
                  </w:tcBorders>
                  <w:vAlign w:val="center"/>
                </w:tcPr>
                <w:p>
                  <w:pPr>
                    <w:jc w:val="center"/>
                    <w:rPr>
                      <w:szCs w:val="21"/>
                    </w:rPr>
                  </w:pPr>
                  <w:r>
                    <w:rPr>
                      <w:szCs w:val="21"/>
                    </w:rPr>
                    <w:t>不涉及</w:t>
                  </w:r>
                </w:p>
              </w:tc>
              <w:tc>
                <w:tcPr>
                  <w:tcW w:w="2035" w:type="dxa"/>
                  <w:tcBorders>
                    <w:tl2br w:val="nil"/>
                    <w:tr2bl w:val="nil"/>
                  </w:tcBorders>
                  <w:vAlign w:val="center"/>
                </w:tcPr>
                <w:p>
                  <w:pPr>
                    <w:jc w:val="center"/>
                    <w:rPr>
                      <w:szCs w:val="21"/>
                    </w:rPr>
                  </w:pPr>
                  <w:r>
                    <w:rPr>
                      <w:szCs w:val="21"/>
                    </w:rPr>
                    <w:t>满足要求</w:t>
                  </w:r>
                </w:p>
              </w:tc>
            </w:tr>
          </w:tbl>
          <w:p>
            <w:pPr>
              <w:spacing w:line="360" w:lineRule="auto"/>
              <w:ind w:firstLine="480" w:firstLineChars="200"/>
              <w:rPr>
                <w:bCs/>
                <w:sz w:val="24"/>
              </w:rPr>
            </w:pPr>
            <w:r>
              <w:rPr>
                <w:bCs/>
                <w:sz w:val="24"/>
              </w:rPr>
              <w:t>本项目</w:t>
            </w:r>
            <w:r>
              <w:rPr>
                <w:rFonts w:hint="eastAsia"/>
                <w:bCs/>
                <w:sz w:val="24"/>
              </w:rPr>
              <w:t>主副</w:t>
            </w:r>
            <w:r>
              <w:rPr>
                <w:bCs/>
                <w:sz w:val="24"/>
              </w:rPr>
              <w:t>放喷池距离井口</w:t>
            </w:r>
            <w:r>
              <w:rPr>
                <w:rFonts w:hint="eastAsia"/>
                <w:bCs/>
                <w:sz w:val="24"/>
              </w:rPr>
              <w:t>分别</w:t>
            </w:r>
            <w:r>
              <w:rPr>
                <w:bCs/>
                <w:sz w:val="24"/>
              </w:rPr>
              <w:t>约</w:t>
            </w:r>
            <w:r>
              <w:rPr>
                <w:rFonts w:hint="eastAsia"/>
                <w:bCs/>
                <w:sz w:val="24"/>
              </w:rPr>
              <w:t>152m、</w:t>
            </w:r>
            <w:r>
              <w:rPr>
                <w:bCs/>
                <w:sz w:val="24"/>
              </w:rPr>
              <w:t>120m。周边主要为旱地及少量杂草。放喷池周边100m无居民和其他建构筑物设施。因此，</w:t>
            </w:r>
            <w:r>
              <w:rPr>
                <w:rFonts w:hint="eastAsia"/>
                <w:bCs/>
                <w:sz w:val="24"/>
              </w:rPr>
              <w:t>铁北1侧HF井</w:t>
            </w:r>
            <w:r>
              <w:rPr>
                <w:bCs/>
                <w:sz w:val="24"/>
              </w:rPr>
              <w:t>符合《钻前工程及井场布置技术要求》（SY/T5466-2013）的相关要求。</w:t>
            </w:r>
          </w:p>
          <w:p>
            <w:pPr>
              <w:spacing w:line="360" w:lineRule="auto"/>
              <w:ind w:firstLine="480" w:firstLineChars="200"/>
              <w:rPr>
                <w:sz w:val="24"/>
              </w:rPr>
            </w:pPr>
            <w:r>
              <w:rPr>
                <w:sz w:val="24"/>
              </w:rPr>
              <w:t>项目产生的危险废物主要为油类，油类由废油桶收集。经调查，危废临时收集设施附近无自然保护区、风景名胜区、集中式水源地等敏感点分布，在采取措施后对其影响较小，各危废经分类收集后交由</w:t>
            </w:r>
            <w:r>
              <w:rPr>
                <w:rFonts w:hint="eastAsia"/>
                <w:sz w:val="24"/>
              </w:rPr>
              <w:t>有资质单位</w:t>
            </w:r>
            <w:r>
              <w:rPr>
                <w:sz w:val="24"/>
              </w:rPr>
              <w:t>进行处置。</w:t>
            </w:r>
          </w:p>
          <w:p>
            <w:pPr>
              <w:adjustRightInd w:val="0"/>
              <w:snapToGrid w:val="0"/>
              <w:spacing w:line="360" w:lineRule="auto"/>
              <w:ind w:firstLine="480" w:firstLineChars="200"/>
            </w:pPr>
            <w:r>
              <w:rPr>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tc>
      </w:tr>
    </w:tbl>
    <w:p>
      <w:pPr>
        <w:pStyle w:val="38"/>
        <w:jc w:val="center"/>
        <w:rPr>
          <w:rFonts w:ascii="Times New Roman" w:hAnsi="Times New Roman" w:eastAsia="黑体"/>
          <w:snapToGrid w:val="0"/>
          <w:sz w:val="21"/>
          <w:szCs w:val="21"/>
        </w:rPr>
        <w:sectPr>
          <w:pgSz w:w="11906" w:h="16838"/>
          <w:pgMar w:top="1417" w:right="1417" w:bottom="1417" w:left="1701" w:header="851" w:footer="1077" w:gutter="0"/>
          <w:cols w:space="720" w:num="1"/>
          <w:docGrid w:linePitch="312" w:charSpace="0"/>
        </w:sectPr>
      </w:pPr>
    </w:p>
    <w:p>
      <w:pPr>
        <w:pStyle w:val="38"/>
        <w:adjustRightInd w:val="0"/>
        <w:snapToGrid w:val="0"/>
        <w:spacing w:before="0" w:beforeAutospacing="0" w:after="0" w:afterAutospacing="0" w:line="14" w:lineRule="auto"/>
        <w:jc w:val="center"/>
        <w:rPr>
          <w:rFonts w:ascii="Times New Roman" w:hAnsi="Times New Roman" w:eastAsia="黑体"/>
          <w:snapToGrid w:val="0"/>
          <w:sz w:val="21"/>
          <w:szCs w:val="21"/>
        </w:rPr>
      </w:pPr>
    </w:p>
    <w:p>
      <w:pPr>
        <w:pStyle w:val="38"/>
        <w:jc w:val="center"/>
        <w:outlineLvl w:val="0"/>
        <w:rPr>
          <w:rFonts w:ascii="Times New Roman" w:hAnsi="Times New Roman" w:eastAsia="黑体"/>
          <w:snapToGrid w:val="0"/>
          <w:sz w:val="32"/>
          <w:szCs w:val="21"/>
        </w:rPr>
      </w:pPr>
      <w:r>
        <w:rPr>
          <w:rFonts w:ascii="Times New Roman" w:hAnsi="Times New Roman" w:eastAsia="黑体"/>
          <w:snapToGrid w:val="0"/>
          <w:sz w:val="32"/>
          <w:szCs w:val="21"/>
        </w:rPr>
        <w:t>五、主要生态环境保护措施</w:t>
      </w:r>
    </w:p>
    <w:tbl>
      <w:tblPr>
        <w:tblStyle w:val="4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3" w:hRule="atLeast"/>
          <w:jc w:val="center"/>
        </w:trPr>
        <w:tc>
          <w:tcPr>
            <w:tcW w:w="753" w:type="dxa"/>
            <w:tcMar>
              <w:left w:w="28" w:type="dxa"/>
              <w:right w:w="28" w:type="dxa"/>
            </w:tcMar>
            <w:vAlign w:val="center"/>
          </w:tcPr>
          <w:p>
            <w:pPr>
              <w:adjustRightInd w:val="0"/>
              <w:snapToGrid w:val="0"/>
              <w:jc w:val="center"/>
              <w:rPr>
                <w:bCs/>
                <w:szCs w:val="21"/>
              </w:rPr>
            </w:pPr>
            <w:r>
              <w:rPr>
                <w:bCs/>
                <w:spacing w:val="10"/>
                <w:szCs w:val="21"/>
              </w:rPr>
              <w:t>施工期生态环境保护措施</w:t>
            </w:r>
          </w:p>
        </w:tc>
        <w:tc>
          <w:tcPr>
            <w:tcW w:w="8457" w:type="dxa"/>
          </w:tcPr>
          <w:p>
            <w:pPr>
              <w:spacing w:line="360" w:lineRule="auto"/>
              <w:rPr>
                <w:b/>
                <w:bCs/>
                <w:sz w:val="24"/>
              </w:rPr>
            </w:pPr>
            <w:r>
              <w:rPr>
                <w:b/>
                <w:bCs/>
                <w:sz w:val="24"/>
              </w:rPr>
              <w:t>5.1钻前工程环境保护措施</w:t>
            </w:r>
          </w:p>
          <w:p>
            <w:pPr>
              <w:spacing w:line="360" w:lineRule="auto"/>
              <w:rPr>
                <w:b/>
                <w:bCs/>
                <w:sz w:val="24"/>
              </w:rPr>
            </w:pPr>
            <w:r>
              <w:rPr>
                <w:b/>
                <w:bCs/>
                <w:sz w:val="24"/>
              </w:rPr>
              <w:t>5.1.1废气治理措施及可行性分析</w:t>
            </w:r>
          </w:p>
          <w:p>
            <w:pPr>
              <w:spacing w:line="360" w:lineRule="auto"/>
              <w:ind w:firstLine="480" w:firstLineChars="200"/>
              <w:rPr>
                <w:bCs/>
                <w:sz w:val="24"/>
              </w:rPr>
            </w:pPr>
            <w:r>
              <w:rPr>
                <w:bCs/>
                <w:sz w:val="24"/>
              </w:rPr>
              <w:t>（1）维修</w:t>
            </w:r>
            <w:r>
              <w:rPr>
                <w:rFonts w:hint="eastAsia"/>
                <w:bCs/>
                <w:sz w:val="24"/>
              </w:rPr>
              <w:t>进场</w:t>
            </w:r>
            <w:r>
              <w:rPr>
                <w:bCs/>
                <w:sz w:val="24"/>
              </w:rPr>
              <w:t>道路作业时，现场定期洒水，减少扬尘产生量和影响范围；</w:t>
            </w:r>
          </w:p>
          <w:p>
            <w:pPr>
              <w:spacing w:line="360" w:lineRule="auto"/>
              <w:ind w:firstLine="480" w:firstLineChars="200"/>
              <w:rPr>
                <w:bCs/>
                <w:sz w:val="24"/>
              </w:rPr>
            </w:pPr>
            <w:r>
              <w:rPr>
                <w:bCs/>
                <w:sz w:val="24"/>
              </w:rPr>
              <w:t>（2）运输建筑材料等车辆，</w:t>
            </w:r>
            <w:r>
              <w:rPr>
                <w:rFonts w:hint="eastAsia"/>
                <w:bCs/>
                <w:sz w:val="24"/>
              </w:rPr>
              <w:t>车厢</w:t>
            </w:r>
            <w:r>
              <w:rPr>
                <w:bCs/>
                <w:sz w:val="24"/>
              </w:rPr>
              <w:t>遮盖严密后方可运出场外；</w:t>
            </w:r>
          </w:p>
          <w:p>
            <w:pPr>
              <w:spacing w:line="360" w:lineRule="auto"/>
              <w:ind w:firstLine="480" w:firstLineChars="200"/>
              <w:rPr>
                <w:bCs/>
                <w:sz w:val="24"/>
              </w:rPr>
            </w:pPr>
            <w:r>
              <w:rPr>
                <w:bCs/>
                <w:sz w:val="24"/>
              </w:rPr>
              <w:t>（3）对临时堆场及建筑材料（如水泥、沙石等）修建围护设施，并合理堆放物料，减少迎风面积，同时定时洒水，减少风对料堆表面细小颗粒物的侵蚀引起的扬尘量；</w:t>
            </w:r>
          </w:p>
          <w:p>
            <w:pPr>
              <w:spacing w:line="360" w:lineRule="auto"/>
              <w:ind w:firstLine="480" w:firstLineChars="200"/>
              <w:rPr>
                <w:bCs/>
                <w:sz w:val="24"/>
              </w:rPr>
            </w:pPr>
            <w:r>
              <w:rPr>
                <w:bCs/>
                <w:sz w:val="24"/>
              </w:rPr>
              <w:t>由于钻前工程施工工时不长，施工人员不多，不会对当地环境空气造成明显不利影响，对周围环境影响是可接受的。</w:t>
            </w:r>
          </w:p>
          <w:p>
            <w:pPr>
              <w:spacing w:line="360" w:lineRule="auto"/>
              <w:rPr>
                <w:b/>
                <w:bCs/>
                <w:sz w:val="24"/>
              </w:rPr>
            </w:pPr>
            <w:r>
              <w:rPr>
                <w:b/>
                <w:bCs/>
                <w:sz w:val="24"/>
              </w:rPr>
              <w:t>5.1.2废水治理措施及可行性分析</w:t>
            </w:r>
          </w:p>
          <w:p>
            <w:pPr>
              <w:spacing w:line="360" w:lineRule="auto"/>
              <w:ind w:firstLine="480" w:firstLineChars="200"/>
              <w:rPr>
                <w:bCs/>
                <w:sz w:val="24"/>
              </w:rPr>
            </w:pPr>
            <w:r>
              <w:rPr>
                <w:bCs/>
                <w:sz w:val="24"/>
              </w:rPr>
              <w:t>钻前工程废水由施工废水和生活污水两部分组成。</w:t>
            </w:r>
          </w:p>
          <w:p>
            <w:pPr>
              <w:spacing w:line="360" w:lineRule="auto"/>
              <w:ind w:firstLine="480" w:firstLineChars="200"/>
              <w:rPr>
                <w:bCs/>
                <w:sz w:val="24"/>
              </w:rPr>
            </w:pPr>
            <w:r>
              <w:rPr>
                <w:bCs/>
                <w:sz w:val="24"/>
              </w:rPr>
              <w:t>（1）施工废水经沉淀处理后循环使用，不外排。</w:t>
            </w:r>
          </w:p>
          <w:p>
            <w:pPr>
              <w:spacing w:line="360" w:lineRule="auto"/>
              <w:ind w:firstLine="480" w:firstLineChars="200"/>
              <w:rPr>
                <w:bCs/>
                <w:sz w:val="24"/>
              </w:rPr>
            </w:pPr>
            <w:r>
              <w:rPr>
                <w:bCs/>
                <w:sz w:val="24"/>
              </w:rPr>
              <w:t>（2）生活污水来自施工人员，施工期间生活污水产生量小，钻前工程人员生活污水依托周边农户已建设施处理。</w:t>
            </w:r>
          </w:p>
          <w:p>
            <w:pPr>
              <w:spacing w:line="360" w:lineRule="auto"/>
              <w:ind w:firstLine="480" w:firstLineChars="200"/>
              <w:rPr>
                <w:bCs/>
                <w:sz w:val="24"/>
              </w:rPr>
            </w:pPr>
            <w:r>
              <w:rPr>
                <w:bCs/>
                <w:sz w:val="24"/>
              </w:rPr>
              <w:t>拟建项目现场无生活污水产生和排放，不会对井场周边地表水产生影响。</w:t>
            </w:r>
          </w:p>
          <w:p>
            <w:pPr>
              <w:spacing w:line="360" w:lineRule="auto"/>
              <w:rPr>
                <w:b/>
                <w:bCs/>
                <w:sz w:val="24"/>
              </w:rPr>
            </w:pPr>
            <w:r>
              <w:rPr>
                <w:b/>
                <w:bCs/>
                <w:sz w:val="24"/>
              </w:rPr>
              <w:t>5.1.3噪声控制措施及可行性分析</w:t>
            </w:r>
          </w:p>
          <w:p>
            <w:pPr>
              <w:spacing w:line="360" w:lineRule="auto"/>
              <w:ind w:firstLine="480" w:firstLineChars="200"/>
              <w:rPr>
                <w:bCs/>
                <w:sz w:val="24"/>
              </w:rPr>
            </w:pPr>
            <w:r>
              <w:rPr>
                <w:bCs/>
                <w:sz w:val="24"/>
              </w:rPr>
              <w:t>（1）运输设备等车辆沿固定路线行使，尽量减少鸣笛。</w:t>
            </w:r>
          </w:p>
          <w:p>
            <w:pPr>
              <w:spacing w:line="360" w:lineRule="auto"/>
              <w:ind w:firstLine="480" w:firstLineChars="200"/>
              <w:rPr>
                <w:bCs/>
                <w:sz w:val="24"/>
              </w:rPr>
            </w:pPr>
            <w:r>
              <w:rPr>
                <w:bCs/>
                <w:sz w:val="24"/>
              </w:rPr>
              <w:t>（2）钻前工程建设时合理安排施工时间，在靠近民居点施工时不得深夜施工。</w:t>
            </w:r>
          </w:p>
          <w:p>
            <w:pPr>
              <w:spacing w:line="360" w:lineRule="auto"/>
              <w:ind w:firstLine="480" w:firstLineChars="200"/>
              <w:rPr>
                <w:bCs/>
                <w:sz w:val="24"/>
              </w:rPr>
            </w:pPr>
            <w:r>
              <w:rPr>
                <w:bCs/>
                <w:sz w:val="24"/>
              </w:rPr>
              <w:t>拟建项目100m范围内无农户分布，周边农户较分散，施工噪声影响随施工的结束而消失，在当地环境可接受范围内。</w:t>
            </w:r>
          </w:p>
          <w:p>
            <w:pPr>
              <w:spacing w:line="360" w:lineRule="auto"/>
              <w:rPr>
                <w:b/>
                <w:bCs/>
                <w:sz w:val="24"/>
              </w:rPr>
            </w:pPr>
            <w:r>
              <w:rPr>
                <w:b/>
                <w:bCs/>
                <w:sz w:val="24"/>
              </w:rPr>
              <w:t>5.1.4固废处理措施可行性分析</w:t>
            </w:r>
          </w:p>
          <w:p>
            <w:pPr>
              <w:pStyle w:val="213"/>
              <w:rPr>
                <w:szCs w:val="24"/>
              </w:rPr>
            </w:pPr>
            <w:r>
              <w:rPr>
                <w:szCs w:val="24"/>
              </w:rPr>
              <w:t>钻前工程施工期固体废物</w:t>
            </w:r>
            <w:r>
              <w:rPr>
                <w:rFonts w:hint="eastAsia"/>
                <w:szCs w:val="24"/>
              </w:rPr>
              <w:t>主要</w:t>
            </w:r>
            <w:r>
              <w:rPr>
                <w:szCs w:val="24"/>
              </w:rPr>
              <w:t>来自</w:t>
            </w:r>
            <w:r>
              <w:rPr>
                <w:rFonts w:hint="eastAsia"/>
                <w:szCs w:val="24"/>
              </w:rPr>
              <w:t>井场平整</w:t>
            </w:r>
            <w:r>
              <w:rPr>
                <w:szCs w:val="24"/>
              </w:rPr>
              <w:t>施工</w:t>
            </w:r>
            <w:r>
              <w:rPr>
                <w:rFonts w:hint="eastAsia"/>
                <w:szCs w:val="24"/>
              </w:rPr>
              <w:t>过程产生</w:t>
            </w:r>
            <w:r>
              <w:rPr>
                <w:szCs w:val="24"/>
              </w:rPr>
              <w:t>的垃圾，包括废弃包装材料、生活垃圾等。施工过程中产生的生活垃圾以及包装材料等固体废物统一收集，定期送往城镇垃圾处理系统处理。通过采取上述措施后，施工过程中产生的固废不会对环境产生影响。</w:t>
            </w:r>
          </w:p>
          <w:p>
            <w:pPr>
              <w:pStyle w:val="213"/>
              <w:ind w:firstLine="0" w:firstLineChars="0"/>
              <w:rPr>
                <w:b/>
                <w:bCs/>
                <w:szCs w:val="24"/>
              </w:rPr>
            </w:pPr>
            <w:r>
              <w:rPr>
                <w:b/>
                <w:bCs/>
                <w:szCs w:val="24"/>
              </w:rPr>
              <w:t>5.1.5生态防治措施</w:t>
            </w:r>
          </w:p>
          <w:p>
            <w:pPr>
              <w:pStyle w:val="213"/>
              <w:rPr>
                <w:szCs w:val="24"/>
              </w:rPr>
            </w:pPr>
            <w:r>
              <w:rPr>
                <w:szCs w:val="24"/>
              </w:rPr>
              <w:t>（1）施工期生态环境影响减缓与避免措施</w:t>
            </w:r>
          </w:p>
          <w:p>
            <w:pPr>
              <w:pStyle w:val="213"/>
              <w:rPr>
                <w:szCs w:val="24"/>
              </w:rPr>
            </w:pPr>
            <w:r>
              <w:rPr>
                <w:szCs w:val="24"/>
              </w:rPr>
              <w:t>①本项目不涉及新增占地。在满足施工条件下，严格控制临时施工范围，临时占地应避开植被良好区以及容易引起水土流失的地段，尽量减少对植被的破坏。施工期应避开雨天与大风天气，减少水土流失量。</w:t>
            </w:r>
          </w:p>
          <w:p>
            <w:pPr>
              <w:pStyle w:val="213"/>
              <w:rPr>
                <w:szCs w:val="24"/>
              </w:rPr>
            </w:pPr>
            <w:r>
              <w:rPr>
                <w:szCs w:val="24"/>
              </w:rPr>
              <w:t>②制定严格的施工操作规范，建立施工期生态环境监理制度。</w:t>
            </w:r>
          </w:p>
          <w:p>
            <w:pPr>
              <w:pStyle w:val="213"/>
              <w:rPr>
                <w:szCs w:val="24"/>
              </w:rPr>
            </w:pPr>
            <w:r>
              <w:rPr>
                <w:szCs w:val="24"/>
              </w:rPr>
              <w:t>③对因项目建设过程中形成的裸露地表，应及时采取绿化措施，选择适宜当地生长的乔灌木及草本品种。</w:t>
            </w:r>
          </w:p>
          <w:p>
            <w:pPr>
              <w:pStyle w:val="213"/>
              <w:rPr>
                <w:szCs w:val="24"/>
              </w:rPr>
            </w:pPr>
            <w:r>
              <w:rPr>
                <w:szCs w:val="24"/>
              </w:rPr>
              <w:t>④做好施工的组织安排工作，减轻损失。应根据当地农业活动特点组织施工，减轻对农业生产破坏造成的损失。施工期应选择在一季作物生长期间完成，尽量不占用作物的生长时间。</w:t>
            </w:r>
          </w:p>
          <w:p>
            <w:pPr>
              <w:pStyle w:val="213"/>
              <w:rPr>
                <w:szCs w:val="24"/>
              </w:rPr>
            </w:pPr>
            <w:r>
              <w:rPr>
                <w:szCs w:val="24"/>
              </w:rPr>
              <w:t>（2）施工迹地恢复</w:t>
            </w:r>
          </w:p>
          <w:p>
            <w:pPr>
              <w:pStyle w:val="213"/>
              <w:rPr>
                <w:szCs w:val="24"/>
              </w:rPr>
            </w:pPr>
            <w:r>
              <w:rPr>
                <w:szCs w:val="24"/>
              </w:rPr>
              <w:t>竣工后及时拆除</w:t>
            </w:r>
            <w:r>
              <w:rPr>
                <w:rFonts w:hint="eastAsia"/>
                <w:szCs w:val="24"/>
              </w:rPr>
              <w:t>生活区等</w:t>
            </w:r>
            <w:r>
              <w:rPr>
                <w:szCs w:val="24"/>
              </w:rPr>
              <w:t>临时设施，并进行迹地恢复。其上覆土50cm，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pPr>
              <w:pStyle w:val="213"/>
              <w:ind w:firstLine="0" w:firstLineChars="0"/>
              <w:rPr>
                <w:b/>
                <w:bCs/>
                <w:szCs w:val="24"/>
              </w:rPr>
            </w:pPr>
            <w:r>
              <w:rPr>
                <w:b/>
                <w:bCs/>
                <w:szCs w:val="24"/>
              </w:rPr>
              <w:t>5.2钻井工程环境保护措施</w:t>
            </w:r>
          </w:p>
          <w:p>
            <w:pPr>
              <w:pStyle w:val="213"/>
              <w:ind w:firstLine="0" w:firstLineChars="0"/>
              <w:rPr>
                <w:b/>
                <w:bCs/>
                <w:szCs w:val="24"/>
              </w:rPr>
            </w:pPr>
            <w:r>
              <w:rPr>
                <w:b/>
                <w:bCs/>
                <w:szCs w:val="24"/>
              </w:rPr>
              <w:t>5.2.1废气治理措施及可行性分析</w:t>
            </w:r>
          </w:p>
          <w:p>
            <w:pPr>
              <w:pStyle w:val="213"/>
              <w:rPr>
                <w:szCs w:val="24"/>
              </w:rPr>
            </w:pPr>
            <w:r>
              <w:rPr>
                <w:szCs w:val="24"/>
              </w:rPr>
              <w:t>（1）</w:t>
            </w:r>
            <w:r>
              <w:rPr>
                <w:rFonts w:hint="eastAsia"/>
                <w:szCs w:val="24"/>
              </w:rPr>
              <w:t>备用</w:t>
            </w:r>
            <w:r>
              <w:rPr>
                <w:szCs w:val="24"/>
              </w:rPr>
              <w:t>柴油发电机燃烧废气</w:t>
            </w:r>
          </w:p>
          <w:p>
            <w:pPr>
              <w:pStyle w:val="213"/>
              <w:rPr>
                <w:szCs w:val="24"/>
              </w:rPr>
            </w:pPr>
            <w:r>
              <w:rPr>
                <w:rFonts w:hint="eastAsia"/>
                <w:szCs w:val="24"/>
              </w:rPr>
              <w:t>本项目优先采用网电钻井，仅停电情况下采用柴油发电机提供动力，</w:t>
            </w:r>
            <w:r>
              <w:rPr>
                <w:szCs w:val="24"/>
              </w:rPr>
              <w:t>柴油燃烧过程烟尘和NO</w:t>
            </w:r>
            <w:r>
              <w:rPr>
                <w:szCs w:val="24"/>
                <w:vertAlign w:val="subscript"/>
              </w:rPr>
              <w:t>X</w:t>
            </w:r>
            <w:r>
              <w:rPr>
                <w:szCs w:val="24"/>
              </w:rPr>
              <w:t>经柴油发电机自带有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pPr>
              <w:pStyle w:val="213"/>
              <w:rPr>
                <w:szCs w:val="24"/>
              </w:rPr>
            </w:pPr>
            <w:r>
              <w:rPr>
                <w:szCs w:val="24"/>
              </w:rPr>
              <w:t>（2）事故放喷废气</w:t>
            </w:r>
          </w:p>
          <w:p>
            <w:pPr>
              <w:pStyle w:val="213"/>
              <w:rPr>
                <w:szCs w:val="24"/>
              </w:rPr>
            </w:pPr>
            <w:r>
              <w:rPr>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4h，属于临时排放。</w:t>
            </w:r>
          </w:p>
          <w:p>
            <w:pPr>
              <w:pStyle w:val="213"/>
              <w:rPr>
                <w:szCs w:val="24"/>
              </w:rPr>
            </w:pPr>
            <w:r>
              <w:rPr>
                <w:szCs w:val="24"/>
              </w:rPr>
              <w:t>综上所述，新增废气主要为施工废气，同时根据钻井进度，项目钻井周期6个月，排气时间短，项目仅有施工期的特性，不改变区域的环境空气功能，故项目对所在区域大气环境影响可接受。</w:t>
            </w:r>
          </w:p>
          <w:p>
            <w:pPr>
              <w:spacing w:line="360" w:lineRule="auto"/>
              <w:rPr>
                <w:b/>
                <w:bCs/>
                <w:sz w:val="24"/>
              </w:rPr>
            </w:pPr>
            <w:r>
              <w:rPr>
                <w:b/>
                <w:bCs/>
                <w:sz w:val="24"/>
              </w:rPr>
              <w:t>5.2.2废水治理措施及可行性分析</w:t>
            </w:r>
          </w:p>
          <w:p>
            <w:pPr>
              <w:pStyle w:val="213"/>
              <w:rPr>
                <w:szCs w:val="24"/>
              </w:rPr>
            </w:pPr>
            <w:r>
              <w:rPr>
                <w:szCs w:val="24"/>
              </w:rPr>
              <w:t>①废水产生</w:t>
            </w:r>
          </w:p>
          <w:p>
            <w:pPr>
              <w:pStyle w:val="213"/>
              <w:rPr>
                <w:szCs w:val="24"/>
              </w:rPr>
            </w:pPr>
            <w:r>
              <w:rPr>
                <w:szCs w:val="24"/>
              </w:rPr>
              <w:t>本项目钻井工程主要产生的废水主要包括钻井废水、</w:t>
            </w:r>
            <w:r>
              <w:rPr>
                <w:rFonts w:hint="eastAsia"/>
                <w:szCs w:val="24"/>
              </w:rPr>
              <w:t>雨水、</w:t>
            </w:r>
            <w:r>
              <w:rPr>
                <w:szCs w:val="24"/>
              </w:rPr>
              <w:t>生活污水。</w:t>
            </w:r>
          </w:p>
          <w:p>
            <w:pPr>
              <w:pStyle w:val="213"/>
              <w:rPr>
                <w:szCs w:val="24"/>
              </w:rPr>
            </w:pPr>
            <w:r>
              <w:rPr>
                <w:szCs w:val="24"/>
              </w:rPr>
              <w:t>②环保措施</w:t>
            </w:r>
          </w:p>
          <w:p>
            <w:pPr>
              <w:pStyle w:val="213"/>
              <w:rPr>
                <w:szCs w:val="24"/>
              </w:rPr>
            </w:pPr>
            <w:r>
              <w:rPr>
                <w:szCs w:val="24"/>
              </w:rPr>
              <w:t>a.井场内四周设排水边沟，</w:t>
            </w:r>
            <w:r>
              <w:rPr>
                <w:rFonts w:hint="eastAsia"/>
                <w:szCs w:val="24"/>
              </w:rPr>
              <w:t>清洁</w:t>
            </w:r>
            <w:r>
              <w:rPr>
                <w:szCs w:val="24"/>
              </w:rPr>
              <w:t>雨水随四周排水边沟汇至排放口，</w:t>
            </w:r>
            <w:r>
              <w:rPr>
                <w:rFonts w:hint="eastAsia"/>
                <w:szCs w:val="24"/>
              </w:rPr>
              <w:t>场内污染区</w:t>
            </w:r>
            <w:r>
              <w:rPr>
                <w:szCs w:val="24"/>
              </w:rPr>
              <w:t>初期雨水收集进入</w:t>
            </w:r>
            <w:r>
              <w:rPr>
                <w:rFonts w:hint="eastAsia"/>
                <w:szCs w:val="24"/>
              </w:rPr>
              <w:t>废水池暂存后回用</w:t>
            </w:r>
            <w:r>
              <w:rPr>
                <w:szCs w:val="24"/>
              </w:rPr>
              <w:t>，不外排。</w:t>
            </w:r>
          </w:p>
          <w:p>
            <w:pPr>
              <w:pStyle w:val="213"/>
              <w:rPr>
                <w:szCs w:val="24"/>
              </w:rPr>
            </w:pPr>
            <w:r>
              <w:rPr>
                <w:rFonts w:hint="eastAsia"/>
                <w:szCs w:val="24"/>
              </w:rPr>
              <w:t>b</w:t>
            </w:r>
            <w:r>
              <w:rPr>
                <w:szCs w:val="24"/>
              </w:rPr>
              <w:t>.钻井废水临时存放于污水池中，</w:t>
            </w:r>
            <w:r>
              <w:rPr>
                <w:rFonts w:hint="eastAsia"/>
                <w:szCs w:val="24"/>
              </w:rPr>
              <w:t>回用于压裂工序</w:t>
            </w:r>
            <w:r>
              <w:rPr>
                <w:szCs w:val="24"/>
              </w:rPr>
              <w:t>。</w:t>
            </w:r>
          </w:p>
          <w:p>
            <w:pPr>
              <w:pStyle w:val="213"/>
              <w:rPr>
                <w:szCs w:val="24"/>
              </w:rPr>
            </w:pPr>
            <w:r>
              <w:rPr>
                <w:rFonts w:hint="eastAsia"/>
                <w:szCs w:val="24"/>
              </w:rPr>
              <w:t>c</w:t>
            </w:r>
            <w:r>
              <w:rPr>
                <w:szCs w:val="24"/>
              </w:rPr>
              <w:t>.生活污水经生态环保厕所收集拉运至</w:t>
            </w:r>
            <w:r>
              <w:rPr>
                <w:rFonts w:hint="eastAsia"/>
                <w:szCs w:val="24"/>
              </w:rPr>
              <w:t>大成</w:t>
            </w:r>
            <w:r>
              <w:rPr>
                <w:szCs w:val="24"/>
              </w:rPr>
              <w:t>镇城市污水处理厂处理，员工洗澡、食堂废水经收集池单独收集后拉运至</w:t>
            </w:r>
            <w:r>
              <w:rPr>
                <w:rFonts w:hint="eastAsia"/>
                <w:szCs w:val="24"/>
              </w:rPr>
              <w:t>大成</w:t>
            </w:r>
            <w:r>
              <w:rPr>
                <w:szCs w:val="24"/>
              </w:rPr>
              <w:t>镇城市污水处理厂处理。</w:t>
            </w:r>
          </w:p>
          <w:p>
            <w:pPr>
              <w:pStyle w:val="213"/>
              <w:rPr>
                <w:szCs w:val="24"/>
              </w:rPr>
            </w:pPr>
            <w:r>
              <w:rPr>
                <w:rFonts w:hint="eastAsia"/>
                <w:szCs w:val="24"/>
              </w:rPr>
              <w:t>d</w:t>
            </w:r>
            <w:r>
              <w:rPr>
                <w:szCs w:val="24"/>
              </w:rPr>
              <w:t>. 对</w:t>
            </w:r>
            <w:r>
              <w:rPr>
                <w:rFonts w:hint="eastAsia"/>
                <w:szCs w:val="24"/>
              </w:rPr>
              <w:t>废水池</w:t>
            </w:r>
            <w:r>
              <w:rPr>
                <w:szCs w:val="24"/>
              </w:rPr>
              <w:t>采取严格的防渗、防溢流、防泄漏、防腐蚀等措施，项目防渗措施完整，正常工况下物料或污水等不会渗漏和进入地下，对地下水不会造成污染。</w:t>
            </w:r>
          </w:p>
          <w:p>
            <w:pPr>
              <w:pStyle w:val="213"/>
              <w:rPr>
                <w:szCs w:val="24"/>
              </w:rPr>
            </w:pPr>
            <w:r>
              <w:rPr>
                <w:szCs w:val="24"/>
              </w:rPr>
              <w:t>施工期采取以上废水污染治理措施后，本项目施工期废水对环境影响较小，废水污染治理措施技术经济合理可行。</w:t>
            </w:r>
          </w:p>
          <w:p>
            <w:pPr>
              <w:pStyle w:val="213"/>
              <w:ind w:firstLine="482"/>
              <w:rPr>
                <w:b/>
                <w:bCs/>
                <w:szCs w:val="24"/>
              </w:rPr>
            </w:pPr>
            <w:r>
              <w:rPr>
                <w:b/>
                <w:bCs/>
                <w:szCs w:val="24"/>
              </w:rPr>
              <w:t>可行性分析</w:t>
            </w:r>
            <w:r>
              <w:rPr>
                <w:rFonts w:hint="eastAsia"/>
                <w:b/>
                <w:bCs/>
                <w:szCs w:val="24"/>
              </w:rPr>
              <w:t>：</w:t>
            </w:r>
          </w:p>
          <w:p>
            <w:pPr>
              <w:pStyle w:val="213"/>
              <w:rPr>
                <w:szCs w:val="24"/>
              </w:rPr>
            </w:pPr>
            <w:r>
              <w:rPr>
                <w:szCs w:val="24"/>
              </w:rPr>
              <w:t>根据调查，本项目</w:t>
            </w:r>
            <w:r>
              <w:rPr>
                <w:rFonts w:hint="eastAsia"/>
                <w:szCs w:val="24"/>
              </w:rPr>
              <w:t>附近</w:t>
            </w:r>
            <w:r>
              <w:rPr>
                <w:szCs w:val="24"/>
              </w:rPr>
              <w:t>场镇污水处理厂为</w:t>
            </w:r>
            <w:r>
              <w:rPr>
                <w:rFonts w:hint="eastAsia"/>
                <w:szCs w:val="24"/>
              </w:rPr>
              <w:t>宣汉县大成镇生活污水处理工程</w:t>
            </w:r>
            <w:r>
              <w:rPr>
                <w:szCs w:val="24"/>
              </w:rPr>
              <w:t>，位于四川省</w:t>
            </w:r>
            <w:r>
              <w:rPr>
                <w:rFonts w:hint="eastAsia"/>
                <w:szCs w:val="24"/>
              </w:rPr>
              <w:t>达州市宣汉县大成镇下河村一社</w:t>
            </w:r>
            <w:r>
              <w:rPr>
                <w:szCs w:val="24"/>
              </w:rPr>
              <w:t>，</w:t>
            </w:r>
            <w:r>
              <w:rPr>
                <w:rFonts w:hint="eastAsia"/>
                <w:szCs w:val="24"/>
              </w:rPr>
              <w:t>设计处理</w:t>
            </w:r>
            <w:r>
              <w:rPr>
                <w:szCs w:val="24"/>
              </w:rPr>
              <w:t>规模为</w:t>
            </w:r>
            <w:r>
              <w:rPr>
                <w:rFonts w:hint="eastAsia"/>
                <w:szCs w:val="24"/>
              </w:rPr>
              <w:t>15</w:t>
            </w:r>
            <w:r>
              <w:rPr>
                <w:szCs w:val="24"/>
              </w:rPr>
              <w:t>00m</w:t>
            </w:r>
            <w:r>
              <w:rPr>
                <w:szCs w:val="24"/>
                <w:vertAlign w:val="superscript"/>
              </w:rPr>
              <w:t>3</w:t>
            </w:r>
            <w:r>
              <w:rPr>
                <w:szCs w:val="24"/>
              </w:rPr>
              <w:t>/d，污水处理厂主要收集处理大成镇场镇居民生活污水</w:t>
            </w:r>
            <w:r>
              <w:rPr>
                <w:rFonts w:hint="eastAsia"/>
                <w:szCs w:val="24"/>
              </w:rPr>
              <w:t>，</w:t>
            </w:r>
            <w:r>
              <w:rPr>
                <w:szCs w:val="24"/>
              </w:rPr>
              <w:t>处理工艺采用A</w:t>
            </w:r>
            <w:r>
              <w:rPr>
                <w:szCs w:val="24"/>
                <w:vertAlign w:val="subscript"/>
              </w:rPr>
              <w:t>2</w:t>
            </w:r>
            <w:r>
              <w:rPr>
                <w:szCs w:val="24"/>
              </w:rPr>
              <w:t>O工艺，出水排放标准为《城镇污水处理厂污染物排放标准》（GB18919-2002）一级A标准。</w:t>
            </w:r>
          </w:p>
          <w:p>
            <w:pPr>
              <w:pStyle w:val="213"/>
              <w:rPr>
                <w:szCs w:val="24"/>
              </w:rPr>
            </w:pPr>
            <w:r>
              <w:rPr>
                <w:szCs w:val="24"/>
              </w:rPr>
              <w:t>本项目日最大生活污水产生量约</w:t>
            </w:r>
            <w:r>
              <w:rPr>
                <w:rFonts w:hint="eastAsia"/>
                <w:szCs w:val="24"/>
              </w:rPr>
              <w:t>7.2</w:t>
            </w:r>
            <w:r>
              <w:rPr>
                <w:szCs w:val="24"/>
              </w:rPr>
              <w:t>m</w:t>
            </w:r>
            <w:r>
              <w:rPr>
                <w:szCs w:val="24"/>
                <w:vertAlign w:val="superscript"/>
              </w:rPr>
              <w:t>3</w:t>
            </w:r>
            <w:r>
              <w:rPr>
                <w:szCs w:val="24"/>
              </w:rPr>
              <w:t>/d，排放因子为常规生活污水因子COD、BOD</w:t>
            </w:r>
            <w:r>
              <w:rPr>
                <w:szCs w:val="24"/>
                <w:vertAlign w:val="subscript"/>
              </w:rPr>
              <w:t>5</w:t>
            </w:r>
            <w:r>
              <w:rPr>
                <w:szCs w:val="24"/>
              </w:rPr>
              <w:t>、氨氮等，排放浓度不高，因此对</w:t>
            </w:r>
            <w:r>
              <w:rPr>
                <w:rFonts w:hint="eastAsia"/>
                <w:szCs w:val="24"/>
              </w:rPr>
              <w:t>大成镇</w:t>
            </w:r>
            <w:r>
              <w:rPr>
                <w:szCs w:val="24"/>
              </w:rPr>
              <w:t>污水处理厂冲击不大，能够满足本项目生活污水处理要求。</w:t>
            </w:r>
          </w:p>
          <w:p>
            <w:pPr>
              <w:spacing w:line="360" w:lineRule="auto"/>
              <w:rPr>
                <w:b/>
                <w:bCs/>
                <w:sz w:val="24"/>
              </w:rPr>
            </w:pPr>
            <w:r>
              <w:rPr>
                <w:b/>
                <w:bCs/>
                <w:sz w:val="24"/>
              </w:rPr>
              <w:t>5.2.3噪声治理措施及可行性分析</w:t>
            </w:r>
          </w:p>
          <w:p>
            <w:pPr>
              <w:pStyle w:val="213"/>
              <w:rPr>
                <w:szCs w:val="24"/>
              </w:rPr>
            </w:pPr>
            <w:r>
              <w:rPr>
                <w:szCs w:val="24"/>
              </w:rPr>
              <w:t>根据钻井阶段噪声预测结果可知，钻井作业昼间井口</w:t>
            </w:r>
            <w:r>
              <w:rPr>
                <w:rFonts w:hint="eastAsia"/>
                <w:szCs w:val="24"/>
              </w:rPr>
              <w:t>2</w:t>
            </w:r>
            <w:r>
              <w:rPr>
                <w:szCs w:val="24"/>
              </w:rPr>
              <w:t>00m范围敏感点均能满足《声环境质量标准》（GB3096-2008）2类标准。</w:t>
            </w:r>
          </w:p>
          <w:p>
            <w:pPr>
              <w:pStyle w:val="213"/>
              <w:rPr>
                <w:szCs w:val="24"/>
              </w:rPr>
            </w:pPr>
            <w:r>
              <w:rPr>
                <w:szCs w:val="24"/>
              </w:rPr>
              <w:t>为了减缓噪声扰民情况，本评价提出以下噪声防治措施：</w:t>
            </w:r>
          </w:p>
          <w:p>
            <w:pPr>
              <w:pStyle w:val="213"/>
              <w:rPr>
                <w:szCs w:val="24"/>
              </w:rPr>
            </w:pPr>
            <w:r>
              <w:rPr>
                <w:szCs w:val="24"/>
              </w:rPr>
              <w:t>（1）发电机设置与发电机房内、并采取基础减振、安装吸声材料等降噪措施，柴油发电机修排气筒设消声罩。同时在钻井过程中平稳操作，避免特种作业时产生非正常的噪声。</w:t>
            </w:r>
          </w:p>
          <w:p>
            <w:pPr>
              <w:pStyle w:val="213"/>
              <w:rPr>
                <w:szCs w:val="24"/>
              </w:rPr>
            </w:pPr>
            <w:r>
              <w:rPr>
                <w:szCs w:val="24"/>
              </w:rPr>
              <w:t>（2）由于项目钻井期间施工噪声周边农户影响较明显，建议建设单位根据钻井实际影响情况对受影响的农户，进行协商（如经济补偿、租用）处理，以降低项目施工期对农户的影响。</w:t>
            </w:r>
          </w:p>
          <w:p>
            <w:pPr>
              <w:pStyle w:val="213"/>
              <w:rPr>
                <w:szCs w:val="24"/>
              </w:rPr>
            </w:pPr>
            <w:r>
              <w:rPr>
                <w:szCs w:val="24"/>
              </w:rPr>
              <w:t>（3）施工方在钻井作业期间应加强施工管理，钻机、泥浆泵、压裂车等设备应做好日常维护，同时在操作时做到平稳操作，避免特种作业时产生非正常的噪声</w:t>
            </w:r>
            <w:r>
              <w:rPr>
                <w:rFonts w:hint="eastAsia"/>
                <w:szCs w:val="24"/>
              </w:rPr>
              <w:t>。</w:t>
            </w:r>
          </w:p>
          <w:p>
            <w:pPr>
              <w:pStyle w:val="213"/>
              <w:rPr>
                <w:szCs w:val="24"/>
              </w:rPr>
            </w:pPr>
            <w:r>
              <w:rPr>
                <w:szCs w:val="24"/>
              </w:rPr>
              <w:t>（</w:t>
            </w:r>
            <w:r>
              <w:rPr>
                <w:rFonts w:hint="eastAsia"/>
                <w:szCs w:val="24"/>
              </w:rPr>
              <w:t>4</w:t>
            </w:r>
            <w:r>
              <w:rPr>
                <w:szCs w:val="24"/>
              </w:rPr>
              <w:t>）钻井阶段运输车辆沿规定路线行驶，减少鸣笛。</w:t>
            </w:r>
          </w:p>
          <w:p>
            <w:pPr>
              <w:pStyle w:val="213"/>
              <w:rPr>
                <w:szCs w:val="24"/>
              </w:rPr>
            </w:pPr>
            <w:r>
              <w:rPr>
                <w:szCs w:val="24"/>
              </w:rPr>
              <w:t>（</w:t>
            </w:r>
            <w:r>
              <w:rPr>
                <w:rFonts w:hint="eastAsia"/>
                <w:szCs w:val="24"/>
              </w:rPr>
              <w:t>5</w:t>
            </w:r>
            <w:r>
              <w:rPr>
                <w:szCs w:val="24"/>
              </w:rPr>
              <w:t>）在设备选型时尽可能选用低噪声设备，合理布置施工总平面布置，较强噪声源尽可能远离周边的敏感点。</w:t>
            </w:r>
          </w:p>
          <w:p>
            <w:pPr>
              <w:pStyle w:val="213"/>
              <w:rPr>
                <w:szCs w:val="24"/>
              </w:rPr>
            </w:pPr>
            <w:r>
              <w:rPr>
                <w:szCs w:val="24"/>
              </w:rPr>
              <w:t>（</w:t>
            </w:r>
            <w:r>
              <w:rPr>
                <w:rFonts w:hint="eastAsia"/>
                <w:szCs w:val="24"/>
              </w:rPr>
              <w:t>6</w:t>
            </w:r>
            <w:r>
              <w:rPr>
                <w:szCs w:val="24"/>
              </w:rPr>
              <w:t>）合理安排施工强度，尽量缩短施工周期。</w:t>
            </w:r>
          </w:p>
          <w:p>
            <w:pPr>
              <w:pStyle w:val="213"/>
              <w:rPr>
                <w:szCs w:val="24"/>
              </w:rPr>
            </w:pPr>
            <w:r>
              <w:rPr>
                <w:szCs w:val="24"/>
              </w:rPr>
              <w:t>综上所述：通过以上措施，拟建项目施工期噪声对声环境的影响是可以接受的。同时由于钻井噪声属于施工噪声，钻井作业时间及压裂作业时间较短，随着钻井工程的结束，拟建项目对周边环境造成的影响也会随之消失。</w:t>
            </w:r>
          </w:p>
          <w:p>
            <w:pPr>
              <w:spacing w:line="360" w:lineRule="auto"/>
              <w:rPr>
                <w:b/>
                <w:bCs/>
                <w:sz w:val="24"/>
              </w:rPr>
            </w:pPr>
            <w:r>
              <w:rPr>
                <w:b/>
                <w:bCs/>
                <w:sz w:val="24"/>
              </w:rPr>
              <w:t>5.2.4固体废物治理措施及可行性分析</w:t>
            </w:r>
          </w:p>
          <w:p>
            <w:pPr>
              <w:pStyle w:val="213"/>
              <w:rPr>
                <w:szCs w:val="24"/>
              </w:rPr>
            </w:pPr>
            <w:r>
              <w:rPr>
                <w:szCs w:val="24"/>
              </w:rPr>
              <w:t>①固废产生</w:t>
            </w:r>
          </w:p>
          <w:p>
            <w:pPr>
              <w:pStyle w:val="213"/>
              <w:rPr>
                <w:szCs w:val="24"/>
              </w:rPr>
            </w:pPr>
            <w:r>
              <w:rPr>
                <w:szCs w:val="24"/>
              </w:rPr>
              <w:t>本项目施工期固废主要为水基岩屑、废水基泥浆、</w:t>
            </w:r>
            <w:r>
              <w:rPr>
                <w:rFonts w:hint="eastAsia"/>
                <w:szCs w:val="24"/>
              </w:rPr>
              <w:t>油基岩屑、废油基泥浆、</w:t>
            </w:r>
            <w:r>
              <w:rPr>
                <w:szCs w:val="24"/>
              </w:rPr>
              <w:t>废油、生活垃圾</w:t>
            </w:r>
            <w:r>
              <w:rPr>
                <w:rFonts w:hint="eastAsia"/>
                <w:szCs w:val="24"/>
              </w:rPr>
              <w:t>等</w:t>
            </w:r>
            <w:r>
              <w:rPr>
                <w:szCs w:val="24"/>
              </w:rPr>
              <w:t>其他固废。</w:t>
            </w:r>
          </w:p>
          <w:p>
            <w:pPr>
              <w:pStyle w:val="213"/>
              <w:rPr>
                <w:szCs w:val="24"/>
              </w:rPr>
            </w:pPr>
            <w:r>
              <w:rPr>
                <w:szCs w:val="24"/>
              </w:rPr>
              <w:t>②环保措施</w:t>
            </w:r>
          </w:p>
          <w:p>
            <w:pPr>
              <w:pStyle w:val="213"/>
              <w:rPr>
                <w:szCs w:val="24"/>
              </w:rPr>
            </w:pPr>
            <w:r>
              <w:rPr>
                <w:szCs w:val="24"/>
              </w:rPr>
              <w:t>本项目采用清洁化操作平台，并采取泥浆不落地措施。项目产生的废水基泥浆与常规钻产生的废水基岩屑一起采用清洁化操作平台，并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w:t>
            </w:r>
            <w:r>
              <w:rPr>
                <w:rFonts w:hint="eastAsia"/>
                <w:szCs w:val="24"/>
              </w:rPr>
              <w:t>危险废物贮存点</w:t>
            </w:r>
            <w:r>
              <w:rPr>
                <w:szCs w:val="24"/>
              </w:rPr>
              <w:t>，面积约</w:t>
            </w:r>
            <w:r>
              <w:rPr>
                <w:rFonts w:hint="eastAsia"/>
                <w:szCs w:val="24"/>
              </w:rPr>
              <w:t>1</w:t>
            </w:r>
            <w:r>
              <w:rPr>
                <w:szCs w:val="24"/>
              </w:rPr>
              <w:t>5m</w:t>
            </w:r>
            <w:r>
              <w:rPr>
                <w:szCs w:val="24"/>
                <w:vertAlign w:val="superscript"/>
              </w:rPr>
              <w:t>2</w:t>
            </w:r>
            <w:r>
              <w:rPr>
                <w:szCs w:val="24"/>
              </w:rPr>
              <w:t>，暂存间地面采取必要的防护措施（防风、防雨、防晒、防渗、防漏、防腐）及其他环境污染防护措施，并及时经有危废运输资质的单位通过专用车辆密闭清运至企业净化厂危险废物贮存仓库（运距约24km），委托有资质单位处理，废油运输线路需按照规定的线路限速行驶，避开人口密集区、饮用水源保护区等环境敏感区。</w:t>
            </w:r>
          </w:p>
          <w:p>
            <w:pPr>
              <w:pStyle w:val="213"/>
              <w:rPr>
                <w:szCs w:val="24"/>
              </w:rPr>
            </w:pPr>
            <w:r>
              <w:rPr>
                <w:rFonts w:hint="eastAsia"/>
                <w:szCs w:val="24"/>
              </w:rPr>
              <w:t>水平段</w:t>
            </w:r>
            <w:r>
              <w:rPr>
                <w:szCs w:val="24"/>
              </w:rPr>
              <w:t>采用油基钻井液，则废油基泥浆暂存于泥浆储备罐，定期委托有资质单位进行处理；油基岩屑暂存于接收罐，定期（约1周转运1次）委托有资质单位进行处理。</w:t>
            </w:r>
          </w:p>
          <w:p>
            <w:pPr>
              <w:keepNext/>
              <w:spacing w:line="360" w:lineRule="auto"/>
              <w:ind w:firstLine="480" w:firstLineChars="200"/>
              <w:rPr>
                <w:sz w:val="24"/>
              </w:rPr>
            </w:pPr>
            <w:r>
              <w:rPr>
                <w:sz w:val="24"/>
                <w:lang w:bidi="ar"/>
              </w:rPr>
              <w:t>危险废物应按照《危险废物产生单位管理计划制定指南》进行管理。工程对</w:t>
            </w:r>
            <w:r>
              <w:rPr>
                <w:kern w:val="0"/>
                <w:sz w:val="24"/>
                <w:lang w:bidi="ar"/>
              </w:rPr>
              <w:t>油基岩屑</w:t>
            </w:r>
            <w:r>
              <w:rPr>
                <w:sz w:val="24"/>
                <w:lang w:bidi="ar"/>
              </w:rPr>
              <w:t>的收集、贮存和运输应满足</w:t>
            </w:r>
            <w:r>
              <w:rPr>
                <w:rStyle w:val="187"/>
                <w:szCs w:val="24"/>
                <w:lang w:bidi="ar"/>
              </w:rPr>
              <w:t>《危险废物收集、贮存、运输技术规范》（HJ2025-2012）、</w:t>
            </w:r>
            <w:r>
              <w:rPr>
                <w:sz w:val="24"/>
                <w:lang w:bidi="ar"/>
              </w:rPr>
              <w:t>《危险废物贮存污染控制标准》（GB18597-20</w:t>
            </w:r>
            <w:r>
              <w:rPr>
                <w:rFonts w:hint="eastAsia"/>
                <w:sz w:val="24"/>
                <w:lang w:bidi="ar"/>
              </w:rPr>
              <w:t>23</w:t>
            </w:r>
            <w:r>
              <w:rPr>
                <w:sz w:val="24"/>
                <w:lang w:bidi="ar"/>
              </w:rPr>
              <w:t>）。</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依据《危险废物收集、贮存、运输技术规范》（HJ2025-2012），项目应加强以下措施：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1）危险废物的收集作业</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①</w:t>
            </w:r>
            <w:r>
              <w:rPr>
                <w:rFonts w:ascii="Times New Roman" w:hAnsi="Times New Roman"/>
                <w:kern w:val="2"/>
                <w:lang w:bidi="ar"/>
              </w:rPr>
              <w:t>应根据收集设备、转运车辆以及现场人员等实际情况确定相应作业区域，同时要设置作业界限标志和警示牌。</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②</w:t>
            </w:r>
            <w:r>
              <w:rPr>
                <w:rFonts w:ascii="Times New Roman" w:hAnsi="Times New Roman"/>
                <w:kern w:val="2"/>
                <w:lang w:bidi="ar"/>
              </w:rPr>
              <w:t>作业区域内应设置危险废物收集专用通道和人员避险通道。</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③</w:t>
            </w:r>
            <w:r>
              <w:rPr>
                <w:rFonts w:ascii="Times New Roman" w:hAnsi="Times New Roman"/>
                <w:kern w:val="2"/>
                <w:lang w:bidi="ar"/>
              </w:rPr>
              <w:t>收集时应配备必要的收集工具和包装物，以及必要的应急监测设备及应急装备。</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④</w:t>
            </w:r>
            <w:r>
              <w:rPr>
                <w:rFonts w:ascii="Times New Roman" w:hAnsi="Times New Roman"/>
                <w:kern w:val="2"/>
                <w:lang w:bidi="ar"/>
              </w:rPr>
              <w:t>危险废物收集应参照本标准附录A填写记录表，并将记录表作为危险废物管理的重要档案妥善保存。</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⑤</w:t>
            </w:r>
            <w:r>
              <w:rPr>
                <w:rFonts w:ascii="Times New Roman" w:hAnsi="Times New Roman"/>
                <w:kern w:val="2"/>
                <w:lang w:bidi="ar"/>
              </w:rPr>
              <w:t>收集结束后应清理和恢复收集作业区域，确保作业区域环境整洁安全。</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⑥</w:t>
            </w:r>
            <w:r>
              <w:rPr>
                <w:rFonts w:ascii="Times New Roman" w:hAnsi="Times New Roman"/>
                <w:kern w:val="2"/>
                <w:lang w:bidi="ar"/>
              </w:rPr>
              <w:t>收集过危险废物的容器、设备、设施、场所及其它物品转作它用时，应消除污染，确保其使用安全。</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2）危险废物贮存</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①</w:t>
            </w:r>
            <w:r>
              <w:rPr>
                <w:rFonts w:ascii="Times New Roman" w:hAnsi="Times New Roman"/>
                <w:kern w:val="2"/>
                <w:lang w:bidi="ar"/>
              </w:rPr>
              <w:t>危险废物贮存设施应配备通讯设备、照明设施和消防设施。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②</w:t>
            </w:r>
            <w:r>
              <w:rPr>
                <w:rFonts w:ascii="Times New Roman" w:hAnsi="Times New Roman"/>
                <w:kern w:val="2"/>
                <w:lang w:bidi="ar"/>
              </w:rPr>
              <w:t>贮存危险废物时应按危险废物的种类和特性进行分区贮存，每个贮存区域之间宜设置挡墙间隔，并应设置防雨、防火、防雷、防扬尘装置。</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③</w:t>
            </w:r>
            <w:r>
              <w:rPr>
                <w:rFonts w:ascii="Times New Roman" w:hAnsi="Times New Roman"/>
                <w:kern w:val="2"/>
                <w:lang w:bidi="ar"/>
              </w:rPr>
              <w:t>建设单位应明确危险废物贮存设施现状，包括设施名称、数量、类型、面积及贮存能力，掌握贮存危险废物的类别、名称、数量及贮存原因，提出危险废物贮存过程的污染防治和事故预防措施等内容。</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3）危险废物的运输</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①</w:t>
            </w:r>
            <w:r>
              <w:rPr>
                <w:rFonts w:ascii="Times New Roman" w:hAnsi="Times New Roman"/>
                <w:kern w:val="2"/>
                <w:lang w:bidi="ar"/>
              </w:rPr>
              <w:t>危险废物公路运输应按照《道路危险货物运输管理规定》(交通部令[2005年]第9号)、JT617以及JT618 执行。</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②</w:t>
            </w:r>
            <w:r>
              <w:rPr>
                <w:rFonts w:ascii="Times New Roman" w:hAnsi="Times New Roman"/>
                <w:kern w:val="2"/>
                <w:lang w:bidi="ar"/>
              </w:rPr>
              <w:t>输单位承运危险废物时，应在危险废物包装上按照GB18597附录A设置标志。</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③</w:t>
            </w:r>
            <w:r>
              <w:rPr>
                <w:rFonts w:ascii="Times New Roman" w:hAnsi="Times New Roman"/>
                <w:kern w:val="2"/>
                <w:lang w:bidi="ar"/>
              </w:rPr>
              <w:t>危险废物公路运输时，运输车辆应按GB13392设置车辆标志。</w:t>
            </w:r>
          </w:p>
          <w:p>
            <w:pPr>
              <w:pStyle w:val="38"/>
              <w:keepNext/>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hint="eastAsia" w:cs="宋体"/>
                <w:kern w:val="2"/>
                <w:lang w:bidi="ar"/>
              </w:rPr>
              <w:t>④</w:t>
            </w:r>
            <w:r>
              <w:rPr>
                <w:rFonts w:ascii="Times New Roman" w:hAnsi="Times New Roman"/>
                <w:kern w:val="2"/>
                <w:lang w:bidi="ar"/>
              </w:rPr>
              <w:t>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5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⑤</w:t>
            </w:r>
            <w:r>
              <w:rPr>
                <w:rFonts w:ascii="Times New Roman" w:hAnsi="Times New Roman"/>
              </w:rPr>
              <w:fldChar w:fldCharType="end"/>
            </w:r>
            <w:r>
              <w:rPr>
                <w:rFonts w:hint="eastAsia" w:ascii="Times New Roman" w:hAnsi="Times New Roman"/>
              </w:rPr>
              <w:t>根据</w:t>
            </w:r>
            <w:r>
              <w:rPr>
                <w:rFonts w:hint="eastAsia"/>
              </w:rPr>
              <w:t>《天然气开采含油污泥综合利用后剩余固相利用处置标准》</w:t>
            </w:r>
            <w:r>
              <w:rPr>
                <w:rFonts w:hint="eastAsia" w:ascii="Times New Roman" w:hAnsi="Times New Roman"/>
              </w:rPr>
              <w:t>（DB51/T 2850-2021），运输工具应符合“防雨、防渗漏、防遗撒”措施。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4）危险废物转移</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本工程开发过程中涉及的油基岩屑交由有危废运输资质的单位进行转运，转运过程参照《危险废物收集、贮存、运输技术规范》（HJ2025-2012）严格执行危废申报和五联单管理制度，在项目建设过程中，建设方结合钻井施工进度，建立分季度油基岩屑转运内部管理台账，同时为确保转运安全，对危废转运采取的如下管理措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A、制定科学合理的车辆运输，根据车辆运输实施相应的管理。</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B、危废承运单位为非建设所属单位，承运方需具备建设单位的HSE准入资格和相应的运输服务准入资格。</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C、承运单位在开展运输工作之前，应对运输人员进行相关安全环保知识培训，运输车辆、装卸工具必须符合安全环保要求，装卸和运输危废过程中不得溢出和渗漏。严禁任意倾倒、排放或向第三方转移危废。</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D、承运人员进入井场装卸油基岩屑时，必须遵守有关安全环保管理规定，并服从井站值班人员的管理，不得擅自进入生产装置区和操作井场设备设施。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E、危废车辆运输严格执行签认制度。签认单复印件报属地管理单位安全部门和承运单位备查，保存期不得少于二年。</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F、危废转运路线应尽可能绕避集中式饮用水源保护区等环境敏感地。</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G、转运时采取槽车密闭输送。</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H、尽量避免在雨天和大雾天转运。</w:t>
            </w:r>
          </w:p>
          <w:p>
            <w:pPr>
              <w:pStyle w:val="213"/>
              <w:rPr>
                <w:szCs w:val="24"/>
              </w:rPr>
            </w:pPr>
            <w:r>
              <w:rPr>
                <w:szCs w:val="24"/>
              </w:rPr>
              <w:t>（4）废棉纱/手套及废油桶处置方式</w:t>
            </w:r>
          </w:p>
          <w:p>
            <w:pPr>
              <w:pStyle w:val="213"/>
              <w:rPr>
                <w:szCs w:val="24"/>
              </w:rPr>
            </w:pPr>
            <w:r>
              <w:rPr>
                <w:szCs w:val="24"/>
              </w:rPr>
              <w:t>钻机等设备保养产生的废棉纱/手套，暂存于</w:t>
            </w:r>
            <w:r>
              <w:rPr>
                <w:rFonts w:hint="eastAsia"/>
                <w:szCs w:val="24"/>
              </w:rPr>
              <w:t>危险废物贮存点，</w:t>
            </w:r>
            <w:r>
              <w:rPr>
                <w:szCs w:val="24"/>
              </w:rPr>
              <w:t>废油桶暂存于</w:t>
            </w:r>
            <w:r>
              <w:rPr>
                <w:rFonts w:hint="eastAsia"/>
                <w:szCs w:val="24"/>
              </w:rPr>
              <w:t>危险废物贮存点</w:t>
            </w:r>
            <w:r>
              <w:rPr>
                <w:szCs w:val="24"/>
              </w:rPr>
              <w:t>内，交</w:t>
            </w:r>
            <w:r>
              <w:rPr>
                <w:rFonts w:hint="eastAsia"/>
                <w:szCs w:val="24"/>
              </w:rPr>
              <w:t>有资质</w:t>
            </w:r>
            <w:r>
              <w:rPr>
                <w:szCs w:val="24"/>
              </w:rPr>
              <w:t>单位处置。要求建设单位严格按照《危险废物收集、贮存、运输技术规范》（HJ2025-2012）及《建设项目危险废物环境影响评价指南》中相关规定做好收集、暂存和转运工作。</w:t>
            </w:r>
          </w:p>
          <w:p>
            <w:pPr>
              <w:pStyle w:val="213"/>
              <w:rPr>
                <w:szCs w:val="24"/>
              </w:rPr>
            </w:pPr>
            <w:r>
              <w:rPr>
                <w:szCs w:val="24"/>
              </w:rPr>
              <w:t>（5）生活垃圾处置方式</w:t>
            </w:r>
          </w:p>
          <w:p>
            <w:pPr>
              <w:pStyle w:val="213"/>
              <w:rPr>
                <w:szCs w:val="24"/>
              </w:rPr>
            </w:pPr>
            <w:r>
              <w:rPr>
                <w:szCs w:val="24"/>
              </w:rPr>
              <w:t>生活垃圾处置要求：钻井施工单位应对垃圾箱中的生活垃圾等进行清理，并送当地城镇生活垃圾收集系统。</w:t>
            </w:r>
          </w:p>
          <w:p>
            <w:pPr>
              <w:pStyle w:val="213"/>
              <w:rPr>
                <w:szCs w:val="24"/>
              </w:rPr>
            </w:pPr>
            <w:r>
              <w:rPr>
                <w:szCs w:val="24"/>
              </w:rPr>
              <w:t>（6）废包装材料处置方式</w:t>
            </w:r>
          </w:p>
          <w:p>
            <w:pPr>
              <w:pStyle w:val="213"/>
              <w:rPr>
                <w:szCs w:val="24"/>
              </w:rPr>
            </w:pPr>
            <w:r>
              <w:rPr>
                <w:szCs w:val="24"/>
              </w:rPr>
              <w:t>钻井期间产生的废包装材料主要为各原辅材料的包装袋，为一般废物，集中收集后定期运至就近的废品回收站进行处理。</w:t>
            </w:r>
          </w:p>
          <w:p>
            <w:pPr>
              <w:pStyle w:val="213"/>
              <w:rPr>
                <w:szCs w:val="24"/>
              </w:rPr>
            </w:pPr>
            <w:r>
              <w:rPr>
                <w:szCs w:val="24"/>
              </w:rPr>
              <w:t>综上，拟建项目产生的固废采取上述分类收集、分类处置的措施后，可合理处置各类固废，对周围环境不会造成污染影响。</w:t>
            </w:r>
          </w:p>
          <w:p>
            <w:pPr>
              <w:pStyle w:val="213"/>
              <w:ind w:firstLine="0" w:firstLineChars="0"/>
              <w:rPr>
                <w:b/>
                <w:bCs/>
                <w:szCs w:val="24"/>
              </w:rPr>
            </w:pPr>
            <w:r>
              <w:rPr>
                <w:b/>
                <w:bCs/>
                <w:szCs w:val="24"/>
              </w:rPr>
              <w:t>5.3</w:t>
            </w:r>
            <w:r>
              <w:rPr>
                <w:rFonts w:hint="eastAsia"/>
                <w:b/>
                <w:bCs/>
                <w:szCs w:val="24"/>
              </w:rPr>
              <w:t>储层改造工程</w:t>
            </w:r>
            <w:r>
              <w:rPr>
                <w:b/>
                <w:bCs/>
                <w:szCs w:val="24"/>
              </w:rPr>
              <w:t>环境保护措施</w:t>
            </w:r>
          </w:p>
          <w:p>
            <w:pPr>
              <w:pStyle w:val="213"/>
              <w:ind w:firstLine="0" w:firstLineChars="0"/>
              <w:rPr>
                <w:b/>
                <w:bCs/>
                <w:szCs w:val="24"/>
              </w:rPr>
            </w:pPr>
            <w:r>
              <w:rPr>
                <w:b/>
                <w:bCs/>
                <w:szCs w:val="24"/>
              </w:rPr>
              <w:t>5.3.1废气治理措施及可行性分析</w:t>
            </w:r>
          </w:p>
          <w:p>
            <w:pPr>
              <w:pStyle w:val="213"/>
              <w:rPr>
                <w:szCs w:val="24"/>
              </w:rPr>
            </w:pPr>
            <w:r>
              <w:rPr>
                <w:rFonts w:hint="eastAsia"/>
                <w:szCs w:val="24"/>
              </w:rPr>
              <w:t>储层改造工程</w:t>
            </w:r>
            <w:r>
              <w:rPr>
                <w:szCs w:val="24"/>
              </w:rPr>
              <w:t>期间废气主要为</w:t>
            </w:r>
            <w:r>
              <w:rPr>
                <w:rFonts w:hint="eastAsia"/>
                <w:szCs w:val="24"/>
              </w:rPr>
              <w:t>测试放喷废气</w:t>
            </w:r>
            <w:r>
              <w:rPr>
                <w:szCs w:val="24"/>
              </w:rPr>
              <w:t>。</w:t>
            </w:r>
            <w:r>
              <w:rPr>
                <w:rFonts w:hint="eastAsia"/>
                <w:szCs w:val="24"/>
              </w:rPr>
              <w:t>采用地面燃烧处理，修建放喷池减小辐射影响，同时应对测试放喷时周边居民进行临时疏散，因此对环境影响较小。污染物排放随产量测试结束而结束，不会长期存在，不会影响区域环境空气功能区划。</w:t>
            </w:r>
          </w:p>
          <w:p>
            <w:pPr>
              <w:spacing w:line="360" w:lineRule="auto"/>
              <w:rPr>
                <w:b/>
                <w:bCs/>
                <w:sz w:val="24"/>
              </w:rPr>
            </w:pPr>
            <w:r>
              <w:rPr>
                <w:b/>
                <w:bCs/>
                <w:sz w:val="24"/>
              </w:rPr>
              <w:t>5.3.2废水治理措施及可行性分析</w:t>
            </w:r>
          </w:p>
          <w:p>
            <w:pPr>
              <w:pStyle w:val="213"/>
              <w:rPr>
                <w:szCs w:val="24"/>
              </w:rPr>
            </w:pPr>
            <w:r>
              <w:rPr>
                <w:szCs w:val="24"/>
              </w:rPr>
              <w:t>（1）洗井废水</w:t>
            </w:r>
          </w:p>
          <w:p>
            <w:pPr>
              <w:pStyle w:val="213"/>
              <w:rPr>
                <w:szCs w:val="24"/>
              </w:rPr>
            </w:pPr>
            <w:r>
              <w:rPr>
                <w:szCs w:val="24"/>
              </w:rPr>
              <w:t>本项目单井洗井废水约1</w:t>
            </w:r>
            <w:r>
              <w:rPr>
                <w:rFonts w:hint="eastAsia"/>
                <w:szCs w:val="24"/>
              </w:rPr>
              <w:t>0</w:t>
            </w:r>
            <w:r>
              <w:rPr>
                <w:szCs w:val="24"/>
              </w:rPr>
              <w:t>0m</w:t>
            </w:r>
            <w:r>
              <w:rPr>
                <w:szCs w:val="24"/>
                <w:vertAlign w:val="superscript"/>
              </w:rPr>
              <w:t>3</w:t>
            </w:r>
            <w:r>
              <w:rPr>
                <w:szCs w:val="24"/>
              </w:rPr>
              <w:t>，均经现场预处理后暂存于废水收集罐中，最后回用于本井场压裂液的配制。</w:t>
            </w:r>
          </w:p>
          <w:p>
            <w:pPr>
              <w:pStyle w:val="213"/>
              <w:rPr>
                <w:szCs w:val="24"/>
              </w:rPr>
            </w:pPr>
            <w:r>
              <w:rPr>
                <w:szCs w:val="24"/>
              </w:rPr>
              <w:t>（2）压裂返排液废水</w:t>
            </w:r>
          </w:p>
          <w:p>
            <w:pPr>
              <w:pStyle w:val="213"/>
              <w:rPr>
                <w:szCs w:val="24"/>
              </w:rPr>
            </w:pPr>
            <w:r>
              <w:rPr>
                <w:rFonts w:hint="eastAsia"/>
                <w:szCs w:val="24"/>
              </w:rPr>
              <w:t>铁北1侧HF井产生的</w:t>
            </w:r>
            <w:r>
              <w:rPr>
                <w:szCs w:val="24"/>
              </w:rPr>
              <w:t>压裂返排液经</w:t>
            </w:r>
            <w:r>
              <w:rPr>
                <w:rFonts w:hint="eastAsia"/>
                <w:szCs w:val="24"/>
              </w:rPr>
              <w:t>废水池暂存后定期拉运至大湾403污水站处理达标后管输至毛开1井回注站回注</w:t>
            </w:r>
            <w:r>
              <w:rPr>
                <w:szCs w:val="24"/>
              </w:rPr>
              <w:t>。</w:t>
            </w:r>
            <w:r>
              <w:rPr>
                <w:rFonts w:hint="eastAsia"/>
                <w:szCs w:val="24"/>
              </w:rPr>
              <w:t>铁北1侧HF井产生压裂返排液</w:t>
            </w:r>
            <w:r>
              <w:rPr>
                <w:szCs w:val="24"/>
              </w:rPr>
              <w:t>约450</w:t>
            </w:r>
            <w:r>
              <w:rPr>
                <w:rFonts w:hint="eastAsia"/>
                <w:szCs w:val="24"/>
              </w:rPr>
              <w:t>0</w:t>
            </w:r>
            <w:r>
              <w:rPr>
                <w:szCs w:val="24"/>
              </w:rPr>
              <w:t>m</w:t>
            </w:r>
            <w:r>
              <w:rPr>
                <w:szCs w:val="24"/>
                <w:vertAlign w:val="superscript"/>
              </w:rPr>
              <w:t>3</w:t>
            </w:r>
            <w:r>
              <w:rPr>
                <w:rFonts w:hint="eastAsia"/>
                <w:szCs w:val="24"/>
              </w:rPr>
              <w:t>。</w:t>
            </w:r>
          </w:p>
          <w:p>
            <w:pPr>
              <w:pStyle w:val="38"/>
              <w:keepNext/>
              <w:tabs>
                <w:tab w:val="left" w:pos="377"/>
              </w:tabs>
              <w:spacing w:before="0" w:beforeAutospacing="0" w:after="0" w:afterAutospacing="0" w:line="360" w:lineRule="auto"/>
              <w:ind w:firstLine="482" w:firstLineChars="200"/>
              <w:jc w:val="both"/>
              <w:rPr>
                <w:rFonts w:ascii="Times New Roman" w:hAnsi="Times New Roman"/>
              </w:rPr>
            </w:pPr>
            <w:r>
              <w:rPr>
                <w:rFonts w:hint="eastAsia" w:cs="宋体"/>
                <w:b/>
                <w:kern w:val="2"/>
                <w:lang w:bidi="ar"/>
              </w:rPr>
              <w:t>①</w:t>
            </w:r>
            <w:r>
              <w:rPr>
                <w:rFonts w:ascii="Times New Roman" w:hAnsi="Times New Roman"/>
                <w:b/>
                <w:kern w:val="2"/>
                <w:lang w:bidi="ar"/>
              </w:rPr>
              <w:t>大湾403污水站</w:t>
            </w:r>
            <w:r>
              <w:rPr>
                <w:rFonts w:hint="eastAsia" w:ascii="Times New Roman" w:hAnsi="Times New Roman"/>
                <w:b/>
                <w:kern w:val="2"/>
                <w:lang w:bidi="ar"/>
              </w:rPr>
              <w:t>、毛开1井污水回注站</w:t>
            </w:r>
            <w:r>
              <w:rPr>
                <w:rFonts w:ascii="Times New Roman" w:hAnsi="Times New Roman"/>
                <w:b/>
                <w:kern w:val="2"/>
                <w:lang w:bidi="ar"/>
              </w:rPr>
              <w:t>处理可行性分析</w:t>
            </w:r>
          </w:p>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ascii="Times New Roman" w:hAnsi="Times New Roman"/>
                <w:lang w:bidi="ar"/>
              </w:rPr>
              <w:t>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ascii="Times New Roman" w:hAnsi="Times New Roman"/>
                <w:lang w:bidi="ar"/>
              </w:rPr>
              <w:t>大湾403污水站位于炉旺村东北，处理能力120m</w:t>
            </w:r>
            <w:r>
              <w:rPr>
                <w:rFonts w:ascii="Times New Roman" w:hAnsi="Times New Roman"/>
                <w:vertAlign w:val="superscript"/>
                <w:lang w:bidi="ar"/>
              </w:rPr>
              <w:t>3</w:t>
            </w:r>
            <w:r>
              <w:rPr>
                <w:rFonts w:ascii="Times New Roman" w:hAnsi="Times New Roman"/>
                <w:lang w:bidi="ar"/>
              </w:rPr>
              <w:t>/d，目前实际处理量为70~90m3/d，富余30～50m3/d。污水处理系统除硫工艺采用二氧化氯氧化工艺，主流程为：来水→压力两相污水接收及氧化罐→污水池→污水提升泵→双滤料过滤器→精细过滤器→缓冲罐→外输泵→外输管线。</w:t>
            </w:r>
          </w:p>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bookmarkStart w:id="50" w:name="OLE_LINK47"/>
            <w:bookmarkStart w:id="51" w:name="OLE_LINK48"/>
            <w:r>
              <w:rPr>
                <w:rFonts w:ascii="Times New Roman" w:hAnsi="Times New Roman"/>
                <w:lang w:bidi="ar"/>
              </w:rPr>
              <w:t>毛开1井回注站位于达州市宣汉县普光镇雁口村6组旁，该井站回注层位为嘉陵江组（井段3680m～3790m）、雷口坡组（井段2235m～2350m），回注水量储集空间为226.77×10</w:t>
            </w:r>
            <w:r>
              <w:rPr>
                <w:rFonts w:ascii="Times New Roman" w:hAnsi="Times New Roman"/>
                <w:vertAlign w:val="superscript"/>
                <w:lang w:bidi="ar"/>
              </w:rPr>
              <w:t>4</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，井口高压管线设计压力为37MPa，目前回注压力为28MPa，污水回注设计规模为120m3/d，目前回注量为70~90m</w:t>
            </w:r>
            <w:r>
              <w:rPr>
                <w:rFonts w:ascii="Times New Roman" w:hAnsi="Times New Roman"/>
                <w:vertAlign w:val="superscript"/>
                <w:lang w:bidi="ar"/>
              </w:rPr>
              <w:t>3</w:t>
            </w:r>
            <w:r>
              <w:rPr>
                <w:rFonts w:ascii="Times New Roman" w:hAnsi="Times New Roman"/>
                <w:lang w:bidi="ar"/>
              </w:rPr>
              <w:t>/d，已回注总量为20×10</w:t>
            </w:r>
            <w:r>
              <w:rPr>
                <w:rFonts w:ascii="Times New Roman" w:hAnsi="Times New Roman"/>
                <w:vertAlign w:val="superscript"/>
                <w:lang w:bidi="ar"/>
              </w:rPr>
              <w:t>4</w:t>
            </w:r>
            <w:r>
              <w:rPr>
                <w:rFonts w:ascii="Times New Roman" w:hAnsi="Times New Roman"/>
                <w:lang w:bidi="ar"/>
              </w:rPr>
              <w:t>m3，</w:t>
            </w:r>
            <w:bookmarkEnd w:id="50"/>
            <w:bookmarkEnd w:id="51"/>
            <w:r>
              <w:rPr>
                <w:rFonts w:ascii="Times New Roman" w:hAnsi="Times New Roman"/>
                <w:lang w:bidi="ar"/>
              </w:rPr>
              <w:t>剩余206.77×10</w:t>
            </w:r>
            <w:r>
              <w:rPr>
                <w:rFonts w:ascii="Times New Roman" w:hAnsi="Times New Roman"/>
                <w:vertAlign w:val="superscript"/>
                <w:lang w:bidi="ar"/>
              </w:rPr>
              <w:t>4</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w:t>
            </w:r>
          </w:p>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r>
              <w:rPr>
                <w:rFonts w:ascii="Times New Roman" w:hAnsi="Times New Roman"/>
                <w:lang w:bidi="ar"/>
              </w:rPr>
              <w:t>本项目污水站及回注站依托工程可行性见表</w:t>
            </w:r>
            <w:r>
              <w:rPr>
                <w:rFonts w:hint="eastAsia" w:ascii="Times New Roman" w:hAnsi="Times New Roman"/>
                <w:lang w:bidi="ar"/>
              </w:rPr>
              <w:t>5-1</w:t>
            </w:r>
            <w:r>
              <w:rPr>
                <w:rFonts w:ascii="Times New Roman" w:hAnsi="Times New Roman"/>
                <w:lang w:bidi="ar"/>
              </w:rPr>
              <w:t>。</w:t>
            </w:r>
          </w:p>
          <w:p>
            <w:pPr>
              <w:pStyle w:val="38"/>
              <w:keepNext/>
              <w:tabs>
                <w:tab w:val="left" w:pos="377"/>
              </w:tabs>
              <w:spacing w:before="0" w:beforeAutospacing="0" w:after="0" w:afterAutospacing="0" w:line="360" w:lineRule="auto"/>
              <w:jc w:val="center"/>
              <w:rPr>
                <w:rFonts w:ascii="Times New Roman" w:hAnsi="Times New Roman"/>
                <w:b/>
                <w:bCs/>
                <w:lang w:bidi="ar"/>
              </w:rPr>
            </w:pPr>
            <w:r>
              <w:rPr>
                <w:rFonts w:ascii="Times New Roman" w:hAnsi="Times New Roman"/>
                <w:b/>
                <w:bCs/>
                <w:lang w:bidi="ar"/>
              </w:rPr>
              <w:t>表</w:t>
            </w:r>
            <w:r>
              <w:rPr>
                <w:rFonts w:hint="eastAsia" w:ascii="Times New Roman" w:hAnsi="Times New Roman"/>
                <w:b/>
                <w:bCs/>
                <w:lang w:bidi="ar"/>
              </w:rPr>
              <w:t>5-1</w:t>
            </w:r>
            <w:r>
              <w:rPr>
                <w:rFonts w:ascii="Times New Roman" w:hAnsi="Times New Roman"/>
                <w:b/>
                <w:bCs/>
                <w:lang w:bidi="ar"/>
              </w:rPr>
              <w:t xml:space="preserve">  本项目污水站及回注站依托可行性</w:t>
            </w:r>
          </w:p>
          <w:tbl>
            <w:tblPr>
              <w:tblStyle w:val="4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054"/>
              <w:gridCol w:w="2266"/>
              <w:gridCol w:w="1159"/>
              <w:gridCol w:w="969"/>
              <w:gridCol w:w="1118"/>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32" w:type="dxa"/>
                  <w:tcBorders>
                    <w:tl2br w:val="nil"/>
                    <w:tr2bl w:val="nil"/>
                  </w:tcBorders>
                  <w:vAlign w:val="center"/>
                </w:tcPr>
                <w:p>
                  <w:pPr>
                    <w:keepNext/>
                    <w:jc w:val="center"/>
                    <w:rPr>
                      <w:szCs w:val="21"/>
                      <w:lang w:bidi="ar"/>
                    </w:rPr>
                  </w:pPr>
                  <w:r>
                    <w:rPr>
                      <w:szCs w:val="21"/>
                      <w:lang w:bidi="ar"/>
                    </w:rPr>
                    <w:t>依托工程名称</w:t>
                  </w:r>
                </w:p>
              </w:tc>
              <w:tc>
                <w:tcPr>
                  <w:tcW w:w="1054" w:type="dxa"/>
                  <w:tcBorders>
                    <w:tl2br w:val="nil"/>
                    <w:tr2bl w:val="nil"/>
                  </w:tcBorders>
                  <w:vAlign w:val="center"/>
                </w:tcPr>
                <w:p>
                  <w:pPr>
                    <w:keepNext/>
                    <w:jc w:val="center"/>
                    <w:rPr>
                      <w:szCs w:val="21"/>
                      <w:lang w:bidi="ar"/>
                    </w:rPr>
                  </w:pPr>
                  <w:r>
                    <w:rPr>
                      <w:szCs w:val="21"/>
                      <w:lang w:bidi="ar"/>
                    </w:rPr>
                    <w:t>设计</w:t>
                  </w:r>
                </w:p>
                <w:p>
                  <w:pPr>
                    <w:keepNext/>
                    <w:jc w:val="center"/>
                    <w:rPr>
                      <w:szCs w:val="21"/>
                      <w:lang w:bidi="ar"/>
                    </w:rPr>
                  </w:pPr>
                  <w:r>
                    <w:rPr>
                      <w:szCs w:val="21"/>
                      <w:lang w:bidi="ar"/>
                    </w:rPr>
                    <w:t>规模（m</w:t>
                  </w:r>
                  <w:r>
                    <w:rPr>
                      <w:szCs w:val="21"/>
                      <w:vertAlign w:val="superscript"/>
                      <w:lang w:bidi="ar"/>
                    </w:rPr>
                    <w:t>3</w:t>
                  </w:r>
                  <w:r>
                    <w:rPr>
                      <w:szCs w:val="21"/>
                      <w:lang w:bidi="ar"/>
                    </w:rPr>
                    <w:t>/d）</w:t>
                  </w:r>
                </w:p>
              </w:tc>
              <w:tc>
                <w:tcPr>
                  <w:tcW w:w="2266" w:type="dxa"/>
                  <w:tcBorders>
                    <w:tl2br w:val="nil"/>
                    <w:tr2bl w:val="nil"/>
                  </w:tcBorders>
                  <w:vAlign w:val="center"/>
                </w:tcPr>
                <w:p>
                  <w:pPr>
                    <w:keepNext/>
                    <w:jc w:val="center"/>
                    <w:rPr>
                      <w:szCs w:val="21"/>
                      <w:lang w:bidi="ar"/>
                    </w:rPr>
                  </w:pPr>
                  <w:r>
                    <w:rPr>
                      <w:szCs w:val="21"/>
                      <w:lang w:bidi="ar"/>
                    </w:rPr>
                    <w:t>现处理规模</w:t>
                  </w:r>
                </w:p>
                <w:p>
                  <w:pPr>
                    <w:keepNext/>
                    <w:jc w:val="center"/>
                    <w:rPr>
                      <w:szCs w:val="21"/>
                      <w:lang w:bidi="ar"/>
                    </w:rPr>
                  </w:pPr>
                  <w:r>
                    <w:rPr>
                      <w:szCs w:val="21"/>
                      <w:lang w:bidi="ar"/>
                    </w:rPr>
                    <w:t>（m</w:t>
                  </w:r>
                  <w:r>
                    <w:rPr>
                      <w:szCs w:val="21"/>
                      <w:vertAlign w:val="superscript"/>
                      <w:lang w:bidi="ar"/>
                    </w:rPr>
                    <w:t>3</w:t>
                  </w:r>
                  <w:r>
                    <w:rPr>
                      <w:szCs w:val="21"/>
                      <w:lang w:bidi="ar"/>
                    </w:rPr>
                    <w:t>/d）</w:t>
                  </w:r>
                </w:p>
              </w:tc>
              <w:tc>
                <w:tcPr>
                  <w:tcW w:w="1159" w:type="dxa"/>
                  <w:tcBorders>
                    <w:tl2br w:val="nil"/>
                    <w:tr2bl w:val="nil"/>
                  </w:tcBorders>
                  <w:vAlign w:val="center"/>
                </w:tcPr>
                <w:p>
                  <w:pPr>
                    <w:keepNext/>
                    <w:jc w:val="center"/>
                    <w:rPr>
                      <w:szCs w:val="21"/>
                      <w:lang w:bidi="ar"/>
                    </w:rPr>
                  </w:pPr>
                  <w:r>
                    <w:rPr>
                      <w:szCs w:val="21"/>
                      <w:lang w:bidi="ar"/>
                    </w:rPr>
                    <w:t>在建项目处理量（m</w:t>
                  </w:r>
                  <w:r>
                    <w:rPr>
                      <w:szCs w:val="21"/>
                      <w:vertAlign w:val="superscript"/>
                      <w:lang w:bidi="ar"/>
                    </w:rPr>
                    <w:t>3</w:t>
                  </w:r>
                  <w:r>
                    <w:rPr>
                      <w:szCs w:val="21"/>
                      <w:lang w:bidi="ar"/>
                    </w:rPr>
                    <w:t>/d）</w:t>
                  </w:r>
                </w:p>
              </w:tc>
              <w:tc>
                <w:tcPr>
                  <w:tcW w:w="969" w:type="dxa"/>
                  <w:tcBorders>
                    <w:tl2br w:val="nil"/>
                    <w:tr2bl w:val="nil"/>
                  </w:tcBorders>
                  <w:vAlign w:val="center"/>
                </w:tcPr>
                <w:p>
                  <w:pPr>
                    <w:keepNext/>
                    <w:jc w:val="center"/>
                    <w:rPr>
                      <w:szCs w:val="21"/>
                      <w:lang w:bidi="ar"/>
                    </w:rPr>
                  </w:pPr>
                  <w:r>
                    <w:rPr>
                      <w:szCs w:val="21"/>
                      <w:lang w:bidi="ar"/>
                    </w:rPr>
                    <w:t>富余</w:t>
                  </w:r>
                </w:p>
                <w:p>
                  <w:pPr>
                    <w:keepNext/>
                    <w:jc w:val="center"/>
                    <w:rPr>
                      <w:szCs w:val="21"/>
                      <w:lang w:bidi="ar"/>
                    </w:rPr>
                  </w:pPr>
                  <w:r>
                    <w:rPr>
                      <w:szCs w:val="21"/>
                      <w:lang w:bidi="ar"/>
                    </w:rPr>
                    <w:t>能力（m</w:t>
                  </w:r>
                  <w:r>
                    <w:rPr>
                      <w:szCs w:val="21"/>
                      <w:vertAlign w:val="superscript"/>
                      <w:lang w:bidi="ar"/>
                    </w:rPr>
                    <w:t>3</w:t>
                  </w:r>
                  <w:r>
                    <w:rPr>
                      <w:szCs w:val="21"/>
                      <w:lang w:bidi="ar"/>
                    </w:rPr>
                    <w:t>/d）</w:t>
                  </w:r>
                </w:p>
              </w:tc>
              <w:tc>
                <w:tcPr>
                  <w:tcW w:w="1118" w:type="dxa"/>
                  <w:tcBorders>
                    <w:tl2br w:val="nil"/>
                    <w:tr2bl w:val="nil"/>
                  </w:tcBorders>
                  <w:vAlign w:val="center"/>
                </w:tcPr>
                <w:p>
                  <w:pPr>
                    <w:keepNext/>
                    <w:jc w:val="center"/>
                    <w:rPr>
                      <w:szCs w:val="21"/>
                      <w:lang w:bidi="ar"/>
                    </w:rPr>
                  </w:pPr>
                  <w:r>
                    <w:rPr>
                      <w:szCs w:val="21"/>
                      <w:lang w:bidi="ar"/>
                    </w:rPr>
                    <w:t>本项目处理量（m</w:t>
                  </w:r>
                  <w:r>
                    <w:rPr>
                      <w:szCs w:val="21"/>
                      <w:vertAlign w:val="superscript"/>
                      <w:lang w:bidi="ar"/>
                    </w:rPr>
                    <w:t>3</w:t>
                  </w:r>
                  <w:r>
                    <w:rPr>
                      <w:szCs w:val="21"/>
                      <w:lang w:bidi="ar"/>
                    </w:rPr>
                    <w:t>）</w:t>
                  </w:r>
                </w:p>
              </w:tc>
              <w:tc>
                <w:tcPr>
                  <w:tcW w:w="812" w:type="dxa"/>
                  <w:tcBorders>
                    <w:tl2br w:val="nil"/>
                    <w:tr2bl w:val="nil"/>
                  </w:tcBorders>
                  <w:vAlign w:val="center"/>
                </w:tcPr>
                <w:p>
                  <w:pPr>
                    <w:keepNext/>
                    <w:jc w:val="center"/>
                    <w:rPr>
                      <w:szCs w:val="21"/>
                      <w:lang w:bidi="ar"/>
                    </w:rPr>
                  </w:pPr>
                  <w:r>
                    <w:rPr>
                      <w:szCs w:val="21"/>
                      <w:lang w:bidi="ar"/>
                    </w:rPr>
                    <w:t>是否可行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restart"/>
                  <w:tcBorders>
                    <w:tl2br w:val="nil"/>
                    <w:tr2bl w:val="nil"/>
                  </w:tcBorders>
                  <w:vAlign w:val="center"/>
                </w:tcPr>
                <w:p>
                  <w:pPr>
                    <w:keepNext/>
                    <w:jc w:val="center"/>
                    <w:rPr>
                      <w:szCs w:val="21"/>
                      <w:lang w:bidi="ar"/>
                    </w:rPr>
                  </w:pPr>
                  <w:r>
                    <w:rPr>
                      <w:szCs w:val="21"/>
                      <w:lang w:bidi="ar"/>
                    </w:rPr>
                    <w:t>大湾403污水站</w:t>
                  </w:r>
                </w:p>
              </w:tc>
              <w:tc>
                <w:tcPr>
                  <w:tcW w:w="1054" w:type="dxa"/>
                  <w:vMerge w:val="restart"/>
                  <w:tcBorders>
                    <w:tl2br w:val="nil"/>
                    <w:tr2bl w:val="nil"/>
                  </w:tcBorders>
                  <w:vAlign w:val="center"/>
                </w:tcPr>
                <w:p>
                  <w:pPr>
                    <w:keepNext/>
                    <w:jc w:val="center"/>
                    <w:rPr>
                      <w:szCs w:val="21"/>
                      <w:lang w:bidi="ar"/>
                    </w:rPr>
                  </w:pPr>
                  <w:r>
                    <w:rPr>
                      <w:szCs w:val="21"/>
                      <w:lang w:bidi="ar"/>
                    </w:rPr>
                    <w:t>120</w:t>
                  </w:r>
                </w:p>
              </w:tc>
              <w:tc>
                <w:tcPr>
                  <w:tcW w:w="2266" w:type="dxa"/>
                  <w:tcBorders>
                    <w:tl2br w:val="nil"/>
                    <w:tr2bl w:val="nil"/>
                  </w:tcBorders>
                  <w:vAlign w:val="center"/>
                </w:tcPr>
                <w:p>
                  <w:pPr>
                    <w:keepNext/>
                    <w:jc w:val="center"/>
                    <w:rPr>
                      <w:szCs w:val="21"/>
                      <w:lang w:bidi="ar"/>
                    </w:rPr>
                  </w:pPr>
                  <w:r>
                    <w:rPr>
                      <w:szCs w:val="21"/>
                      <w:lang w:bidi="ar"/>
                    </w:rPr>
                    <w:t>M503集气站：15～20</w:t>
                  </w:r>
                </w:p>
              </w:tc>
              <w:tc>
                <w:tcPr>
                  <w:tcW w:w="1159" w:type="dxa"/>
                  <w:vMerge w:val="restart"/>
                  <w:tcBorders>
                    <w:tl2br w:val="nil"/>
                    <w:tr2bl w:val="nil"/>
                  </w:tcBorders>
                  <w:vAlign w:val="center"/>
                </w:tcPr>
                <w:p>
                  <w:pPr>
                    <w:keepNext/>
                    <w:jc w:val="center"/>
                    <w:rPr>
                      <w:szCs w:val="21"/>
                      <w:lang w:bidi="ar"/>
                    </w:rPr>
                  </w:pPr>
                  <w:r>
                    <w:rPr>
                      <w:szCs w:val="21"/>
                      <w:lang w:bidi="ar"/>
                    </w:rPr>
                    <w:t>0</w:t>
                  </w:r>
                </w:p>
              </w:tc>
              <w:tc>
                <w:tcPr>
                  <w:tcW w:w="969" w:type="dxa"/>
                  <w:vMerge w:val="restart"/>
                  <w:tcBorders>
                    <w:tl2br w:val="nil"/>
                    <w:tr2bl w:val="nil"/>
                  </w:tcBorders>
                  <w:vAlign w:val="center"/>
                </w:tcPr>
                <w:p>
                  <w:pPr>
                    <w:keepNext/>
                    <w:jc w:val="center"/>
                    <w:rPr>
                      <w:szCs w:val="21"/>
                      <w:lang w:bidi="ar"/>
                    </w:rPr>
                  </w:pPr>
                  <w:r>
                    <w:rPr>
                      <w:szCs w:val="21"/>
                      <w:lang w:bidi="ar"/>
                    </w:rPr>
                    <w:t>30～50</w:t>
                  </w:r>
                </w:p>
              </w:tc>
              <w:tc>
                <w:tcPr>
                  <w:tcW w:w="1118" w:type="dxa"/>
                  <w:vMerge w:val="restart"/>
                  <w:tcBorders>
                    <w:tl2br w:val="nil"/>
                    <w:tr2bl w:val="nil"/>
                  </w:tcBorders>
                  <w:vAlign w:val="center"/>
                </w:tcPr>
                <w:p>
                  <w:pPr>
                    <w:keepNext/>
                    <w:jc w:val="center"/>
                    <w:rPr>
                      <w:szCs w:val="21"/>
                      <w:lang w:bidi="ar"/>
                    </w:rPr>
                  </w:pPr>
                  <w:r>
                    <w:rPr>
                      <w:rFonts w:hint="eastAsia"/>
                      <w:szCs w:val="21"/>
                      <w:lang w:bidi="ar"/>
                    </w:rPr>
                    <w:t>本项目需处理废水总量约为4500</w:t>
                  </w:r>
                  <w:r>
                    <w:rPr>
                      <w:szCs w:val="21"/>
                      <w:lang w:bidi="ar"/>
                    </w:rPr>
                    <w:t>m</w:t>
                  </w:r>
                  <w:r>
                    <w:rPr>
                      <w:szCs w:val="21"/>
                      <w:vertAlign w:val="superscript"/>
                      <w:lang w:bidi="ar"/>
                    </w:rPr>
                    <w:t>3</w:t>
                  </w:r>
                  <w:r>
                    <w:rPr>
                      <w:szCs w:val="21"/>
                      <w:lang w:bidi="ar"/>
                    </w:rPr>
                    <w:t>，按处理量</w:t>
                  </w:r>
                  <w:r>
                    <w:rPr>
                      <w:rFonts w:hint="eastAsia"/>
                      <w:szCs w:val="21"/>
                      <w:lang w:bidi="ar"/>
                    </w:rPr>
                    <w:t>100</w:t>
                  </w:r>
                  <w:r>
                    <w:rPr>
                      <w:szCs w:val="21"/>
                      <w:lang w:bidi="ar"/>
                    </w:rPr>
                    <w:t>m</w:t>
                  </w:r>
                  <w:r>
                    <w:rPr>
                      <w:szCs w:val="21"/>
                      <w:vertAlign w:val="superscript"/>
                      <w:lang w:bidi="ar"/>
                    </w:rPr>
                    <w:t>3</w:t>
                  </w:r>
                  <w:r>
                    <w:rPr>
                      <w:szCs w:val="21"/>
                      <w:lang w:bidi="ar"/>
                    </w:rPr>
                    <w:t>/d，可</w:t>
                  </w:r>
                  <w:r>
                    <w:rPr>
                      <w:rFonts w:hint="eastAsia"/>
                      <w:szCs w:val="21"/>
                      <w:lang w:bidi="ar"/>
                    </w:rPr>
                    <w:t>45</w:t>
                  </w:r>
                  <w:r>
                    <w:rPr>
                      <w:szCs w:val="21"/>
                      <w:lang w:bidi="ar"/>
                    </w:rPr>
                    <w:t>d处理完成。</w:t>
                  </w:r>
                </w:p>
              </w:tc>
              <w:tc>
                <w:tcPr>
                  <w:tcW w:w="812" w:type="dxa"/>
                  <w:vMerge w:val="restart"/>
                  <w:tcBorders>
                    <w:tl2br w:val="nil"/>
                    <w:tr2bl w:val="nil"/>
                  </w:tcBorders>
                  <w:vAlign w:val="center"/>
                </w:tcPr>
                <w:p>
                  <w:pPr>
                    <w:keepNext/>
                    <w:jc w:val="center"/>
                    <w:rPr>
                      <w:szCs w:val="21"/>
                      <w:lang w:bidi="ar"/>
                    </w:rPr>
                  </w:pPr>
                  <w:r>
                    <w:rPr>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M502集气站：5</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M501集气站：5～10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D405集气站：20～25</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D404集气站：20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D403集气站：5～10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合计：70～90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keepNext/>
                    <w:jc w:val="center"/>
                    <w:rPr>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32" w:type="dxa"/>
                  <w:vMerge w:val="restart"/>
                  <w:tcBorders>
                    <w:tl2br w:val="nil"/>
                    <w:tr2bl w:val="nil"/>
                  </w:tcBorders>
                  <w:vAlign w:val="center"/>
                </w:tcPr>
                <w:p>
                  <w:pPr>
                    <w:keepNext/>
                    <w:jc w:val="center"/>
                    <w:rPr>
                      <w:szCs w:val="21"/>
                      <w:lang w:bidi="ar"/>
                    </w:rPr>
                  </w:pPr>
                  <w:r>
                    <w:rPr>
                      <w:szCs w:val="21"/>
                      <w:lang w:bidi="ar"/>
                    </w:rPr>
                    <w:t>毛开1井回注站</w:t>
                  </w:r>
                </w:p>
              </w:tc>
              <w:tc>
                <w:tcPr>
                  <w:tcW w:w="1054" w:type="dxa"/>
                  <w:vMerge w:val="restart"/>
                  <w:tcBorders>
                    <w:tl2br w:val="nil"/>
                    <w:tr2bl w:val="nil"/>
                  </w:tcBorders>
                  <w:vAlign w:val="center"/>
                </w:tcPr>
                <w:p>
                  <w:pPr>
                    <w:keepNext/>
                    <w:jc w:val="center"/>
                    <w:rPr>
                      <w:szCs w:val="21"/>
                      <w:lang w:bidi="ar"/>
                    </w:rPr>
                  </w:pPr>
                  <w:r>
                    <w:rPr>
                      <w:szCs w:val="21"/>
                      <w:lang w:bidi="ar"/>
                    </w:rPr>
                    <w:t>120</w:t>
                  </w:r>
                </w:p>
              </w:tc>
              <w:tc>
                <w:tcPr>
                  <w:tcW w:w="2266" w:type="dxa"/>
                  <w:tcBorders>
                    <w:tl2br w:val="nil"/>
                    <w:tr2bl w:val="nil"/>
                  </w:tcBorders>
                  <w:vAlign w:val="center"/>
                </w:tcPr>
                <w:p>
                  <w:pPr>
                    <w:keepNext/>
                    <w:jc w:val="center"/>
                    <w:rPr>
                      <w:szCs w:val="21"/>
                      <w:lang w:bidi="ar"/>
                    </w:rPr>
                  </w:pPr>
                  <w:r>
                    <w:rPr>
                      <w:szCs w:val="21"/>
                      <w:lang w:bidi="ar"/>
                    </w:rPr>
                    <w:t>M503集气站：15～20</w:t>
                  </w:r>
                </w:p>
              </w:tc>
              <w:tc>
                <w:tcPr>
                  <w:tcW w:w="1159" w:type="dxa"/>
                  <w:vMerge w:val="restart"/>
                  <w:tcBorders>
                    <w:tl2br w:val="nil"/>
                    <w:tr2bl w:val="nil"/>
                  </w:tcBorders>
                  <w:vAlign w:val="center"/>
                </w:tcPr>
                <w:p>
                  <w:pPr>
                    <w:keepNext/>
                    <w:jc w:val="center"/>
                    <w:rPr>
                      <w:szCs w:val="21"/>
                      <w:lang w:bidi="ar"/>
                    </w:rPr>
                  </w:pPr>
                  <w:r>
                    <w:rPr>
                      <w:szCs w:val="21"/>
                      <w:lang w:bidi="ar"/>
                    </w:rPr>
                    <w:t>0</w:t>
                  </w:r>
                </w:p>
              </w:tc>
              <w:tc>
                <w:tcPr>
                  <w:tcW w:w="969" w:type="dxa"/>
                  <w:vMerge w:val="restart"/>
                  <w:tcBorders>
                    <w:tl2br w:val="nil"/>
                    <w:tr2bl w:val="nil"/>
                  </w:tcBorders>
                  <w:vAlign w:val="center"/>
                </w:tcPr>
                <w:p>
                  <w:pPr>
                    <w:keepNext/>
                    <w:jc w:val="center"/>
                    <w:rPr>
                      <w:szCs w:val="21"/>
                      <w:lang w:bidi="ar"/>
                    </w:rPr>
                  </w:pPr>
                  <w:r>
                    <w:rPr>
                      <w:szCs w:val="21"/>
                      <w:lang w:bidi="ar"/>
                    </w:rPr>
                    <w:t>30～50</w:t>
                  </w:r>
                </w:p>
              </w:tc>
              <w:tc>
                <w:tcPr>
                  <w:tcW w:w="1118" w:type="dxa"/>
                  <w:vMerge w:val="restart"/>
                  <w:tcBorders>
                    <w:tl2br w:val="nil"/>
                    <w:tr2bl w:val="nil"/>
                  </w:tcBorders>
                  <w:vAlign w:val="center"/>
                </w:tcPr>
                <w:p>
                  <w:pPr>
                    <w:keepNext/>
                    <w:jc w:val="center"/>
                    <w:rPr>
                      <w:szCs w:val="21"/>
                      <w:lang w:bidi="ar"/>
                    </w:rPr>
                  </w:pPr>
                  <w:bookmarkStart w:id="52" w:name="_Hlk109861576"/>
                  <w:r>
                    <w:rPr>
                      <w:szCs w:val="21"/>
                      <w:lang w:bidi="ar"/>
                    </w:rPr>
                    <w:t>本项目需处理废水总量约为4500m</w:t>
                  </w:r>
                  <w:r>
                    <w:rPr>
                      <w:szCs w:val="21"/>
                      <w:vertAlign w:val="superscript"/>
                      <w:lang w:bidi="ar"/>
                    </w:rPr>
                    <w:t>3</w:t>
                  </w:r>
                  <w:r>
                    <w:rPr>
                      <w:szCs w:val="21"/>
                      <w:lang w:bidi="ar"/>
                    </w:rPr>
                    <w:t>，按回注量10</w:t>
                  </w:r>
                  <w:r>
                    <w:rPr>
                      <w:rFonts w:hint="eastAsia"/>
                      <w:szCs w:val="21"/>
                      <w:lang w:bidi="ar"/>
                    </w:rPr>
                    <w:t>0</w:t>
                  </w:r>
                  <w:r>
                    <w:rPr>
                      <w:szCs w:val="21"/>
                      <w:lang w:bidi="ar"/>
                    </w:rPr>
                    <w:t>m</w:t>
                  </w:r>
                  <w:r>
                    <w:rPr>
                      <w:szCs w:val="21"/>
                      <w:vertAlign w:val="superscript"/>
                      <w:lang w:bidi="ar"/>
                    </w:rPr>
                    <w:t>3</w:t>
                  </w:r>
                  <w:r>
                    <w:rPr>
                      <w:szCs w:val="21"/>
                      <w:lang w:bidi="ar"/>
                    </w:rPr>
                    <w:t>/d，可</w:t>
                  </w:r>
                  <w:r>
                    <w:rPr>
                      <w:rFonts w:hint="eastAsia"/>
                      <w:szCs w:val="21"/>
                      <w:lang w:bidi="ar"/>
                    </w:rPr>
                    <w:t>45</w:t>
                  </w:r>
                  <w:r>
                    <w:rPr>
                      <w:szCs w:val="21"/>
                      <w:lang w:bidi="ar"/>
                    </w:rPr>
                    <w:t>d回注完成。</w:t>
                  </w:r>
                  <w:bookmarkEnd w:id="52"/>
                </w:p>
              </w:tc>
              <w:tc>
                <w:tcPr>
                  <w:tcW w:w="812" w:type="dxa"/>
                  <w:vMerge w:val="restart"/>
                  <w:tcBorders>
                    <w:tl2br w:val="nil"/>
                    <w:tr2bl w:val="nil"/>
                  </w:tcBorders>
                  <w:vAlign w:val="center"/>
                </w:tcPr>
                <w:p>
                  <w:pPr>
                    <w:keepNext/>
                    <w:jc w:val="center"/>
                    <w:rPr>
                      <w:szCs w:val="21"/>
                      <w:lang w:bidi="ar"/>
                    </w:rPr>
                  </w:pPr>
                  <w:r>
                    <w:rPr>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M502集气站：5</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M501集气站：5～10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D405集气站：20～25</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jc w:val="center"/>
                    <w:rPr>
                      <w:szCs w:val="21"/>
                      <w:lang w:bidi="ar"/>
                    </w:rPr>
                  </w:pPr>
                </w:p>
              </w:tc>
              <w:tc>
                <w:tcPr>
                  <w:tcW w:w="1054" w:type="dxa"/>
                  <w:vMerge w:val="continue"/>
                  <w:tcBorders>
                    <w:tl2br w:val="nil"/>
                    <w:tr2bl w:val="nil"/>
                  </w:tcBorders>
                  <w:vAlign w:val="center"/>
                </w:tcPr>
                <w:p>
                  <w:pPr>
                    <w:keepNext/>
                    <w:jc w:val="center"/>
                    <w:rPr>
                      <w:szCs w:val="21"/>
                      <w:lang w:bidi="ar"/>
                    </w:rPr>
                  </w:pPr>
                </w:p>
              </w:tc>
              <w:tc>
                <w:tcPr>
                  <w:tcW w:w="2266" w:type="dxa"/>
                  <w:tcBorders>
                    <w:tl2br w:val="nil"/>
                    <w:tr2bl w:val="nil"/>
                  </w:tcBorders>
                  <w:vAlign w:val="center"/>
                </w:tcPr>
                <w:p>
                  <w:pPr>
                    <w:keepNext/>
                    <w:jc w:val="center"/>
                    <w:rPr>
                      <w:szCs w:val="21"/>
                      <w:lang w:bidi="ar"/>
                    </w:rPr>
                  </w:pPr>
                  <w:r>
                    <w:rPr>
                      <w:szCs w:val="21"/>
                      <w:lang w:bidi="ar"/>
                    </w:rPr>
                    <w:t>D404集气站：20</w:t>
                  </w:r>
                </w:p>
              </w:tc>
              <w:tc>
                <w:tcPr>
                  <w:tcW w:w="1159" w:type="dxa"/>
                  <w:vMerge w:val="continue"/>
                  <w:tcBorders>
                    <w:tl2br w:val="nil"/>
                    <w:tr2bl w:val="nil"/>
                  </w:tcBorders>
                  <w:vAlign w:val="center"/>
                </w:tcPr>
                <w:p>
                  <w:pPr>
                    <w:keepNext/>
                    <w:jc w:val="center"/>
                    <w:rPr>
                      <w:szCs w:val="21"/>
                      <w:lang w:bidi="ar"/>
                    </w:rPr>
                  </w:pPr>
                </w:p>
              </w:tc>
              <w:tc>
                <w:tcPr>
                  <w:tcW w:w="969" w:type="dxa"/>
                  <w:vMerge w:val="continue"/>
                  <w:tcBorders>
                    <w:tl2br w:val="nil"/>
                    <w:tr2bl w:val="nil"/>
                  </w:tcBorders>
                  <w:vAlign w:val="center"/>
                </w:tcPr>
                <w:p>
                  <w:pPr>
                    <w:keepNext/>
                    <w:jc w:val="center"/>
                    <w:rPr>
                      <w:szCs w:val="21"/>
                      <w:lang w:bidi="ar"/>
                    </w:rPr>
                  </w:pPr>
                </w:p>
              </w:tc>
              <w:tc>
                <w:tcPr>
                  <w:tcW w:w="1118" w:type="dxa"/>
                  <w:vMerge w:val="continue"/>
                  <w:tcBorders>
                    <w:tl2br w:val="nil"/>
                    <w:tr2bl w:val="nil"/>
                  </w:tcBorders>
                  <w:vAlign w:val="center"/>
                </w:tcPr>
                <w:p>
                  <w:pPr>
                    <w:keepNext/>
                    <w:jc w:val="center"/>
                    <w:rPr>
                      <w:szCs w:val="21"/>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1054"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2266" w:type="dxa"/>
                  <w:tcBorders>
                    <w:tl2br w:val="nil"/>
                    <w:tr2bl w:val="nil"/>
                  </w:tcBorders>
                  <w:vAlign w:val="center"/>
                </w:tcPr>
                <w:p>
                  <w:pPr>
                    <w:keepNext/>
                    <w:jc w:val="center"/>
                    <w:rPr>
                      <w:szCs w:val="21"/>
                      <w:lang w:bidi="ar"/>
                    </w:rPr>
                  </w:pPr>
                  <w:r>
                    <w:rPr>
                      <w:szCs w:val="21"/>
                      <w:lang w:bidi="ar"/>
                    </w:rPr>
                    <w:t>D403集气站：5～10</w:t>
                  </w:r>
                </w:p>
              </w:tc>
              <w:tc>
                <w:tcPr>
                  <w:tcW w:w="1159"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969"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1118"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1054"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2266" w:type="dxa"/>
                  <w:tcBorders>
                    <w:tl2br w:val="nil"/>
                    <w:tr2bl w:val="nil"/>
                  </w:tcBorders>
                  <w:vAlign w:val="center"/>
                </w:tcPr>
                <w:p>
                  <w:pPr>
                    <w:keepNext/>
                    <w:jc w:val="center"/>
                    <w:rPr>
                      <w:szCs w:val="21"/>
                      <w:lang w:bidi="ar"/>
                    </w:rPr>
                  </w:pPr>
                  <w:r>
                    <w:rPr>
                      <w:szCs w:val="21"/>
                      <w:lang w:bidi="ar"/>
                    </w:rPr>
                    <w:t>合计：</w:t>
                  </w:r>
                  <w:bookmarkStart w:id="53" w:name="OLE_LINK88"/>
                  <w:bookmarkStart w:id="54" w:name="OLE_LINK97"/>
                  <w:r>
                    <w:rPr>
                      <w:szCs w:val="21"/>
                      <w:lang w:bidi="ar"/>
                    </w:rPr>
                    <w:t>70</w:t>
                  </w:r>
                  <w:bookmarkEnd w:id="53"/>
                  <w:bookmarkEnd w:id="54"/>
                  <w:r>
                    <w:rPr>
                      <w:szCs w:val="21"/>
                      <w:lang w:bidi="ar"/>
                    </w:rPr>
                    <w:t>～90</w:t>
                  </w:r>
                </w:p>
              </w:tc>
              <w:tc>
                <w:tcPr>
                  <w:tcW w:w="1159"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969"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1118"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c>
                <w:tcPr>
                  <w:tcW w:w="812" w:type="dxa"/>
                  <w:vMerge w:val="continue"/>
                  <w:tcBorders>
                    <w:tl2br w:val="nil"/>
                    <w:tr2bl w:val="nil"/>
                  </w:tcBorders>
                  <w:vAlign w:val="center"/>
                </w:tcPr>
                <w:p>
                  <w:pPr>
                    <w:pStyle w:val="38"/>
                    <w:keepNext/>
                    <w:tabs>
                      <w:tab w:val="left" w:pos="377"/>
                    </w:tabs>
                    <w:spacing w:before="0" w:beforeAutospacing="0" w:after="0" w:afterAutospacing="0" w:line="360" w:lineRule="auto"/>
                    <w:ind w:firstLine="480" w:firstLineChars="200"/>
                    <w:jc w:val="both"/>
                    <w:rPr>
                      <w:rFonts w:ascii="Times New Roman" w:hAnsi="Times New Roman"/>
                      <w:lang w:bidi="ar"/>
                    </w:rPr>
                  </w:pPr>
                </w:p>
              </w:tc>
            </w:tr>
          </w:tbl>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lang w:bidi="ar"/>
              </w:rPr>
              <w:t>综上所述，本项目压裂返排液</w:t>
            </w:r>
            <w:r>
              <w:rPr>
                <w:rFonts w:ascii="Times New Roman" w:hAnsi="Times New Roman"/>
                <w:lang w:bidi="ar"/>
              </w:rPr>
              <w:t>通过密闭罐车拉运至大湾403污水站处理达到《气田水回注方法》（SY/T 6596-2016）中注入水基本要求后管输至毛开1井回注站回注处理，不外排，得到妥善处置，未发生环境污染事故。</w:t>
            </w:r>
            <w:r>
              <w:rPr>
                <w:rFonts w:ascii="Times New Roman" w:hAnsi="Times New Roman"/>
              </w:rPr>
              <w:t>项目废水依托大湾403污水站、毛开1井污水回注站进行处理，在处理能力及工艺技术上均依托可行。</w:t>
            </w:r>
          </w:p>
          <w:p>
            <w:pPr>
              <w:keepNext/>
              <w:spacing w:line="360" w:lineRule="auto"/>
              <w:ind w:firstLine="482" w:firstLineChars="200"/>
              <w:rPr>
                <w:b/>
                <w:sz w:val="24"/>
              </w:rPr>
            </w:pPr>
            <w:r>
              <w:rPr>
                <w:b/>
                <w:sz w:val="24"/>
                <w:lang w:bidi="ar"/>
              </w:rPr>
              <w:t>（3）废水收集、储存管理及可行性分析</w:t>
            </w:r>
          </w:p>
          <w:p>
            <w:pPr>
              <w:pStyle w:val="38"/>
              <w:keepNext/>
              <w:widowControl w:val="0"/>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ascii="Times New Roman" w:hAnsi="Times New Roman"/>
                <w:kern w:val="2"/>
                <w:lang w:bidi="ar"/>
              </w:rPr>
              <w:t>1）钻井作业废水产生及收集情况见下表。</w:t>
            </w:r>
          </w:p>
          <w:p>
            <w:pPr>
              <w:pStyle w:val="38"/>
              <w:widowControl w:val="0"/>
              <w:spacing w:before="0" w:beforeAutospacing="0" w:after="0" w:afterAutospacing="0"/>
              <w:ind w:firstLine="482" w:firstLineChars="200"/>
              <w:jc w:val="center"/>
              <w:rPr>
                <w:rFonts w:ascii="Times New Roman" w:hAnsi="Times New Roman"/>
                <w:sz w:val="21"/>
                <w:szCs w:val="21"/>
              </w:rPr>
            </w:pPr>
            <w:r>
              <w:rPr>
                <w:rFonts w:ascii="Times New Roman" w:hAnsi="Times New Roman"/>
                <w:b/>
                <w:lang w:bidi="ar"/>
              </w:rPr>
              <w:t>表5-</w:t>
            </w:r>
            <w:r>
              <w:rPr>
                <w:rFonts w:hint="eastAsia" w:ascii="Times New Roman" w:hAnsi="Times New Roman"/>
                <w:b/>
                <w:lang w:val="en-US" w:eastAsia="zh-CN" w:bidi="ar"/>
              </w:rPr>
              <w:t>2</w:t>
            </w:r>
            <w:r>
              <w:rPr>
                <w:rFonts w:ascii="Times New Roman" w:hAnsi="Times New Roman"/>
                <w:b/>
                <w:lang w:bidi="ar"/>
              </w:rPr>
              <w:t xml:space="preserve">    废水产生及收集情况表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00"/>
              <w:gridCol w:w="1699"/>
              <w:gridCol w:w="1604"/>
              <w:gridCol w:w="1604"/>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2809" w:type="dxa"/>
                  <w:tcBorders>
                    <w:tl2br w:val="nil"/>
                    <w:tr2bl w:val="nil"/>
                  </w:tcBorders>
                  <w:vAlign w:val="center"/>
                </w:tcPr>
                <w:p>
                  <w:pPr>
                    <w:keepNext/>
                    <w:jc w:val="center"/>
                    <w:rPr>
                      <w:b/>
                      <w:kern w:val="0"/>
                      <w:szCs w:val="21"/>
                    </w:rPr>
                  </w:pPr>
                  <w:r>
                    <w:rPr>
                      <w:rFonts w:hint="eastAsia"/>
                      <w:b/>
                      <w:kern w:val="0"/>
                      <w:szCs w:val="21"/>
                    </w:rPr>
                    <w:t>井号</w:t>
                  </w:r>
                </w:p>
              </w:tc>
              <w:tc>
                <w:tcPr>
                  <w:tcW w:w="2806" w:type="dxa"/>
                  <w:tcBorders>
                    <w:tl2br w:val="nil"/>
                    <w:tr2bl w:val="nil"/>
                  </w:tcBorders>
                  <w:vAlign w:val="center"/>
                </w:tcPr>
                <w:p>
                  <w:pPr>
                    <w:keepNext/>
                    <w:jc w:val="center"/>
                    <w:rPr>
                      <w:b/>
                      <w:szCs w:val="21"/>
                    </w:rPr>
                  </w:pPr>
                  <w:r>
                    <w:rPr>
                      <w:b/>
                      <w:szCs w:val="21"/>
                      <w:lang w:bidi="ar"/>
                    </w:rPr>
                    <w:t>钻井作业废水</w:t>
                  </w:r>
                </w:p>
              </w:tc>
              <w:tc>
                <w:tcPr>
                  <w:tcW w:w="2643" w:type="dxa"/>
                  <w:tcBorders>
                    <w:tl2br w:val="nil"/>
                    <w:tr2bl w:val="nil"/>
                  </w:tcBorders>
                  <w:vAlign w:val="center"/>
                </w:tcPr>
                <w:p>
                  <w:pPr>
                    <w:keepNext/>
                    <w:jc w:val="center"/>
                    <w:rPr>
                      <w:b/>
                      <w:szCs w:val="21"/>
                      <w:lang w:bidi="ar"/>
                    </w:rPr>
                  </w:pPr>
                  <w:r>
                    <w:rPr>
                      <w:rFonts w:hint="eastAsia"/>
                      <w:b/>
                      <w:szCs w:val="21"/>
                      <w:lang w:bidi="ar"/>
                    </w:rPr>
                    <w:t>洗井废水</w:t>
                  </w:r>
                </w:p>
              </w:tc>
              <w:tc>
                <w:tcPr>
                  <w:tcW w:w="2643" w:type="dxa"/>
                  <w:tcBorders>
                    <w:tl2br w:val="nil"/>
                    <w:tr2bl w:val="nil"/>
                  </w:tcBorders>
                  <w:vAlign w:val="center"/>
                </w:tcPr>
                <w:p>
                  <w:pPr>
                    <w:keepNext/>
                    <w:jc w:val="center"/>
                    <w:rPr>
                      <w:b/>
                      <w:szCs w:val="21"/>
                      <w:lang w:bidi="ar"/>
                    </w:rPr>
                  </w:pPr>
                  <w:r>
                    <w:rPr>
                      <w:rFonts w:hint="eastAsia"/>
                      <w:b/>
                      <w:szCs w:val="21"/>
                      <w:lang w:bidi="ar"/>
                    </w:rPr>
                    <w:t>压裂返排液</w:t>
                  </w:r>
                </w:p>
              </w:tc>
              <w:tc>
                <w:tcPr>
                  <w:tcW w:w="2643" w:type="dxa"/>
                  <w:tcBorders>
                    <w:tl2br w:val="nil"/>
                    <w:tr2bl w:val="nil"/>
                  </w:tcBorders>
                  <w:vAlign w:val="center"/>
                </w:tcPr>
                <w:p>
                  <w:pPr>
                    <w:keepNext/>
                    <w:jc w:val="center"/>
                    <w:rPr>
                      <w:b/>
                      <w:szCs w:val="21"/>
                    </w:rPr>
                  </w:pPr>
                  <w:r>
                    <w:rPr>
                      <w:b/>
                      <w:szCs w:val="21"/>
                      <w:lang w:bidi="ar"/>
                    </w:rPr>
                    <w:t>池体容积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2809" w:type="dxa"/>
                  <w:tcBorders>
                    <w:tl2br w:val="nil"/>
                    <w:tr2bl w:val="nil"/>
                  </w:tcBorders>
                  <w:vAlign w:val="center"/>
                </w:tcPr>
                <w:p>
                  <w:pPr>
                    <w:widowControl/>
                    <w:jc w:val="center"/>
                    <w:textAlignment w:val="center"/>
                    <w:rPr>
                      <w:szCs w:val="21"/>
                    </w:rPr>
                  </w:pPr>
                  <w:r>
                    <w:rPr>
                      <w:rFonts w:hint="eastAsia" w:ascii="宋体" w:hAnsi="宋体" w:cs="宋体"/>
                      <w:kern w:val="0"/>
                      <w:szCs w:val="21"/>
                      <w:lang w:bidi="ar"/>
                    </w:rPr>
                    <w:t>铁北1侧HF井</w:t>
                  </w:r>
                </w:p>
              </w:tc>
              <w:tc>
                <w:tcPr>
                  <w:tcW w:w="2806" w:type="dxa"/>
                  <w:tcBorders>
                    <w:tl2br w:val="nil"/>
                    <w:tr2bl w:val="nil"/>
                  </w:tcBorders>
                  <w:vAlign w:val="center"/>
                </w:tcPr>
                <w:p>
                  <w:pPr>
                    <w:keepNext/>
                    <w:jc w:val="center"/>
                    <w:rPr>
                      <w:szCs w:val="21"/>
                      <w:lang w:bidi="ar"/>
                    </w:rPr>
                  </w:pPr>
                  <w:r>
                    <w:rPr>
                      <w:rFonts w:hint="eastAsia"/>
                      <w:szCs w:val="21"/>
                      <w:lang w:bidi="ar"/>
                    </w:rPr>
                    <w:t>17.2</w:t>
                  </w:r>
                  <w:r>
                    <w:rPr>
                      <w:szCs w:val="21"/>
                      <w:lang w:bidi="ar"/>
                    </w:rPr>
                    <w:t>m</w:t>
                  </w:r>
                  <w:r>
                    <w:rPr>
                      <w:szCs w:val="21"/>
                      <w:vertAlign w:val="superscript"/>
                      <w:lang w:bidi="ar"/>
                    </w:rPr>
                    <w:t>3</w:t>
                  </w:r>
                </w:p>
              </w:tc>
              <w:tc>
                <w:tcPr>
                  <w:tcW w:w="2643" w:type="dxa"/>
                  <w:tcBorders>
                    <w:tl2br w:val="nil"/>
                    <w:tr2bl w:val="nil"/>
                  </w:tcBorders>
                  <w:vAlign w:val="center"/>
                </w:tcPr>
                <w:p>
                  <w:pPr>
                    <w:keepNext/>
                    <w:jc w:val="center"/>
                    <w:rPr>
                      <w:szCs w:val="21"/>
                      <w:lang w:bidi="ar"/>
                    </w:rPr>
                  </w:pPr>
                  <w:r>
                    <w:rPr>
                      <w:rFonts w:hint="eastAsia"/>
                      <w:szCs w:val="21"/>
                      <w:lang w:bidi="ar"/>
                    </w:rPr>
                    <w:t>100m</w:t>
                  </w:r>
                  <w:r>
                    <w:rPr>
                      <w:rFonts w:hint="eastAsia"/>
                      <w:szCs w:val="21"/>
                      <w:vertAlign w:val="superscript"/>
                      <w:lang w:bidi="ar"/>
                    </w:rPr>
                    <w:t>3</w:t>
                  </w:r>
                </w:p>
              </w:tc>
              <w:tc>
                <w:tcPr>
                  <w:tcW w:w="2643" w:type="dxa"/>
                  <w:tcBorders>
                    <w:tl2br w:val="nil"/>
                    <w:tr2bl w:val="nil"/>
                  </w:tcBorders>
                  <w:vAlign w:val="center"/>
                </w:tcPr>
                <w:p>
                  <w:pPr>
                    <w:keepNext/>
                    <w:jc w:val="center"/>
                    <w:rPr>
                      <w:szCs w:val="21"/>
                      <w:lang w:bidi="ar"/>
                    </w:rPr>
                  </w:pPr>
                  <w:r>
                    <w:rPr>
                      <w:rFonts w:hint="eastAsia"/>
                      <w:szCs w:val="21"/>
                      <w:lang w:bidi="ar"/>
                    </w:rPr>
                    <w:t>4500m</w:t>
                  </w:r>
                  <w:r>
                    <w:rPr>
                      <w:rFonts w:hint="eastAsia"/>
                      <w:szCs w:val="21"/>
                      <w:vertAlign w:val="superscript"/>
                      <w:lang w:bidi="ar"/>
                    </w:rPr>
                    <w:t>3</w:t>
                  </w:r>
                </w:p>
              </w:tc>
              <w:tc>
                <w:tcPr>
                  <w:tcW w:w="2643" w:type="dxa"/>
                  <w:tcBorders>
                    <w:tl2br w:val="nil"/>
                    <w:tr2bl w:val="nil"/>
                  </w:tcBorders>
                  <w:vAlign w:val="center"/>
                </w:tcPr>
                <w:p>
                  <w:pPr>
                    <w:keepNext/>
                    <w:jc w:val="center"/>
                    <w:rPr>
                      <w:szCs w:val="21"/>
                      <w:lang w:bidi="ar"/>
                    </w:rPr>
                  </w:pPr>
                  <w:r>
                    <w:rPr>
                      <w:rFonts w:hint="eastAsia"/>
                      <w:szCs w:val="21"/>
                      <w:lang w:bidi="ar"/>
                    </w:rPr>
                    <w:t>1</w:t>
                  </w:r>
                  <w:r>
                    <w:rPr>
                      <w:rFonts w:hint="eastAsia"/>
                      <w:szCs w:val="21"/>
                      <w:lang w:val="en-US" w:eastAsia="zh-CN" w:bidi="ar"/>
                    </w:rPr>
                    <w:t>5</w:t>
                  </w:r>
                  <w:r>
                    <w:rPr>
                      <w:szCs w:val="21"/>
                      <w:lang w:bidi="ar"/>
                    </w:rPr>
                    <w:t>00m</w:t>
                  </w:r>
                  <w:r>
                    <w:rPr>
                      <w:szCs w:val="21"/>
                      <w:vertAlign w:val="superscript"/>
                      <w:lang w:bidi="ar"/>
                    </w:rPr>
                    <w:t>3</w:t>
                  </w:r>
                </w:p>
              </w:tc>
            </w:tr>
          </w:tbl>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lang w:bidi="ar"/>
              </w:rPr>
              <w:t>通过上表可以看出，本项目钻井</w:t>
            </w:r>
            <w:r>
              <w:rPr>
                <w:rFonts w:hint="eastAsia" w:ascii="Times New Roman" w:hAnsi="Times New Roman"/>
                <w:lang w:bidi="ar"/>
              </w:rPr>
              <w:t>及储层改造</w:t>
            </w:r>
            <w:r>
              <w:rPr>
                <w:rFonts w:ascii="Times New Roman" w:hAnsi="Times New Roman"/>
                <w:lang w:bidi="ar"/>
              </w:rPr>
              <w:t>期间产生</w:t>
            </w:r>
            <w:r>
              <w:rPr>
                <w:rFonts w:hint="eastAsia" w:ascii="Times New Roman" w:hAnsi="Times New Roman"/>
                <w:lang w:bidi="ar"/>
              </w:rPr>
              <w:t>的废水总量</w:t>
            </w:r>
            <w:r>
              <w:rPr>
                <w:rFonts w:ascii="Times New Roman" w:hAnsi="Times New Roman"/>
                <w:lang w:bidi="ar"/>
              </w:rPr>
              <w:t>约</w:t>
            </w:r>
            <w:r>
              <w:rPr>
                <w:rFonts w:hint="eastAsia" w:ascii="Times New Roman" w:hAnsi="Times New Roman"/>
                <w:lang w:bidi="ar"/>
              </w:rPr>
              <w:t>4617.2</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w:t>
            </w:r>
            <w:r>
              <w:rPr>
                <w:rFonts w:hint="eastAsia" w:ascii="Times New Roman" w:hAnsi="Times New Roman"/>
                <w:lang w:bidi="ar"/>
              </w:rPr>
              <w:t>压裂返排液返排时间约为20~25天，每天产生返排液约为225m</w:t>
            </w:r>
            <w:r>
              <w:rPr>
                <w:rFonts w:hint="eastAsia" w:ascii="Times New Roman" w:hAnsi="Times New Roman"/>
                <w:vertAlign w:val="superscript"/>
                <w:lang w:bidi="ar"/>
              </w:rPr>
              <w:t>3</w:t>
            </w:r>
            <w:r>
              <w:rPr>
                <w:rFonts w:hint="eastAsia" w:ascii="Times New Roman" w:hAnsi="Times New Roman"/>
                <w:lang w:bidi="ar"/>
              </w:rPr>
              <w:t>，</w:t>
            </w:r>
            <w:r>
              <w:rPr>
                <w:rFonts w:ascii="Times New Roman" w:hAnsi="Times New Roman"/>
                <w:lang w:bidi="ar"/>
              </w:rPr>
              <w:t>因此井场的收集设施完全能够满足本项目钻井作业时收纳废水的要求</w:t>
            </w:r>
            <w:r>
              <w:rPr>
                <w:rFonts w:ascii="Times New Roman" w:hAnsi="Times New Roman"/>
                <w:kern w:val="2"/>
                <w:lang w:bidi="ar"/>
              </w:rPr>
              <w:t>。</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2）压裂废水收集、储存管理措施</w:t>
            </w:r>
          </w:p>
          <w:p>
            <w:pPr>
              <w:pStyle w:val="38"/>
              <w:keepNext/>
              <w:tabs>
                <w:tab w:val="left" w:pos="420"/>
              </w:tabs>
              <w:spacing w:before="0" w:beforeAutospacing="0" w:after="0" w:afterAutospacing="0" w:line="360" w:lineRule="auto"/>
              <w:ind w:firstLine="480" w:firstLineChars="200"/>
              <w:jc w:val="both"/>
              <w:rPr>
                <w:rFonts w:ascii="Times New Roman" w:hAnsi="Times New Roman"/>
                <w:b/>
              </w:rPr>
            </w:pPr>
            <w:r>
              <w:rPr>
                <w:rFonts w:ascii="Times New Roman" w:hAnsi="Times New Roman"/>
                <w:kern w:val="2"/>
                <w:lang w:bidi="ar"/>
              </w:rPr>
              <w:t>本项目井场</w:t>
            </w:r>
            <w:r>
              <w:rPr>
                <w:rFonts w:hint="eastAsia" w:ascii="Times New Roman" w:hAnsi="Times New Roman"/>
                <w:kern w:val="2"/>
                <w:lang w:bidi="ar"/>
              </w:rPr>
              <w:t>已</w:t>
            </w:r>
            <w:r>
              <w:rPr>
                <w:rFonts w:ascii="Times New Roman" w:hAnsi="Times New Roman"/>
                <w:kern w:val="2"/>
                <w:lang w:bidi="ar"/>
              </w:rPr>
              <w:t>修建有1</w:t>
            </w:r>
            <w:r>
              <w:rPr>
                <w:rFonts w:hint="eastAsia" w:ascii="Times New Roman" w:hAnsi="Times New Roman"/>
                <w:kern w:val="2"/>
                <w:lang w:bidi="ar"/>
              </w:rPr>
              <w:t>座1</w:t>
            </w:r>
            <w:r>
              <w:rPr>
                <w:rFonts w:hint="eastAsia" w:ascii="Times New Roman" w:hAnsi="Times New Roman"/>
                <w:kern w:val="2"/>
                <w:lang w:val="en-US" w:eastAsia="zh-CN" w:bidi="ar"/>
              </w:rPr>
              <w:t>5</w:t>
            </w:r>
            <w:r>
              <w:rPr>
                <w:rFonts w:ascii="Times New Roman" w:hAnsi="Times New Roman"/>
                <w:kern w:val="2"/>
                <w:lang w:bidi="ar"/>
              </w:rPr>
              <w:t>00m</w:t>
            </w:r>
            <w:r>
              <w:rPr>
                <w:rFonts w:ascii="Times New Roman" w:hAnsi="Times New Roman"/>
                <w:kern w:val="2"/>
                <w:vertAlign w:val="superscript"/>
                <w:lang w:bidi="ar"/>
              </w:rPr>
              <w:t>3</w:t>
            </w:r>
            <w:r>
              <w:rPr>
                <w:rFonts w:ascii="Times New Roman" w:hAnsi="Times New Roman"/>
                <w:kern w:val="2"/>
                <w:lang w:bidi="ar"/>
              </w:rPr>
              <w:t>的</w:t>
            </w:r>
            <w:r>
              <w:rPr>
                <w:rFonts w:hint="eastAsia" w:ascii="Times New Roman" w:hAnsi="Times New Roman"/>
                <w:kern w:val="2"/>
                <w:lang w:bidi="ar"/>
              </w:rPr>
              <w:t>废水池</w:t>
            </w:r>
            <w:r>
              <w:rPr>
                <w:rFonts w:ascii="Times New Roman" w:hAnsi="Times New Roman"/>
                <w:bCs/>
                <w:lang w:bidi="ar"/>
              </w:rPr>
              <w:t>用于暂存压裂返排液，</w:t>
            </w:r>
            <w:r>
              <w:rPr>
                <w:rFonts w:ascii="Times New Roman" w:hAnsi="Times New Roman"/>
                <w:bCs/>
                <w:kern w:val="2"/>
                <w:lang w:bidi="ar"/>
              </w:rPr>
              <w:t>返排周期约20~25天，</w:t>
            </w:r>
            <w:r>
              <w:rPr>
                <w:rFonts w:ascii="Times New Roman" w:hAnsi="Times New Roman"/>
                <w:kern w:val="2"/>
                <w:lang w:bidi="ar"/>
              </w:rPr>
              <w:t>另外井场还设置</w:t>
            </w:r>
            <w:r>
              <w:rPr>
                <w:rFonts w:ascii="Times New Roman" w:hAnsi="Times New Roman"/>
                <w:bCs/>
                <w:lang w:bidi="ar"/>
              </w:rPr>
              <w:t>有20个容积120m</w:t>
            </w:r>
            <w:r>
              <w:rPr>
                <w:rFonts w:ascii="Times New Roman" w:hAnsi="Times New Roman"/>
                <w:bCs/>
                <w:vertAlign w:val="superscript"/>
                <w:lang w:bidi="ar"/>
              </w:rPr>
              <w:t>3</w:t>
            </w:r>
            <w:r>
              <w:rPr>
                <w:rFonts w:ascii="Times New Roman" w:hAnsi="Times New Roman"/>
                <w:bCs/>
                <w:lang w:bidi="ar"/>
              </w:rPr>
              <w:t>/个的压裂重叠管用于配制压裂液</w:t>
            </w:r>
            <w:r>
              <w:rPr>
                <w:rFonts w:ascii="Times New Roman" w:hAnsi="Times New Roman"/>
                <w:kern w:val="2"/>
                <w:lang w:bidi="ar"/>
              </w:rPr>
              <w:t>，</w:t>
            </w:r>
            <w:r>
              <w:rPr>
                <w:rFonts w:ascii="Times New Roman" w:hAnsi="Times New Roman"/>
                <w:bCs/>
                <w:lang w:bidi="ar"/>
              </w:rPr>
              <w:t>在利用罐车灵活转运、合理安排压裂作业时间、</w:t>
            </w:r>
            <w:r>
              <w:rPr>
                <w:rFonts w:ascii="Times New Roman" w:hAnsi="Times New Roman"/>
                <w:lang w:bidi="ar"/>
              </w:rPr>
              <w:t>控制返排量等措施后，压裂废水能够得到有效收集、储存</w:t>
            </w:r>
            <w:r>
              <w:rPr>
                <w:rFonts w:ascii="Times New Roman" w:hAnsi="Times New Roman"/>
                <w:bCs/>
                <w:lang w:bidi="ar"/>
              </w:rPr>
              <w:t>。本次评价建议施工单位协调好各井场的压裂作业时序，最大限度</w:t>
            </w:r>
            <w:r>
              <w:rPr>
                <w:rFonts w:hint="eastAsia" w:ascii="Times New Roman" w:hAnsi="Times New Roman"/>
                <w:bCs/>
                <w:lang w:eastAsia="zh-CN" w:bidi="ar"/>
              </w:rPr>
              <w:t>地</w:t>
            </w:r>
            <w:r>
              <w:rPr>
                <w:rFonts w:ascii="Times New Roman" w:hAnsi="Times New Roman"/>
                <w:bCs/>
                <w:lang w:bidi="ar"/>
              </w:rPr>
              <w:t>回用井场产生的返排液，节约用水，而对不能回用的返排液（压裂废水）及时外运处理。</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建设单位针对废水储存采取了以下管理措施：</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fldChar w:fldCharType="begin"/>
            </w:r>
            <w:r>
              <w:rPr>
                <w:rFonts w:ascii="Times New Roman" w:hAnsi="Times New Roman"/>
                <w:kern w:val="2"/>
                <w:lang w:bidi="ar"/>
              </w:rPr>
              <w:instrText xml:space="preserve"> = 1 \* GB3 \* MERGEFORMAT </w:instrText>
            </w:r>
            <w:r>
              <w:rPr>
                <w:rFonts w:ascii="Times New Roman" w:hAnsi="Times New Roman"/>
                <w:kern w:val="2"/>
                <w:lang w:bidi="ar"/>
              </w:rPr>
              <w:fldChar w:fldCharType="separate"/>
            </w:r>
            <w:r>
              <w:rPr>
                <w:rFonts w:hint="eastAsia" w:cs="宋体"/>
                <w:kern w:val="2"/>
                <w:lang w:bidi="ar"/>
              </w:rPr>
              <w:t>①</w:t>
            </w:r>
            <w:r>
              <w:rPr>
                <w:rFonts w:ascii="Times New Roman" w:hAnsi="Times New Roman"/>
                <w:kern w:val="2"/>
                <w:lang w:bidi="ar"/>
              </w:rPr>
              <w:fldChar w:fldCharType="end"/>
            </w:r>
            <w:r>
              <w:rPr>
                <w:rFonts w:ascii="Times New Roman" w:hAnsi="Times New Roman"/>
                <w:kern w:val="2"/>
                <w:lang w:bidi="ar"/>
              </w:rPr>
              <w:t>井场应实施清污分流，清污分流管道应完善畅通，并确保废水全部进入水池中。</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fldChar w:fldCharType="begin"/>
            </w:r>
            <w:r>
              <w:rPr>
                <w:rFonts w:ascii="Times New Roman" w:hAnsi="Times New Roman"/>
                <w:kern w:val="2"/>
                <w:lang w:bidi="ar"/>
              </w:rPr>
              <w:instrText xml:space="preserve"> = 2 \* GB3 \* MERGEFORMAT </w:instrText>
            </w:r>
            <w:r>
              <w:rPr>
                <w:rFonts w:ascii="Times New Roman" w:hAnsi="Times New Roman"/>
                <w:kern w:val="2"/>
                <w:lang w:bidi="ar"/>
              </w:rPr>
              <w:fldChar w:fldCharType="separate"/>
            </w:r>
            <w:r>
              <w:rPr>
                <w:rFonts w:hint="eastAsia" w:cs="宋体"/>
                <w:kern w:val="2"/>
                <w:lang w:bidi="ar"/>
              </w:rPr>
              <w:t>②</w:t>
            </w:r>
            <w:r>
              <w:rPr>
                <w:rFonts w:ascii="Times New Roman" w:hAnsi="Times New Roman"/>
                <w:kern w:val="2"/>
                <w:lang w:bidi="ar"/>
              </w:rPr>
              <w:fldChar w:fldCharType="end"/>
            </w:r>
            <w:r>
              <w:rPr>
                <w:rFonts w:ascii="Times New Roman" w:hAnsi="Times New Roman"/>
                <w:kern w:val="2"/>
                <w:lang w:bidi="ar"/>
              </w:rPr>
              <w:t>不得乱排乱放废水。</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fldChar w:fldCharType="begin"/>
            </w:r>
            <w:r>
              <w:rPr>
                <w:rFonts w:ascii="Times New Roman" w:hAnsi="Times New Roman"/>
                <w:kern w:val="2"/>
                <w:lang w:bidi="ar"/>
              </w:rPr>
              <w:instrText xml:space="preserve"> = 3 \* GB3 \* MERGEFORMAT </w:instrText>
            </w:r>
            <w:r>
              <w:rPr>
                <w:rFonts w:ascii="Times New Roman" w:hAnsi="Times New Roman"/>
                <w:kern w:val="2"/>
                <w:lang w:bidi="ar"/>
              </w:rPr>
              <w:fldChar w:fldCharType="separate"/>
            </w:r>
            <w:r>
              <w:rPr>
                <w:rFonts w:hint="eastAsia" w:cs="宋体"/>
                <w:kern w:val="2"/>
                <w:lang w:bidi="ar"/>
              </w:rPr>
              <w:t>③</w:t>
            </w:r>
            <w:r>
              <w:rPr>
                <w:rFonts w:ascii="Times New Roman" w:hAnsi="Times New Roman"/>
                <w:kern w:val="2"/>
                <w:lang w:bidi="ar"/>
              </w:rPr>
              <w:fldChar w:fldCharType="end"/>
            </w:r>
            <w:r>
              <w:rPr>
                <w:rFonts w:ascii="Times New Roman" w:hAnsi="Times New Roman"/>
                <w:kern w:val="2"/>
                <w:lang w:bidi="ar"/>
              </w:rPr>
              <w:t>现场人员应定期对水池、水罐渗漏情况进行巡检，发现异常情况立即汇报和整改，并作好记录。</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fldChar w:fldCharType="begin"/>
            </w:r>
            <w:r>
              <w:rPr>
                <w:rFonts w:ascii="Times New Roman" w:hAnsi="Times New Roman"/>
                <w:kern w:val="2"/>
                <w:lang w:bidi="ar"/>
              </w:rPr>
              <w:instrText xml:space="preserve"> = 4 \* GB3 \* MERGEFORMAT </w:instrText>
            </w:r>
            <w:r>
              <w:rPr>
                <w:rFonts w:ascii="Times New Roman" w:hAnsi="Times New Roman"/>
                <w:kern w:val="2"/>
                <w:lang w:bidi="ar"/>
              </w:rPr>
              <w:fldChar w:fldCharType="separate"/>
            </w:r>
            <w:r>
              <w:rPr>
                <w:rFonts w:hint="eastAsia" w:cs="宋体"/>
                <w:kern w:val="2"/>
                <w:lang w:bidi="ar"/>
              </w:rPr>
              <w:t>④</w:t>
            </w:r>
            <w:r>
              <w:rPr>
                <w:rFonts w:ascii="Times New Roman" w:hAnsi="Times New Roman"/>
                <w:kern w:val="2"/>
                <w:lang w:bidi="ar"/>
              </w:rPr>
              <w:fldChar w:fldCharType="end"/>
            </w:r>
            <w:r>
              <w:rPr>
                <w:rFonts w:ascii="Times New Roman" w:hAnsi="Times New Roman"/>
                <w:kern w:val="2"/>
                <w:lang w:bidi="ar"/>
              </w:rPr>
              <w:t>井场还及时转运废水，以防止暴雨进入水池、水罐引起废水外溢从而导致环境污染。</w:t>
            </w:r>
          </w:p>
          <w:p>
            <w:pPr>
              <w:keepNext/>
              <w:spacing w:line="360" w:lineRule="auto"/>
              <w:ind w:firstLine="480" w:firstLineChars="200"/>
              <w:rPr>
                <w:sz w:val="24"/>
              </w:rPr>
            </w:pPr>
            <w:r>
              <w:rPr>
                <w:sz w:val="24"/>
                <w:lang w:bidi="ar"/>
              </w:rPr>
              <w:t>由此可见，本项目采取的废水收集、储存措施有效可行。</w:t>
            </w:r>
          </w:p>
          <w:p>
            <w:pPr>
              <w:keepNext/>
              <w:spacing w:line="360" w:lineRule="auto"/>
              <w:ind w:firstLine="482" w:firstLineChars="200"/>
              <w:rPr>
                <w:b/>
                <w:sz w:val="24"/>
              </w:rPr>
            </w:pPr>
            <w:r>
              <w:rPr>
                <w:b/>
                <w:sz w:val="24"/>
                <w:lang w:bidi="ar"/>
              </w:rPr>
              <w:t>（4）废水转运措施分析</w:t>
            </w:r>
          </w:p>
          <w:p>
            <w:pPr>
              <w:pStyle w:val="38"/>
              <w:keepNext/>
              <w:widowControl w:val="0"/>
              <w:tabs>
                <w:tab w:val="left" w:pos="377"/>
              </w:tabs>
              <w:spacing w:before="0" w:beforeAutospacing="0" w:after="0" w:afterAutospacing="0" w:line="360" w:lineRule="auto"/>
              <w:ind w:firstLine="480" w:firstLineChars="200"/>
              <w:jc w:val="both"/>
              <w:rPr>
                <w:rFonts w:ascii="Times New Roman" w:hAnsi="Times New Roman"/>
                <w:u w:val="single"/>
              </w:rPr>
            </w:pPr>
            <w:r>
              <w:rPr>
                <w:rFonts w:ascii="Times New Roman" w:hAnsi="Times New Roman"/>
                <w:kern w:val="2"/>
                <w:lang w:bidi="ar"/>
              </w:rPr>
              <w:t>本项目最终产生的废水采用罐车</w:t>
            </w:r>
            <w:r>
              <w:rPr>
                <w:rFonts w:ascii="Times New Roman" w:hAnsi="Times New Roman"/>
                <w:lang w:bidi="ar"/>
              </w:rPr>
              <w:t>拉运</w:t>
            </w:r>
            <w:r>
              <w:rPr>
                <w:rFonts w:ascii="Times New Roman" w:hAnsi="Times New Roman"/>
              </w:rPr>
              <w:t>至废水处理站处理</w:t>
            </w:r>
            <w:r>
              <w:rPr>
                <w:rFonts w:ascii="Times New Roman" w:hAnsi="Times New Roman"/>
                <w:kern w:val="2"/>
                <w:lang w:bidi="ar"/>
              </w:rPr>
              <w:t>，建设单位针对废水转运采取的管理措施为：</w:t>
            </w:r>
          </w:p>
          <w:p>
            <w:pPr>
              <w:keepNext/>
              <w:spacing w:line="360" w:lineRule="auto"/>
              <w:ind w:firstLine="480" w:firstLineChars="200"/>
              <w:rPr>
                <w:sz w:val="24"/>
              </w:rPr>
            </w:pPr>
            <w:r>
              <w:rPr>
                <w:rFonts w:hint="eastAsia" w:ascii="宋体" w:hAnsi="宋体" w:cs="宋体"/>
                <w:sz w:val="24"/>
                <w:lang w:bidi="ar"/>
              </w:rPr>
              <w:t>①</w:t>
            </w:r>
            <w:r>
              <w:rPr>
                <w:sz w:val="24"/>
                <w:lang w:bidi="ar"/>
              </w:rPr>
              <w:t>制定科学合理的车辆运输，根据车辆运输实施相应的管理。</w:t>
            </w:r>
          </w:p>
          <w:p>
            <w:pPr>
              <w:keepNext/>
              <w:spacing w:line="360" w:lineRule="auto"/>
              <w:ind w:firstLine="480" w:firstLineChars="200"/>
              <w:rPr>
                <w:sz w:val="24"/>
              </w:rPr>
            </w:pPr>
            <w:r>
              <w:rPr>
                <w:rFonts w:hint="eastAsia" w:ascii="宋体" w:hAnsi="宋体" w:cs="宋体"/>
                <w:sz w:val="24"/>
                <w:lang w:bidi="ar"/>
              </w:rPr>
              <w:t>②</w:t>
            </w:r>
            <w:r>
              <w:rPr>
                <w:sz w:val="24"/>
                <w:lang w:bidi="ar"/>
              </w:rPr>
              <w:t>废水承运单位为非建设单位所属单位，承运方需具备建设单位HSE准入资格和相应的运输服务准入资格。</w:t>
            </w:r>
          </w:p>
          <w:p>
            <w:pPr>
              <w:keepNext/>
              <w:spacing w:line="360" w:lineRule="auto"/>
              <w:ind w:firstLine="480" w:firstLineChars="200"/>
              <w:rPr>
                <w:sz w:val="24"/>
              </w:rPr>
            </w:pPr>
            <w:r>
              <w:rPr>
                <w:rFonts w:hint="eastAsia" w:ascii="宋体" w:hAnsi="宋体" w:cs="宋体"/>
                <w:sz w:val="24"/>
                <w:lang w:bidi="ar"/>
              </w:rPr>
              <w:t>③</w:t>
            </w:r>
            <w:r>
              <w:rPr>
                <w:sz w:val="24"/>
                <w:lang w:bidi="ar"/>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keepNext/>
              <w:spacing w:line="360" w:lineRule="auto"/>
              <w:ind w:firstLine="480" w:firstLineChars="200"/>
              <w:rPr>
                <w:sz w:val="24"/>
              </w:rPr>
            </w:pPr>
            <w:r>
              <w:rPr>
                <w:rFonts w:hint="eastAsia" w:ascii="宋体" w:hAnsi="宋体" w:cs="宋体"/>
                <w:sz w:val="24"/>
                <w:lang w:bidi="ar"/>
              </w:rPr>
              <w:t>④</w:t>
            </w:r>
            <w:r>
              <w:rPr>
                <w:sz w:val="24"/>
                <w:lang w:bidi="ar"/>
              </w:rPr>
              <w:t>废水承运人员进入井场装卸废水，必须遵守有关安全环保管理规定，并服从井站值班人员的管理，不得擅自进入生产装置区和操作井场设备设施。</w:t>
            </w:r>
          </w:p>
          <w:p>
            <w:pPr>
              <w:keepNext/>
              <w:spacing w:line="360" w:lineRule="auto"/>
              <w:ind w:firstLine="480" w:firstLineChars="200"/>
              <w:rPr>
                <w:sz w:val="24"/>
              </w:rPr>
            </w:pPr>
            <w:r>
              <w:rPr>
                <w:rFonts w:hint="eastAsia" w:ascii="宋体" w:hAnsi="宋体" w:cs="宋体"/>
                <w:sz w:val="24"/>
                <w:lang w:bidi="ar"/>
              </w:rPr>
              <w:t>⑤</w:t>
            </w:r>
            <w:r>
              <w:rPr>
                <w:sz w:val="24"/>
                <w:lang w:bidi="ar"/>
              </w:rPr>
              <w:t>废水车辆运输严格执行签认制度。签认单复印件报属地管理单位安全部门和承运单位备查，保存期不得少于二年。</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⑥</w:t>
            </w:r>
            <w:r>
              <w:rPr>
                <w:rFonts w:ascii="Times New Roman" w:hAnsi="Times New Roman"/>
                <w:kern w:val="2"/>
                <w:lang w:bidi="ar"/>
              </w:rPr>
              <w:t>废水转运时采取罐车密闭输送。</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⑦</w:t>
            </w:r>
            <w:r>
              <w:rPr>
                <w:rFonts w:ascii="Times New Roman" w:hAnsi="Times New Roman"/>
                <w:kern w:val="2"/>
                <w:lang w:bidi="ar"/>
              </w:rPr>
              <w:t>尽量避免在雨天和大雾天转运。</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ascii="Times New Roman" w:hAnsi="Times New Roman"/>
                <w:kern w:val="2"/>
                <w:lang w:bidi="ar"/>
              </w:rPr>
              <w:t>为确保本工程废水得到妥善处理，本着切实保护环境的原则，建议本工程废水转运过程中，增加如下措施：</w:t>
            </w:r>
          </w:p>
          <w:p>
            <w:pPr>
              <w:pStyle w:val="38"/>
              <w:keepNext/>
              <w:tabs>
                <w:tab w:val="left" w:pos="377"/>
              </w:tabs>
              <w:spacing w:before="0" w:beforeAutospacing="0" w:after="0" w:afterAutospacing="0" w:line="360" w:lineRule="auto"/>
              <w:ind w:firstLine="480"/>
              <w:jc w:val="both"/>
              <w:rPr>
                <w:rFonts w:ascii="Times New Roman" w:hAnsi="Times New Roman"/>
                <w:kern w:val="2"/>
                <w:lang w:bidi="ar"/>
              </w:rPr>
            </w:pPr>
            <w:r>
              <w:rPr>
                <w:rFonts w:hint="eastAsia" w:cs="宋体"/>
                <w:lang w:bidi="ar"/>
              </w:rPr>
              <w:t>①</w:t>
            </w:r>
            <w:r>
              <w:rPr>
                <w:rFonts w:ascii="Times New Roman" w:hAnsi="Times New Roman"/>
                <w:kern w:val="2"/>
                <w:lang w:bidi="ar"/>
              </w:rPr>
              <w:t>建设单位应当加强对废水承运单位的监管和沟通，督促其严格监管废水转运车辆，</w:t>
            </w:r>
            <w:r>
              <w:rPr>
                <w:rFonts w:hint="eastAsia" w:ascii="Times New Roman" w:hAnsi="Times New Roman"/>
                <w:kern w:val="2"/>
                <w:lang w:bidi="ar"/>
              </w:rPr>
              <w:t>运输车辆尽可能绕避饮用水源保护区</w:t>
            </w:r>
            <w:r>
              <w:rPr>
                <w:rFonts w:ascii="Times New Roman" w:hAnsi="Times New Roman"/>
                <w:kern w:val="2"/>
                <w:lang w:bidi="ar"/>
              </w:rPr>
              <w:t>以防废水承运人员半途随意倾倒废水造成环境污染。</w:t>
            </w:r>
          </w:p>
          <w:p>
            <w:pPr>
              <w:pStyle w:val="38"/>
              <w:keepNext/>
              <w:tabs>
                <w:tab w:val="left" w:pos="377"/>
              </w:tabs>
              <w:spacing w:before="0" w:beforeAutospacing="0" w:after="0" w:afterAutospacing="0" w:line="360" w:lineRule="auto"/>
              <w:ind w:firstLine="480" w:firstLineChars="200"/>
              <w:jc w:val="both"/>
              <w:rPr>
                <w:rFonts w:ascii="Times New Roman" w:hAnsi="Times New Roman"/>
              </w:rPr>
            </w:pPr>
            <w:r>
              <w:rPr>
                <w:rFonts w:hint="eastAsia" w:cs="宋体"/>
                <w:kern w:val="2"/>
                <w:lang w:bidi="ar"/>
              </w:rPr>
              <w:t>②</w:t>
            </w:r>
            <w:r>
              <w:rPr>
                <w:rFonts w:ascii="Times New Roman" w:hAnsi="Times New Roman"/>
                <w:kern w:val="2"/>
                <w:lang w:bidi="ar"/>
              </w:rPr>
              <w:t>对承包废水转运的承包商实施车辆登记制度，为每台车安装GPS，并纳入建设方的GPS监控系统平台。</w:t>
            </w:r>
          </w:p>
          <w:p>
            <w:pPr>
              <w:pStyle w:val="38"/>
              <w:keepNext/>
              <w:tabs>
                <w:tab w:val="left" w:pos="377"/>
              </w:tabs>
              <w:spacing w:before="0" w:beforeAutospacing="0" w:after="0" w:afterAutospacing="0" w:line="360" w:lineRule="auto"/>
              <w:ind w:left="420"/>
              <w:jc w:val="both"/>
              <w:rPr>
                <w:rFonts w:ascii="Times New Roman" w:hAnsi="Times New Roman"/>
              </w:rPr>
            </w:pPr>
            <w:r>
              <w:rPr>
                <w:rFonts w:hint="eastAsia" w:ascii="Times New Roman" w:hAnsi="Times New Roman"/>
                <w:kern w:val="2"/>
                <w:lang w:bidi="ar"/>
              </w:rPr>
              <w:t>③转运</w:t>
            </w:r>
            <w:r>
              <w:rPr>
                <w:rFonts w:ascii="Times New Roman" w:hAnsi="Times New Roman"/>
                <w:kern w:val="2"/>
                <w:lang w:bidi="ar"/>
              </w:rPr>
              <w:t>过程做好转运台账，严格实施交接清单制度。</w:t>
            </w:r>
          </w:p>
          <w:p>
            <w:pPr>
              <w:pStyle w:val="213"/>
              <w:rPr>
                <w:szCs w:val="24"/>
              </w:rPr>
            </w:pPr>
            <w:r>
              <w:rPr>
                <w:szCs w:val="24"/>
                <w:lang w:bidi="ar"/>
              </w:rPr>
              <w:t>由此可见，本项目采取的废水转运措施有效可行。</w:t>
            </w:r>
          </w:p>
          <w:p>
            <w:pPr>
              <w:spacing w:line="360" w:lineRule="auto"/>
              <w:rPr>
                <w:b/>
                <w:bCs/>
                <w:sz w:val="24"/>
              </w:rPr>
            </w:pPr>
            <w:r>
              <w:rPr>
                <w:b/>
                <w:bCs/>
                <w:sz w:val="24"/>
              </w:rPr>
              <w:t>5.3.3噪声治理措施及可行性分析</w:t>
            </w:r>
          </w:p>
          <w:p>
            <w:pPr>
              <w:pStyle w:val="38"/>
              <w:keepNext/>
              <w:tabs>
                <w:tab w:val="left" w:pos="377"/>
              </w:tabs>
              <w:spacing w:before="0" w:beforeAutospacing="0" w:after="0" w:afterAutospacing="0" w:line="360" w:lineRule="auto"/>
              <w:ind w:firstLine="480" w:firstLineChars="200"/>
              <w:jc w:val="both"/>
              <w:rPr>
                <w:rFonts w:ascii="Times New Roman" w:hAnsi="Times New Roman"/>
                <w:kern w:val="2"/>
                <w:lang w:bidi="ar"/>
              </w:rPr>
            </w:pPr>
            <w:r>
              <w:rPr>
                <w:rFonts w:hint="eastAsia" w:ascii="Times New Roman" w:hAnsi="Times New Roman"/>
                <w:kern w:val="2"/>
                <w:lang w:bidi="ar"/>
              </w:rPr>
              <w:t>对于压裂作业噪声，主要是选用低噪声设备和对井场布局来减轻噪声的影响，对噪声源采取噪声防治措施，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pPr>
              <w:spacing w:line="360" w:lineRule="auto"/>
              <w:rPr>
                <w:b/>
                <w:bCs/>
                <w:sz w:val="24"/>
              </w:rPr>
            </w:pPr>
            <w:r>
              <w:rPr>
                <w:b/>
                <w:bCs/>
                <w:sz w:val="24"/>
              </w:rPr>
              <w:t>5.3.4固体废物治理措施及可行性分析</w:t>
            </w:r>
          </w:p>
          <w:p>
            <w:pPr>
              <w:pStyle w:val="213"/>
              <w:rPr>
                <w:szCs w:val="24"/>
              </w:rPr>
            </w:pPr>
            <w:r>
              <w:rPr>
                <w:rFonts w:hint="eastAsia"/>
                <w:szCs w:val="24"/>
              </w:rPr>
              <w:t>储层改造工程</w:t>
            </w:r>
            <w:r>
              <w:rPr>
                <w:szCs w:val="24"/>
              </w:rPr>
              <w:t>期间产生的固体废物主要为废油、废油桶、废棉纱/手套、废包装材料及生活垃圾。其中危废废物为废油、废油桶、废棉纱/手套，一般工业固体废物为废包装材料。</w:t>
            </w:r>
          </w:p>
          <w:p>
            <w:pPr>
              <w:pStyle w:val="213"/>
              <w:rPr>
                <w:szCs w:val="24"/>
              </w:rPr>
            </w:pPr>
            <w:r>
              <w:rPr>
                <w:szCs w:val="24"/>
              </w:rPr>
              <w:t>危险废物收集后暂存于</w:t>
            </w:r>
            <w:r>
              <w:rPr>
                <w:rFonts w:hint="eastAsia"/>
                <w:szCs w:val="24"/>
              </w:rPr>
              <w:t>危险废物贮存点</w:t>
            </w:r>
            <w:r>
              <w:rPr>
                <w:szCs w:val="24"/>
              </w:rPr>
              <w:t>内，拟及时交由</w:t>
            </w:r>
            <w:r>
              <w:rPr>
                <w:rFonts w:hint="eastAsia"/>
                <w:szCs w:val="24"/>
              </w:rPr>
              <w:t>有资质单位</w:t>
            </w:r>
            <w:r>
              <w:rPr>
                <w:szCs w:val="24"/>
              </w:rPr>
              <w:t>处置。要求建设单位严格按照《危险废物收集、贮存、运输技术规范》（HJ2025-2012）及《建设项目危险废物环境影响评价指南》中相关规定做好收集、暂存和转运工作。</w:t>
            </w:r>
          </w:p>
          <w:p>
            <w:pPr>
              <w:pStyle w:val="213"/>
              <w:rPr>
                <w:szCs w:val="24"/>
              </w:rPr>
            </w:pPr>
            <w:r>
              <w:rPr>
                <w:szCs w:val="24"/>
              </w:rPr>
              <w:t>废包装材料集中收集后定期运至就近的废品回收站进行处理。</w:t>
            </w:r>
          </w:p>
          <w:p>
            <w:pPr>
              <w:pStyle w:val="213"/>
              <w:rPr>
                <w:szCs w:val="24"/>
              </w:rPr>
            </w:pPr>
            <w:r>
              <w:rPr>
                <w:szCs w:val="24"/>
              </w:rPr>
              <w:t>生活垃圾交由当地换位部门处置。</w:t>
            </w:r>
          </w:p>
          <w:p>
            <w:pPr>
              <w:pStyle w:val="213"/>
              <w:rPr>
                <w:szCs w:val="24"/>
              </w:rPr>
            </w:pPr>
            <w:r>
              <w:rPr>
                <w:szCs w:val="24"/>
              </w:rPr>
              <w:t>综上所述，</w:t>
            </w:r>
            <w:r>
              <w:rPr>
                <w:rFonts w:hint="eastAsia"/>
                <w:szCs w:val="24"/>
              </w:rPr>
              <w:t>储层改造工程</w:t>
            </w:r>
            <w:r>
              <w:rPr>
                <w:szCs w:val="24"/>
              </w:rPr>
              <w:t>期间固体废物得到有效处置，对外环境影响较小。</w:t>
            </w:r>
          </w:p>
          <w:p>
            <w:pPr>
              <w:spacing w:line="360" w:lineRule="auto"/>
              <w:rPr>
                <w:b/>
                <w:bCs/>
                <w:sz w:val="24"/>
              </w:rPr>
            </w:pPr>
            <w:r>
              <w:rPr>
                <w:b/>
                <w:bCs/>
                <w:sz w:val="24"/>
              </w:rPr>
              <w:t>5.4地下水防治措施可行性分析</w:t>
            </w:r>
          </w:p>
          <w:p>
            <w:pPr>
              <w:spacing w:line="360" w:lineRule="auto"/>
              <w:ind w:firstLine="480" w:firstLineChars="200"/>
              <w:rPr>
                <w:sz w:val="24"/>
              </w:rPr>
            </w:pPr>
            <w:r>
              <w:rPr>
                <w:sz w:val="24"/>
              </w:rPr>
              <w:t>（1）源头控制</w:t>
            </w:r>
          </w:p>
          <w:p>
            <w:pPr>
              <w:spacing w:line="360" w:lineRule="auto"/>
              <w:ind w:firstLine="480" w:firstLineChars="200"/>
              <w:rPr>
                <w:sz w:val="24"/>
              </w:rPr>
            </w:pPr>
            <w:r>
              <w:rPr>
                <w:sz w:val="24"/>
              </w:rPr>
              <w:t>钻井设计中采取先进的钻井方案和清洁钻井液体系，</w:t>
            </w:r>
            <w:r>
              <w:rPr>
                <w:rFonts w:hint="eastAsia"/>
                <w:sz w:val="24"/>
              </w:rPr>
              <w:t>利用原井眼进行钻井作业，导眼段</w:t>
            </w:r>
            <w:r>
              <w:rPr>
                <w:sz w:val="24"/>
              </w:rPr>
              <w:t>采用水基钻井液钻井。评价提出井场储备足够的堵漏剂，堵漏剂的选取应考虑清洁、无毒、对人体无害，环境污染轻的种类。通过实施清洁化操作，能够减少新鲜水用量，实行清污分流，减少污水产生量。岩屑堆放区设雨棚。经济技术可行。</w:t>
            </w:r>
          </w:p>
          <w:p>
            <w:pPr>
              <w:spacing w:line="360" w:lineRule="auto"/>
              <w:ind w:firstLine="480" w:firstLineChars="200"/>
              <w:rPr>
                <w:sz w:val="24"/>
              </w:rPr>
            </w:pPr>
            <w:r>
              <w:rPr>
                <w:sz w:val="24"/>
              </w:rPr>
              <w:t>（2）防渗分区及防渗措施</w:t>
            </w:r>
          </w:p>
          <w:p>
            <w:pPr>
              <w:spacing w:line="360" w:lineRule="auto"/>
              <w:ind w:firstLine="480" w:firstLineChars="200"/>
              <w:rPr>
                <w:sz w:val="24"/>
              </w:rPr>
            </w:pPr>
            <w:r>
              <w:rPr>
                <w:sz w:val="24"/>
              </w:rPr>
              <w:t>重点防渗区：井口区、井架基础区、井场设备基础硬化区（柴油机动力区、泥浆泵区、发电房和气源房基础区、循环系统）、清洁生产操作平台、岩屑堆放区、油罐区、放喷池、</w:t>
            </w:r>
            <w:r>
              <w:rPr>
                <w:rFonts w:hint="eastAsia"/>
                <w:sz w:val="24"/>
              </w:rPr>
              <w:t>废水池</w:t>
            </w:r>
            <w:r>
              <w:rPr>
                <w:sz w:val="24"/>
              </w:rPr>
              <w:t>、集酸坑。</w:t>
            </w:r>
          </w:p>
          <w:p>
            <w:pPr>
              <w:spacing w:line="360" w:lineRule="auto"/>
              <w:ind w:firstLine="480" w:firstLineChars="200"/>
              <w:rPr>
                <w:sz w:val="24"/>
              </w:rPr>
            </w:pPr>
            <w:r>
              <w:rPr>
                <w:sz w:val="24"/>
              </w:rPr>
              <w:t>防渗要求：各区域防渗要求满足等效黏土防渗层厚度</w:t>
            </w:r>
            <w:r>
              <w:rPr>
                <w:rFonts w:hint="eastAsia"/>
                <w:sz w:val="24"/>
              </w:rPr>
              <w:t>≥</w:t>
            </w:r>
            <w:r>
              <w:rPr>
                <w:sz w:val="24"/>
              </w:rPr>
              <w:t>6m，渗透系数</w:t>
            </w:r>
            <w:r>
              <w:rPr>
                <w:rFonts w:hint="eastAsia"/>
                <w:sz w:val="24"/>
              </w:rPr>
              <w:t>≤</w:t>
            </w:r>
            <w:r>
              <w:rPr>
                <w:sz w:val="24"/>
              </w:rPr>
              <w:t>10</w:t>
            </w:r>
            <w:r>
              <w:rPr>
                <w:sz w:val="24"/>
                <w:vertAlign w:val="superscript"/>
              </w:rPr>
              <w:t>-7</w:t>
            </w:r>
            <w:r>
              <w:rPr>
                <w:sz w:val="24"/>
              </w:rPr>
              <w:t>cm/s。</w:t>
            </w:r>
          </w:p>
          <w:p>
            <w:pPr>
              <w:spacing w:line="360" w:lineRule="auto"/>
              <w:ind w:firstLine="480" w:firstLineChars="200"/>
              <w:rPr>
                <w:sz w:val="24"/>
              </w:rPr>
            </w:pPr>
            <w:r>
              <w:rPr>
                <w:sz w:val="24"/>
              </w:rPr>
              <w:t>一般防渗区：泥浆储备罐区、隔油池、清污分流区域、</w:t>
            </w:r>
            <w:r>
              <w:rPr>
                <w:rFonts w:hint="eastAsia"/>
                <w:sz w:val="24"/>
              </w:rPr>
              <w:t>生态一体化厕所</w:t>
            </w:r>
            <w:r>
              <w:rPr>
                <w:sz w:val="24"/>
              </w:rPr>
              <w:t>、井场部分。防渗要求：上述区域防渗要求满足等效黏土防渗层厚度≥1.5m，渗透系数≤10</w:t>
            </w:r>
            <w:r>
              <w:rPr>
                <w:sz w:val="24"/>
                <w:vertAlign w:val="superscript"/>
              </w:rPr>
              <w:t>-7</w:t>
            </w:r>
            <w:r>
              <w:rPr>
                <w:sz w:val="24"/>
              </w:rPr>
              <w:t>cm/s。</w:t>
            </w:r>
          </w:p>
          <w:p>
            <w:pPr>
              <w:spacing w:line="360" w:lineRule="auto"/>
              <w:ind w:firstLine="480" w:firstLineChars="200"/>
              <w:rPr>
                <w:bCs/>
                <w:sz w:val="24"/>
              </w:rPr>
            </w:pPr>
            <w:r>
              <w:rPr>
                <w:bCs/>
                <w:kern w:val="0"/>
                <w:sz w:val="24"/>
                <w:lang w:bidi="ar"/>
              </w:rPr>
              <w:t>结合混凝防渗性能分析，设计中采取的防渗措施总体</w:t>
            </w:r>
            <w:r>
              <w:rPr>
                <w:bCs/>
                <w:sz w:val="24"/>
              </w:rPr>
              <w:t>满足防渗要求。</w:t>
            </w:r>
          </w:p>
          <w:p>
            <w:pPr>
              <w:spacing w:line="360" w:lineRule="auto"/>
              <w:ind w:firstLine="480" w:firstLineChars="200"/>
              <w:rPr>
                <w:bCs/>
                <w:sz w:val="24"/>
              </w:rPr>
            </w:pPr>
            <w:r>
              <w:rPr>
                <w:bCs/>
                <w:sz w:val="24"/>
              </w:rPr>
              <w:t>（3）地下水保护措施</w:t>
            </w:r>
          </w:p>
          <w:p>
            <w:pPr>
              <w:spacing w:line="360" w:lineRule="auto"/>
              <w:ind w:firstLine="480" w:firstLineChars="200"/>
              <w:jc w:val="left"/>
              <w:rPr>
                <w:sz w:val="24"/>
              </w:rPr>
            </w:pPr>
            <w:r>
              <w:rPr>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成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spacing w:line="360" w:lineRule="auto"/>
              <w:ind w:firstLine="480" w:firstLineChars="200"/>
              <w:jc w:val="left"/>
              <w:rPr>
                <w:sz w:val="24"/>
              </w:rPr>
            </w:pPr>
            <w:r>
              <w:rPr>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spacing w:line="360" w:lineRule="auto"/>
              <w:rPr>
                <w:b/>
                <w:bCs/>
                <w:sz w:val="24"/>
              </w:rPr>
            </w:pPr>
            <w:r>
              <w:rPr>
                <w:b/>
                <w:bCs/>
                <w:sz w:val="24"/>
              </w:rPr>
              <w:t>5.5环境风险影响分析及措施可行性分析</w:t>
            </w:r>
          </w:p>
          <w:p>
            <w:pPr>
              <w:spacing w:line="360" w:lineRule="auto"/>
              <w:rPr>
                <w:b/>
                <w:bCs/>
                <w:sz w:val="24"/>
              </w:rPr>
            </w:pPr>
            <w:r>
              <w:rPr>
                <w:b/>
                <w:bCs/>
                <w:sz w:val="24"/>
              </w:rPr>
              <w:t>5.5.1井喷风险防范措施</w:t>
            </w:r>
          </w:p>
          <w:p>
            <w:pPr>
              <w:spacing w:line="360" w:lineRule="auto"/>
              <w:ind w:firstLine="480" w:firstLineChars="200"/>
              <w:rPr>
                <w:bCs/>
                <w:sz w:val="24"/>
              </w:rPr>
            </w:pPr>
            <w:r>
              <w:rPr>
                <w:bCs/>
                <w:sz w:val="24"/>
              </w:rPr>
              <w:t>井喷发生后，应立即组织首先撤离井口周边500m的居民。井喷失控后，在15min内完成井口点火燃烧泄漏天然气。将天然气燃烧转化为</w:t>
            </w:r>
            <w:r>
              <w:rPr>
                <w:rFonts w:hint="eastAsia"/>
                <w:bCs/>
                <w:sz w:val="24"/>
              </w:rPr>
              <w:t>S</w:t>
            </w:r>
            <w:r>
              <w:rPr>
                <w:bCs/>
                <w:sz w:val="24"/>
              </w:rPr>
              <w:t>O</w:t>
            </w:r>
            <w:r>
              <w:rPr>
                <w:bCs/>
                <w:sz w:val="24"/>
                <w:vertAlign w:val="subscript"/>
              </w:rPr>
              <w:t>2</w:t>
            </w:r>
            <w:r>
              <w:rPr>
                <w:bCs/>
                <w:sz w:val="24"/>
              </w:rPr>
              <w:t>和</w:t>
            </w:r>
            <w:r>
              <w:rPr>
                <w:rFonts w:hint="eastAsia"/>
                <w:bCs/>
                <w:sz w:val="24"/>
              </w:rPr>
              <w:t>CO</w:t>
            </w:r>
            <w:r>
              <w:rPr>
                <w:rFonts w:hint="eastAsia"/>
                <w:bCs/>
                <w:sz w:val="24"/>
                <w:vertAlign w:val="subscript"/>
              </w:rPr>
              <w:t>2</w:t>
            </w:r>
            <w:r>
              <w:rPr>
                <w:rFonts w:hint="eastAsia"/>
                <w:bCs/>
                <w:sz w:val="24"/>
              </w:rPr>
              <w:t>、</w:t>
            </w:r>
            <w:r>
              <w:rPr>
                <w:bCs/>
                <w:sz w:val="24"/>
              </w:rPr>
              <w:t>H</w:t>
            </w:r>
            <w:r>
              <w:rPr>
                <w:bCs/>
                <w:sz w:val="24"/>
                <w:vertAlign w:val="subscript"/>
              </w:rPr>
              <w:t>2</w:t>
            </w:r>
            <w:r>
              <w:rPr>
                <w:bCs/>
                <w:sz w:val="24"/>
              </w:rPr>
              <w:t>O。</w:t>
            </w:r>
          </w:p>
          <w:p>
            <w:pPr>
              <w:spacing w:line="360" w:lineRule="auto"/>
              <w:rPr>
                <w:bCs/>
                <w:sz w:val="24"/>
              </w:rPr>
            </w:pPr>
            <w:r>
              <w:rPr>
                <w:b/>
                <w:bCs/>
                <w:sz w:val="24"/>
              </w:rPr>
              <w:t>5.5.2防柴油、油类外溢措施</w:t>
            </w:r>
          </w:p>
          <w:p>
            <w:pPr>
              <w:spacing w:line="360" w:lineRule="auto"/>
              <w:ind w:firstLine="480" w:firstLineChars="200"/>
              <w:rPr>
                <w:bCs/>
                <w:sz w:val="24"/>
              </w:rPr>
            </w:pPr>
            <w:r>
              <w:rPr>
                <w:bCs/>
                <w:sz w:val="24"/>
              </w:rPr>
              <w:t>（1）加强柴油罐、废油桶收集罐的维护保养，避免柴油、油类泄漏事件的发生。</w:t>
            </w:r>
          </w:p>
          <w:p>
            <w:pPr>
              <w:spacing w:line="360" w:lineRule="auto"/>
              <w:ind w:firstLine="480" w:firstLineChars="200"/>
              <w:rPr>
                <w:bCs/>
                <w:sz w:val="24"/>
              </w:rPr>
            </w:pPr>
            <w:r>
              <w:rPr>
                <w:bCs/>
                <w:sz w:val="24"/>
              </w:rPr>
              <w:t>（2）加强柴油、油类运输车辆的维护，确保车辆和连接管道处于良好状态。</w:t>
            </w:r>
          </w:p>
          <w:p>
            <w:pPr>
              <w:spacing w:line="360" w:lineRule="auto"/>
              <w:ind w:firstLine="480" w:firstLineChars="200"/>
              <w:rPr>
                <w:bCs/>
                <w:sz w:val="24"/>
              </w:rPr>
            </w:pPr>
            <w:r>
              <w:rPr>
                <w:bCs/>
                <w:sz w:val="24"/>
              </w:rPr>
              <w:t>（3）加强员工风险防范意识教育，严格按操作规程操作。在柴油、油类转运时，应对油罐及连接管道等进行严格检查，确保在不存在隐患的情况下进行转运。</w:t>
            </w:r>
          </w:p>
          <w:p>
            <w:pPr>
              <w:spacing w:line="360" w:lineRule="auto"/>
              <w:ind w:firstLine="480" w:firstLineChars="200"/>
              <w:rPr>
                <w:bCs/>
                <w:sz w:val="24"/>
              </w:rPr>
            </w:pPr>
            <w:r>
              <w:rPr>
                <w:bCs/>
                <w:sz w:val="24"/>
              </w:rPr>
              <w:t>（4）在油罐周围设0.3m高围堰（容积为20m</w:t>
            </w:r>
            <w:r>
              <w:rPr>
                <w:bCs/>
                <w:sz w:val="24"/>
                <w:vertAlign w:val="superscript"/>
              </w:rPr>
              <w:t>3</w:t>
            </w:r>
            <w:r>
              <w:rPr>
                <w:bCs/>
                <w:sz w:val="24"/>
              </w:rPr>
              <w:t>），正常情况下应保证</w:t>
            </w:r>
            <w:r>
              <w:rPr>
                <w:rFonts w:hint="eastAsia"/>
                <w:bCs/>
                <w:sz w:val="24"/>
              </w:rPr>
              <w:t>废水池</w:t>
            </w:r>
            <w:r>
              <w:rPr>
                <w:bCs/>
                <w:sz w:val="24"/>
              </w:rPr>
              <w:t>有足够的容积，确保事故时能将泄漏的柴油导流至</w:t>
            </w:r>
            <w:r>
              <w:rPr>
                <w:rFonts w:hint="eastAsia"/>
                <w:bCs/>
                <w:sz w:val="24"/>
              </w:rPr>
              <w:t>废水池</w:t>
            </w:r>
            <w:r>
              <w:rPr>
                <w:bCs/>
                <w:sz w:val="24"/>
              </w:rPr>
              <w:t>。</w:t>
            </w:r>
          </w:p>
          <w:p>
            <w:pPr>
              <w:spacing w:line="360" w:lineRule="auto"/>
              <w:ind w:firstLine="480" w:firstLineChars="200"/>
              <w:rPr>
                <w:bCs/>
                <w:sz w:val="24"/>
              </w:rPr>
            </w:pPr>
            <w:r>
              <w:rPr>
                <w:bCs/>
                <w:sz w:val="24"/>
              </w:rPr>
              <w:t>（5）在泥浆储备罐区域周围设置围堰，围堰高0.3m（容积为10m</w:t>
            </w:r>
            <w:r>
              <w:rPr>
                <w:bCs/>
                <w:sz w:val="24"/>
                <w:vertAlign w:val="superscript"/>
              </w:rPr>
              <w:t>3</w:t>
            </w:r>
            <w:r>
              <w:rPr>
                <w:bCs/>
                <w:sz w:val="24"/>
              </w:rPr>
              <w:t>）。</w:t>
            </w:r>
          </w:p>
          <w:p>
            <w:pPr>
              <w:spacing w:line="360" w:lineRule="auto"/>
              <w:ind w:firstLine="480" w:firstLineChars="200"/>
              <w:rPr>
                <w:bCs/>
                <w:sz w:val="24"/>
              </w:rPr>
            </w:pPr>
            <w:r>
              <w:rPr>
                <w:bCs/>
                <w:sz w:val="24"/>
              </w:rPr>
              <w:t>（6）柴油罐区围堰内地坪、泥浆储备罐区地盘采用混凝土地坪，并进行防渗漏处理</w:t>
            </w:r>
          </w:p>
          <w:p>
            <w:pPr>
              <w:spacing w:line="360" w:lineRule="auto"/>
              <w:rPr>
                <w:b/>
                <w:bCs/>
                <w:sz w:val="24"/>
              </w:rPr>
            </w:pPr>
            <w:r>
              <w:rPr>
                <w:b/>
                <w:bCs/>
                <w:sz w:val="24"/>
              </w:rPr>
              <w:t>5.5.3井漏防范措施</w:t>
            </w:r>
          </w:p>
          <w:p>
            <w:pPr>
              <w:spacing w:line="360" w:lineRule="auto"/>
              <w:ind w:firstLine="480" w:firstLineChars="200"/>
              <w:rPr>
                <w:bCs/>
                <w:sz w:val="24"/>
              </w:rPr>
            </w:pPr>
            <w:r>
              <w:rPr>
                <w:bCs/>
                <w:sz w:val="24"/>
              </w:rPr>
              <w:t>在钻井过程中对井漏应坚持预防为主的原则，主要包括避开复杂地质环境、选用和维持较低的井筒内钻井介质压力、提高地层承压能力等防范措施：</w:t>
            </w:r>
          </w:p>
          <w:p>
            <w:pPr>
              <w:spacing w:line="360" w:lineRule="auto"/>
              <w:ind w:firstLine="480" w:firstLineChars="200"/>
              <w:rPr>
                <w:bCs/>
                <w:sz w:val="24"/>
              </w:rPr>
            </w:pPr>
            <w:r>
              <w:rPr>
                <w:bCs/>
                <w:sz w:val="24"/>
              </w:rPr>
              <w:t>（</w:t>
            </w:r>
            <w:r>
              <w:rPr>
                <w:rFonts w:hint="eastAsia"/>
                <w:bCs/>
                <w:sz w:val="24"/>
              </w:rPr>
              <w:t>1</w:t>
            </w:r>
            <w:r>
              <w:rPr>
                <w:bCs/>
                <w:sz w:val="24"/>
              </w:rPr>
              <w:t>）降低井下环空压耗</w:t>
            </w:r>
          </w:p>
          <w:p>
            <w:pPr>
              <w:spacing w:line="360" w:lineRule="auto"/>
              <w:ind w:firstLine="480" w:firstLineChars="200"/>
              <w:rPr>
                <w:bCs/>
                <w:sz w:val="24"/>
              </w:rPr>
            </w:pPr>
            <w:r>
              <w:rPr>
                <w:bCs/>
                <w:sz w:val="24"/>
              </w:rPr>
              <w:t>在保证钻井介质（钻井泥浆）能携带钻屑的前提下，尽可能降低钻井介质</w:t>
            </w:r>
            <w:r>
              <w:rPr>
                <w:rFonts w:hint="eastAsia"/>
                <w:bCs/>
                <w:sz w:val="24"/>
              </w:rPr>
              <w:t>黏度</w:t>
            </w:r>
            <w:r>
              <w:rPr>
                <w:bCs/>
                <w:sz w:val="24"/>
              </w:rPr>
              <w:t>，提高泥饼质量，防止因井壁泥饼较厚起环空间隙较小，导致环空压耗增大。</w:t>
            </w:r>
          </w:p>
          <w:p>
            <w:pPr>
              <w:spacing w:line="360" w:lineRule="auto"/>
              <w:ind w:firstLine="480" w:firstLineChars="200"/>
              <w:rPr>
                <w:bCs/>
                <w:sz w:val="24"/>
              </w:rPr>
            </w:pPr>
            <w:r>
              <w:rPr>
                <w:bCs/>
                <w:sz w:val="24"/>
              </w:rPr>
              <w:t>（</w:t>
            </w:r>
            <w:r>
              <w:rPr>
                <w:rFonts w:hint="eastAsia"/>
                <w:bCs/>
                <w:sz w:val="24"/>
              </w:rPr>
              <w:t>2</w:t>
            </w:r>
            <w:r>
              <w:rPr>
                <w:bCs/>
                <w:sz w:val="24"/>
              </w:rPr>
              <w:t>）提高地层承压能力地层的漏失主要取决于地层的特性，通过人为的方法提高地层的承压能力，封堵漏失孔道，从而达到防漏的目的。</w:t>
            </w:r>
          </w:p>
          <w:p>
            <w:pPr>
              <w:spacing w:line="360" w:lineRule="auto"/>
              <w:ind w:firstLine="480" w:firstLineChars="200"/>
              <w:rPr>
                <w:bCs/>
                <w:sz w:val="24"/>
              </w:rPr>
            </w:pPr>
            <w:r>
              <w:rPr>
                <w:bCs/>
                <w:sz w:val="24"/>
              </w:rPr>
              <w:t>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spacing w:line="360" w:lineRule="auto"/>
              <w:rPr>
                <w:b/>
                <w:sz w:val="24"/>
              </w:rPr>
            </w:pPr>
            <w:r>
              <w:rPr>
                <w:rFonts w:hint="eastAsia"/>
                <w:b/>
                <w:sz w:val="24"/>
              </w:rPr>
              <w:t>5</w:t>
            </w:r>
            <w:r>
              <w:rPr>
                <w:b/>
                <w:sz w:val="24"/>
              </w:rPr>
              <w:t>.5.4</w:t>
            </w:r>
            <w:r>
              <w:rPr>
                <w:rFonts w:hint="eastAsia"/>
                <w:b/>
                <w:sz w:val="24"/>
              </w:rPr>
              <w:t>废水收集与泄漏防范措施</w:t>
            </w:r>
          </w:p>
          <w:p>
            <w:pPr>
              <w:spacing w:line="360" w:lineRule="auto"/>
              <w:ind w:firstLine="480" w:firstLineChars="200"/>
              <w:rPr>
                <w:bCs/>
                <w:sz w:val="24"/>
              </w:rPr>
            </w:pPr>
            <w:r>
              <w:rPr>
                <w:rFonts w:hint="eastAsia"/>
                <w:bCs/>
                <w:sz w:val="24"/>
              </w:rPr>
              <w:t>（1）废水泄漏防范措施</w:t>
            </w:r>
          </w:p>
          <w:p>
            <w:pPr>
              <w:spacing w:line="360" w:lineRule="auto"/>
              <w:ind w:firstLine="480" w:firstLineChars="200"/>
              <w:rPr>
                <w:bCs/>
                <w:sz w:val="24"/>
              </w:rPr>
            </w:pPr>
            <w:r>
              <w:rPr>
                <w:rFonts w:hint="eastAsia"/>
                <w:bCs/>
                <w:sz w:val="24"/>
              </w:rPr>
              <w:t>①各罐体应合理选址，废水收集罐所在平台选址应避开不良地质或岩土松散的地段等地质结构不稳定的地方并做好地面防渗工作。</w:t>
            </w:r>
          </w:p>
          <w:p>
            <w:pPr>
              <w:spacing w:line="360" w:lineRule="auto"/>
              <w:ind w:firstLine="480" w:firstLineChars="200"/>
              <w:rPr>
                <w:bCs/>
                <w:sz w:val="24"/>
              </w:rPr>
            </w:pPr>
            <w:r>
              <w:rPr>
                <w:rFonts w:hint="eastAsia"/>
                <w:bCs/>
                <w:sz w:val="24"/>
              </w:rPr>
              <w:t>②按相关要求规定对废水池进行防渗处理，及时清理池内及排污沟内废水，确保排污沟、废水池留有足够空余容积。</w:t>
            </w:r>
          </w:p>
          <w:p>
            <w:pPr>
              <w:spacing w:line="360" w:lineRule="auto"/>
              <w:ind w:firstLine="480" w:firstLineChars="200"/>
              <w:rPr>
                <w:bCs/>
                <w:sz w:val="24"/>
              </w:rPr>
            </w:pPr>
            <w:r>
              <w:rPr>
                <w:rFonts w:hint="eastAsia"/>
                <w:bCs/>
                <w:sz w:val="24"/>
              </w:rPr>
              <w:t>③加强员工操作规范管理，尽量避免废水装车失误。装车过程若遇到废水泄漏，立即停止装车作业，减少废水泄漏量，并利用井场内的污水沟将泄漏废水收集至废水池内，不外流。</w:t>
            </w:r>
          </w:p>
          <w:p>
            <w:pPr>
              <w:spacing w:line="360" w:lineRule="auto"/>
              <w:ind w:firstLine="480" w:firstLineChars="200"/>
              <w:rPr>
                <w:bCs/>
                <w:sz w:val="24"/>
              </w:rPr>
            </w:pPr>
            <w:r>
              <w:rPr>
                <w:rFonts w:hint="eastAsia"/>
                <w:bCs/>
                <w:sz w:val="24"/>
              </w:rPr>
              <w:t>④在暴雨季节，对罐区采取加盖防雨篷布，加强巡查，降低废水泄漏的环境风险。</w:t>
            </w:r>
          </w:p>
          <w:p>
            <w:pPr>
              <w:spacing w:line="360" w:lineRule="auto"/>
              <w:ind w:firstLine="480" w:firstLineChars="200"/>
              <w:rPr>
                <w:bCs/>
                <w:sz w:val="24"/>
              </w:rPr>
            </w:pPr>
            <w:r>
              <w:rPr>
                <w:rFonts w:hint="eastAsia"/>
                <w:bCs/>
                <w:sz w:val="24"/>
              </w:rPr>
              <w:t>⑤加强油罐、油桶的管理及安全检查。</w:t>
            </w:r>
          </w:p>
          <w:p>
            <w:pPr>
              <w:spacing w:line="360" w:lineRule="auto"/>
              <w:ind w:firstLine="480" w:firstLineChars="200"/>
              <w:rPr>
                <w:bCs/>
                <w:sz w:val="24"/>
              </w:rPr>
            </w:pPr>
            <w:r>
              <w:rPr>
                <w:rFonts w:hint="eastAsia"/>
                <w:bCs/>
                <w:sz w:val="24"/>
              </w:rPr>
              <w:t>（2）废水外溢防范措施</w:t>
            </w:r>
          </w:p>
          <w:p>
            <w:pPr>
              <w:spacing w:line="360" w:lineRule="auto"/>
              <w:ind w:firstLine="480" w:firstLineChars="200"/>
              <w:rPr>
                <w:bCs/>
                <w:sz w:val="24"/>
              </w:rPr>
            </w:pPr>
            <w:r>
              <w:rPr>
                <w:rFonts w:hint="eastAsia"/>
                <w:bCs/>
                <w:sz w:val="24"/>
              </w:rPr>
              <w:t>①对井场临时储存的废水进行及时转运，减少废水储存周期，降低废水外溢风险，特别在汛期来临之前要尽量腾空废水收集罐（重叠罐）。</w:t>
            </w:r>
          </w:p>
          <w:p>
            <w:pPr>
              <w:spacing w:line="360" w:lineRule="auto"/>
              <w:ind w:firstLine="480" w:firstLineChars="200"/>
              <w:rPr>
                <w:bCs/>
                <w:sz w:val="24"/>
              </w:rPr>
            </w:pPr>
            <w:r>
              <w:rPr>
                <w:rFonts w:hint="eastAsia"/>
                <w:bCs/>
                <w:sz w:val="24"/>
              </w:rPr>
              <w:t>②为避免突降大雨引起雨水进入废水收集罐（重叠罐），从而引发废水外溢，应及时转运废水罐（重叠罐）中的废水。</w:t>
            </w:r>
          </w:p>
          <w:p>
            <w:pPr>
              <w:spacing w:line="360" w:lineRule="auto"/>
              <w:ind w:firstLine="480" w:firstLineChars="200"/>
              <w:rPr>
                <w:bCs/>
                <w:sz w:val="24"/>
              </w:rPr>
            </w:pPr>
            <w:r>
              <w:rPr>
                <w:rFonts w:hint="eastAsia"/>
                <w:bCs/>
                <w:sz w:val="24"/>
              </w:rPr>
              <w:t>③井场采用清污分流系统，并定期进行维护，从而有效控制因暴雨而导致废水外溢。</w:t>
            </w:r>
          </w:p>
          <w:p>
            <w:pPr>
              <w:spacing w:line="360" w:lineRule="auto"/>
              <w:ind w:firstLine="480" w:firstLineChars="200"/>
              <w:rPr>
                <w:bCs/>
                <w:sz w:val="24"/>
              </w:rPr>
            </w:pPr>
            <w:r>
              <w:rPr>
                <w:rFonts w:hint="eastAsia"/>
                <w:bCs/>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pPr>
              <w:spacing w:line="360" w:lineRule="auto"/>
              <w:ind w:firstLine="480" w:firstLineChars="200"/>
              <w:rPr>
                <w:bCs/>
                <w:sz w:val="24"/>
              </w:rPr>
            </w:pPr>
            <w:r>
              <w:rPr>
                <w:rFonts w:hint="eastAsia"/>
                <w:bCs/>
                <w:sz w:val="24"/>
              </w:rPr>
              <w:t>⑤在本井场重叠罐满负荷前调配区域内其他井场闲置、质量完好的重叠罐于本井场内作为备用罐暂存压裂返排废水，保证压裂返排废水运至其他井场配制压裂液前不出现溢流、外排等可能造成环境污染的现象。</w:t>
            </w:r>
          </w:p>
          <w:p>
            <w:pPr>
              <w:spacing w:line="360" w:lineRule="auto"/>
              <w:ind w:firstLine="480" w:firstLineChars="200"/>
              <w:rPr>
                <w:bCs/>
                <w:sz w:val="24"/>
              </w:rPr>
            </w:pPr>
            <w:r>
              <w:rPr>
                <w:rFonts w:hint="eastAsia"/>
                <w:bCs/>
                <w:sz w:val="24"/>
              </w:rPr>
              <w:t>⑥建立事故应急预案和联动机制，明确钻井过程中一旦出现环境风险事故的应急处置方式，以及钻井施工单位、地方政府及其他相关部门的联系人及联系方式。</w:t>
            </w:r>
          </w:p>
          <w:p>
            <w:pPr>
              <w:spacing w:line="360" w:lineRule="auto"/>
              <w:ind w:firstLine="480" w:firstLineChars="200"/>
              <w:rPr>
                <w:bCs/>
                <w:sz w:val="24"/>
              </w:rPr>
            </w:pPr>
            <w:r>
              <w:rPr>
                <w:rFonts w:hint="eastAsia"/>
                <w:bCs/>
                <w:sz w:val="24"/>
              </w:rPr>
              <w:t>⑦设置地表水三级防控机制。</w:t>
            </w:r>
          </w:p>
          <w:p>
            <w:pPr>
              <w:spacing w:line="360" w:lineRule="auto"/>
              <w:ind w:firstLine="480" w:firstLineChars="200"/>
              <w:rPr>
                <w:bCs/>
                <w:sz w:val="24"/>
              </w:rPr>
            </w:pPr>
            <w:r>
              <w:rPr>
                <w:rFonts w:hint="eastAsia"/>
                <w:bCs/>
                <w:sz w:val="24"/>
              </w:rPr>
              <w:t>一级防控体系：废水、废油罐区设置围堰、罐区防火堤，防止污染雨水和轻微事故泄漏造成的环境污染；</w:t>
            </w:r>
          </w:p>
          <w:p>
            <w:pPr>
              <w:spacing w:line="360" w:lineRule="auto"/>
              <w:ind w:firstLine="480" w:firstLineChars="200"/>
              <w:rPr>
                <w:bCs/>
                <w:sz w:val="24"/>
              </w:rPr>
            </w:pPr>
            <w:r>
              <w:rPr>
                <w:rFonts w:hint="eastAsia"/>
                <w:bCs/>
                <w:sz w:val="24"/>
              </w:rPr>
              <w:t>二级防控体系：建设废水池、污水截流沟及隔油池，防止污水进入雨水系统、事故泄漏物料外泄污染地表水环境；</w:t>
            </w:r>
          </w:p>
          <w:p>
            <w:pPr>
              <w:spacing w:line="360" w:lineRule="auto"/>
              <w:ind w:firstLine="480" w:firstLineChars="200"/>
              <w:rPr>
                <w:bCs/>
                <w:sz w:val="24"/>
              </w:rPr>
            </w:pPr>
            <w:r>
              <w:rPr>
                <w:rFonts w:hint="eastAsia"/>
                <w:bCs/>
                <w:sz w:val="24"/>
              </w:rPr>
              <w:t>三级防控体系：发生事故时将事故废水收集至废水池，然后通过密闭罐车定期拉运至大湾403污水站处理达标后管输至毛开1井回注站回注，防止外泄污染环境。</w:t>
            </w:r>
          </w:p>
          <w:p>
            <w:pPr>
              <w:spacing w:line="360" w:lineRule="auto"/>
              <w:ind w:firstLine="480" w:firstLineChars="200"/>
              <w:rPr>
                <w:bCs/>
                <w:sz w:val="24"/>
              </w:rPr>
            </w:pPr>
            <w:r>
              <w:rPr>
                <w:rFonts w:hint="eastAsia"/>
                <w:bCs/>
                <w:sz w:val="24"/>
              </w:rPr>
              <w:t>项目采取以上防控措施并加强施工管理、并建立事故应急预案和联动机制，预防项目实施对周边流域的影响，杜绝污废水以任何形式进入周边地表沟渠，造成水质污染。</w:t>
            </w:r>
          </w:p>
          <w:p>
            <w:pPr>
              <w:spacing w:line="360" w:lineRule="auto"/>
              <w:rPr>
                <w:sz w:val="24"/>
              </w:rPr>
            </w:pPr>
            <w:r>
              <w:rPr>
                <w:b/>
                <w:bCs/>
                <w:sz w:val="24"/>
              </w:rPr>
              <w:t>5.6土壤环境影响保护</w:t>
            </w:r>
            <w:r>
              <w:rPr>
                <w:b/>
                <w:sz w:val="24"/>
              </w:rPr>
              <w:t>措施可行性分析</w:t>
            </w:r>
          </w:p>
          <w:p>
            <w:pPr>
              <w:adjustRightInd w:val="0"/>
              <w:snapToGrid w:val="0"/>
              <w:spacing w:line="360" w:lineRule="auto"/>
              <w:ind w:firstLine="480" w:firstLineChars="200"/>
              <w:rPr>
                <w:sz w:val="24"/>
              </w:rPr>
            </w:pPr>
            <w:r>
              <w:rPr>
                <w:sz w:val="24"/>
              </w:rPr>
              <w:t>针对可能对土壤造成的影响，本项目拟采取以下措施：</w:t>
            </w:r>
          </w:p>
          <w:p>
            <w:pPr>
              <w:adjustRightInd w:val="0"/>
              <w:snapToGrid w:val="0"/>
              <w:spacing w:line="360" w:lineRule="auto"/>
              <w:ind w:firstLine="480" w:firstLineChars="200"/>
              <w:rPr>
                <w:sz w:val="24"/>
              </w:rPr>
            </w:pPr>
            <w:r>
              <w:rPr>
                <w:sz w:val="24"/>
              </w:rPr>
              <w:t>（1）本项目采用“泥浆不落地工艺”，钻井期间产生的岩屑通过岩屑罐收集后及时外运资源化利用，油类通过废油桶收集后回收利用；而项目产生的钻井废水、洗井废水、场地雨水用于配置压裂液，不能回用时</w:t>
            </w:r>
            <w:r>
              <w:rPr>
                <w:rFonts w:hint="eastAsia"/>
                <w:sz w:val="24"/>
              </w:rPr>
              <w:t>通过罐车</w:t>
            </w:r>
            <w:r>
              <w:rPr>
                <w:sz w:val="24"/>
              </w:rPr>
              <w:t>密闭罐车定期拉运至大湾403污水站处理达标后管输至毛开1井回注站回注。因此项目产生的各类污染物均能得到有效处置，从根本上消除了对周边土壤环境的污染隐患。</w:t>
            </w:r>
          </w:p>
          <w:p>
            <w:pPr>
              <w:adjustRightInd w:val="0"/>
              <w:snapToGrid w:val="0"/>
              <w:spacing w:line="360" w:lineRule="auto"/>
              <w:ind w:firstLine="480" w:firstLineChars="200"/>
              <w:rPr>
                <w:sz w:val="24"/>
              </w:rPr>
            </w:pPr>
            <w:r>
              <w:rPr>
                <w:sz w:val="24"/>
              </w:rPr>
              <w:t>（2）本项目针对各产污单元采取了分区防渗措施，可有效防治污染物渗入地下，并及时地将泄漏、渗漏的污染物收集并进行集中处理。</w:t>
            </w:r>
          </w:p>
          <w:p>
            <w:pPr>
              <w:adjustRightInd w:val="0"/>
              <w:snapToGrid w:val="0"/>
              <w:spacing w:line="360" w:lineRule="auto"/>
              <w:ind w:firstLine="480" w:firstLineChars="200"/>
              <w:rPr>
                <w:sz w:val="24"/>
              </w:rPr>
            </w:pPr>
            <w:r>
              <w:rPr>
                <w:sz w:val="24"/>
              </w:rPr>
              <w:t>（3）本项目井场采用清污分流、雨污分流制，井场内设置有污水截流沟，井场散落的污水汇入截流沟，最终可集中收集至污水罐或</w:t>
            </w:r>
            <w:r>
              <w:rPr>
                <w:rFonts w:hint="eastAsia"/>
                <w:sz w:val="24"/>
              </w:rPr>
              <w:t>废水池</w:t>
            </w:r>
            <w:r>
              <w:rPr>
                <w:sz w:val="24"/>
              </w:rPr>
              <w:t>内。</w:t>
            </w:r>
          </w:p>
          <w:p>
            <w:pPr>
              <w:spacing w:line="360" w:lineRule="auto"/>
              <w:ind w:firstLine="480" w:firstLineChars="200"/>
              <w:rPr>
                <w:sz w:val="24"/>
              </w:rPr>
            </w:pPr>
            <w:r>
              <w:rPr>
                <w:sz w:val="24"/>
              </w:rPr>
              <w:t>综上所述，项目在采取以上防控措施后，可满足相关标准要求，项目建设对土壤环境影响处于可接受水平。</w:t>
            </w:r>
          </w:p>
          <w:p>
            <w:pPr>
              <w:spacing w:line="360" w:lineRule="auto"/>
              <w:rPr>
                <w:b/>
                <w:bCs/>
                <w:sz w:val="24"/>
              </w:rPr>
            </w:pPr>
            <w:r>
              <w:rPr>
                <w:b/>
                <w:bCs/>
                <w:sz w:val="24"/>
              </w:rPr>
              <w:t>5.7生态保护与恢复</w:t>
            </w:r>
            <w:r>
              <w:rPr>
                <w:b/>
                <w:sz w:val="24"/>
              </w:rPr>
              <w:t>措施可行性分析</w:t>
            </w:r>
          </w:p>
          <w:p>
            <w:pPr>
              <w:pStyle w:val="204"/>
              <w:spacing w:line="360" w:lineRule="auto"/>
              <w:ind w:firstLine="0" w:firstLineChars="0"/>
              <w:rPr>
                <w:b/>
                <w:kern w:val="2"/>
                <w:szCs w:val="24"/>
              </w:rPr>
            </w:pPr>
            <w:r>
              <w:rPr>
                <w:b/>
                <w:kern w:val="2"/>
                <w:szCs w:val="24"/>
              </w:rPr>
              <w:t>5.7.1生态防治措施</w:t>
            </w:r>
          </w:p>
          <w:p>
            <w:pPr>
              <w:pStyle w:val="204"/>
              <w:spacing w:line="360" w:lineRule="auto"/>
              <w:ind w:firstLine="480"/>
              <w:rPr>
                <w:szCs w:val="24"/>
              </w:rPr>
            </w:pPr>
            <w:r>
              <w:rPr>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pPr>
              <w:pStyle w:val="204"/>
              <w:spacing w:line="360" w:lineRule="auto"/>
              <w:ind w:firstLine="480"/>
              <w:rPr>
                <w:szCs w:val="24"/>
              </w:rPr>
            </w:pPr>
            <w:r>
              <w:rPr>
                <w:szCs w:val="24"/>
              </w:rPr>
              <w:t>（2）根据施工阶段的不同，对不再使用的临时占地及时采取生态恢复措施，减少临时占地面积、缩短临时占地周期。</w:t>
            </w:r>
          </w:p>
          <w:p>
            <w:pPr>
              <w:pStyle w:val="204"/>
              <w:spacing w:line="360" w:lineRule="auto"/>
              <w:ind w:firstLine="480"/>
              <w:rPr>
                <w:szCs w:val="24"/>
              </w:rPr>
            </w:pPr>
            <w:r>
              <w:rPr>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pPr>
              <w:pStyle w:val="204"/>
              <w:spacing w:line="360" w:lineRule="auto"/>
              <w:ind w:firstLine="0" w:firstLineChars="0"/>
              <w:rPr>
                <w:b/>
                <w:kern w:val="2"/>
                <w:szCs w:val="24"/>
              </w:rPr>
            </w:pPr>
            <w:r>
              <w:rPr>
                <w:b/>
                <w:kern w:val="2"/>
                <w:szCs w:val="24"/>
              </w:rPr>
              <w:t>5.7.2施工结束后环境保护措施</w:t>
            </w:r>
          </w:p>
          <w:p>
            <w:pPr>
              <w:pStyle w:val="204"/>
              <w:spacing w:line="360" w:lineRule="auto"/>
              <w:ind w:firstLine="480"/>
              <w:rPr>
                <w:szCs w:val="24"/>
              </w:rPr>
            </w:pPr>
            <w:r>
              <w:rPr>
                <w:szCs w:val="24"/>
              </w:rPr>
              <w:t>工程结束后，由建设单位决定是否进行下一步施工计划，若无开采价值，则由建设单位决定井场设备全部搬迁。设备搬迁完成后即对场地内设施进行拆除，如清除场地碎石、拆除硬化地面及设备基础、拆除</w:t>
            </w:r>
            <w:r>
              <w:rPr>
                <w:rFonts w:hint="eastAsia"/>
                <w:szCs w:val="24"/>
              </w:rPr>
              <w:t>生态一体化厕所</w:t>
            </w:r>
            <w:r>
              <w:rPr>
                <w:szCs w:val="24"/>
              </w:rPr>
              <w:t>等。由此将产生场地碎石、硬化地面及防渗、</w:t>
            </w:r>
            <w:r>
              <w:rPr>
                <w:rFonts w:hint="eastAsia"/>
                <w:szCs w:val="24"/>
              </w:rPr>
              <w:t>生态一体化厕所</w:t>
            </w:r>
            <w:r>
              <w:rPr>
                <w:szCs w:val="24"/>
              </w:rPr>
              <w:t>等设施拆除废物，作为建筑废渣处理。</w:t>
            </w:r>
          </w:p>
          <w:p>
            <w:pPr>
              <w:pStyle w:val="204"/>
              <w:spacing w:line="360" w:lineRule="auto"/>
              <w:ind w:firstLine="480"/>
              <w:rPr>
                <w:szCs w:val="24"/>
              </w:rPr>
            </w:pPr>
            <w:r>
              <w:rPr>
                <w:szCs w:val="24"/>
              </w:rPr>
              <w:t>（1）临时用地先清除地表的建筑，再用井场、</w:t>
            </w:r>
            <w:r>
              <w:rPr>
                <w:rFonts w:hint="eastAsia"/>
                <w:szCs w:val="24"/>
              </w:rPr>
              <w:t>废水池</w:t>
            </w:r>
            <w:r>
              <w:rPr>
                <w:szCs w:val="24"/>
              </w:rPr>
              <w:t>和填埋池建设时的表层土作为种植土，进行植被恢复。恢复流程为：钻井完成→拆除建（构）筑物→清理场地→人工松土→将土覆盖→整理摊铺耕植土方→交付农民复耕。</w:t>
            </w:r>
          </w:p>
          <w:p>
            <w:pPr>
              <w:pStyle w:val="204"/>
              <w:spacing w:line="360" w:lineRule="auto"/>
              <w:ind w:firstLine="480"/>
              <w:rPr>
                <w:szCs w:val="24"/>
              </w:rPr>
            </w:pPr>
            <w:r>
              <w:rPr>
                <w:szCs w:val="24"/>
              </w:rPr>
              <w:t>（2）油气测试完毕后，拆除放喷池周围的砖墙，并进行回收。</w:t>
            </w:r>
            <w:r>
              <w:rPr>
                <w:rFonts w:hint="eastAsia"/>
                <w:szCs w:val="24"/>
              </w:rPr>
              <w:t>采</w:t>
            </w:r>
            <w:r>
              <w:rPr>
                <w:szCs w:val="24"/>
              </w:rPr>
              <w:t>用井场和</w:t>
            </w:r>
            <w:r>
              <w:rPr>
                <w:rFonts w:hint="eastAsia"/>
                <w:szCs w:val="24"/>
              </w:rPr>
              <w:t>废水池</w:t>
            </w:r>
            <w:r>
              <w:rPr>
                <w:szCs w:val="24"/>
              </w:rPr>
              <w:t>建设时的表层土进行覆盖，然后进行植被的恢复。根据现场调查情况看，放喷池占地为水田，工程完工后可进行土地功能的恢复。</w:t>
            </w:r>
          </w:p>
          <w:p>
            <w:pPr>
              <w:pStyle w:val="204"/>
              <w:spacing w:line="360" w:lineRule="auto"/>
              <w:ind w:firstLine="480"/>
              <w:rPr>
                <w:szCs w:val="24"/>
              </w:rPr>
            </w:pPr>
            <w:r>
              <w:rPr>
                <w:szCs w:val="24"/>
              </w:rPr>
              <w:t>（3）人工拆除临时占地基础。将井场建设保留的耕植土直接摊铺覆盖于场面上，然后进行植被的恢复，可进行农业生产，也可种植经济林木等。</w:t>
            </w:r>
          </w:p>
          <w:p>
            <w:pPr>
              <w:pStyle w:val="204"/>
              <w:spacing w:line="360" w:lineRule="auto"/>
              <w:ind w:firstLine="480"/>
              <w:rPr>
                <w:szCs w:val="24"/>
              </w:rPr>
            </w:pPr>
            <w:r>
              <w:rPr>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4"/>
              <w:spacing w:line="360" w:lineRule="auto"/>
              <w:ind w:firstLine="480"/>
              <w:rPr>
                <w:szCs w:val="24"/>
              </w:rPr>
            </w:pPr>
            <w:r>
              <w:rPr>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w:t>
            </w:r>
            <w:r>
              <w:rPr>
                <w:rFonts w:hint="eastAsia"/>
                <w:szCs w:val="24"/>
              </w:rPr>
              <w:t>废水池</w:t>
            </w:r>
            <w:r>
              <w:rPr>
                <w:szCs w:val="24"/>
              </w:rPr>
              <w:t>等池类表面覆土回填，种植普通杂草绿化恢复生态，并设置标志，禁止用于种植深根系农作物。</w:t>
            </w:r>
          </w:p>
          <w:p>
            <w:pPr>
              <w:pStyle w:val="204"/>
              <w:spacing w:line="360" w:lineRule="auto"/>
              <w:ind w:firstLine="0" w:firstLineChars="0"/>
              <w:rPr>
                <w:b/>
                <w:kern w:val="2"/>
                <w:szCs w:val="24"/>
              </w:rPr>
            </w:pPr>
            <w:r>
              <w:rPr>
                <w:b/>
                <w:kern w:val="2"/>
                <w:szCs w:val="24"/>
              </w:rPr>
              <w:t>5.7.3生态恢复方案</w:t>
            </w:r>
          </w:p>
          <w:p>
            <w:pPr>
              <w:pStyle w:val="204"/>
              <w:spacing w:line="360" w:lineRule="auto"/>
              <w:ind w:firstLine="480"/>
              <w:rPr>
                <w:szCs w:val="24"/>
              </w:rPr>
            </w:pPr>
            <w:r>
              <w:rPr>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4"/>
              <w:spacing w:line="360" w:lineRule="auto"/>
              <w:ind w:firstLine="0" w:firstLineChars="0"/>
              <w:rPr>
                <w:b/>
                <w:kern w:val="2"/>
                <w:szCs w:val="24"/>
              </w:rPr>
            </w:pPr>
            <w:r>
              <w:rPr>
                <w:b/>
                <w:kern w:val="2"/>
                <w:szCs w:val="24"/>
              </w:rPr>
              <w:t>5.7.4土地复垦</w:t>
            </w:r>
          </w:p>
          <w:p>
            <w:pPr>
              <w:pStyle w:val="204"/>
              <w:spacing w:line="360" w:lineRule="auto"/>
              <w:ind w:firstLine="480"/>
              <w:rPr>
                <w:szCs w:val="24"/>
              </w:rPr>
            </w:pPr>
            <w:r>
              <w:rPr>
                <w:szCs w:val="24"/>
              </w:rPr>
              <w:t>（1）复垦方向：总体全面复垦为旱地、水田，对边坡等不局部复垦耕地条件的种植草本植物恢复生态。</w:t>
            </w:r>
          </w:p>
          <w:p>
            <w:pPr>
              <w:pStyle w:val="204"/>
              <w:spacing w:line="360" w:lineRule="auto"/>
              <w:ind w:firstLine="480"/>
              <w:rPr>
                <w:szCs w:val="24"/>
              </w:rPr>
            </w:pPr>
            <w:r>
              <w:rPr>
                <w:szCs w:val="24"/>
              </w:rPr>
              <w:t>（2）复垦率及工期、植被恢复期。复垦率100%，钻井完工后进行复垦，施工期3个月。复垦种植恢复期2年。</w:t>
            </w:r>
          </w:p>
          <w:p>
            <w:pPr>
              <w:pStyle w:val="204"/>
              <w:spacing w:line="360" w:lineRule="auto"/>
              <w:ind w:firstLine="480"/>
              <w:rPr>
                <w:szCs w:val="24"/>
              </w:rPr>
            </w:pPr>
            <w:r>
              <w:rPr>
                <w:szCs w:val="24"/>
              </w:rPr>
              <w:t>（3）复垦土壤：主要采用临时表土堆场耕植土以及其他临时占地原有耕植土。</w:t>
            </w:r>
          </w:p>
          <w:p>
            <w:pPr>
              <w:pStyle w:val="204"/>
              <w:spacing w:line="360" w:lineRule="auto"/>
              <w:ind w:firstLine="480"/>
              <w:rPr>
                <w:szCs w:val="24"/>
              </w:rPr>
            </w:pPr>
            <w:r>
              <w:rPr>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及井场外的油水罐区、泥浆罐区、生活区、放喷坑、耕植土堆放区、清洁生产操作平台、岩屑堆放区、</w:t>
            </w:r>
            <w:r>
              <w:rPr>
                <w:rFonts w:hint="eastAsia"/>
                <w:szCs w:val="24"/>
              </w:rPr>
              <w:t>废水池</w:t>
            </w:r>
            <w:r>
              <w:rPr>
                <w:szCs w:val="24"/>
              </w:rPr>
              <w:t>以及边坡等。</w:t>
            </w:r>
          </w:p>
          <w:p>
            <w:pPr>
              <w:pStyle w:val="204"/>
              <w:spacing w:line="360" w:lineRule="auto"/>
              <w:ind w:firstLine="480"/>
              <w:rPr>
                <w:szCs w:val="24"/>
              </w:rPr>
            </w:pPr>
            <w:r>
              <w:rPr>
                <w:szCs w:val="24"/>
              </w:rPr>
              <w:t>（5）复垦要求：对土壤进行翻耕、平整及培肥改良。满足《土地复垦质量控制标准》（TD/T1036-2013）中规定的要求。</w:t>
            </w:r>
          </w:p>
          <w:p>
            <w:pPr>
              <w:pStyle w:val="204"/>
              <w:spacing w:line="360" w:lineRule="auto"/>
              <w:ind w:firstLine="480"/>
              <w:rPr>
                <w:szCs w:val="24"/>
              </w:rPr>
            </w:pPr>
            <w:r>
              <w:rPr>
                <w:szCs w:val="24"/>
              </w:rPr>
              <w:t>（6）临时用地先清除地表的建筑，再用井场建设时的表层土作为种植土，进行植被恢复。恢复流程为：钻井完成→拆除建（构）筑物→清理场地→人工松土→将土覆盖→整理摊铺耕植土方→交付农民复耕。</w:t>
            </w:r>
          </w:p>
          <w:p>
            <w:pPr>
              <w:pStyle w:val="204"/>
              <w:spacing w:line="360" w:lineRule="auto"/>
              <w:ind w:firstLine="480"/>
              <w:rPr>
                <w:szCs w:val="24"/>
              </w:rPr>
            </w:pPr>
            <w:r>
              <w:rPr>
                <w:szCs w:val="24"/>
              </w:rPr>
              <w:t>（7）完钻后及时对临时设施（生活区）进行生态恢复，可恢复为旱地。</w:t>
            </w:r>
          </w:p>
          <w:p>
            <w:pPr>
              <w:pStyle w:val="204"/>
              <w:spacing w:line="360" w:lineRule="auto"/>
              <w:ind w:firstLine="480"/>
              <w:rPr>
                <w:b/>
                <w:szCs w:val="24"/>
              </w:rPr>
            </w:pPr>
            <w:r>
              <w:rPr>
                <w:szCs w:val="24"/>
              </w:rPr>
              <w:t>施工结束后，生态环境能够得到恢复，对生态环境的影响可接受，且拟采取措施较为成熟，简单可行</w:t>
            </w:r>
            <w:r>
              <w:rPr>
                <w:b/>
                <w:szCs w:val="24"/>
              </w:rPr>
              <w:t>。</w:t>
            </w:r>
          </w:p>
          <w:p>
            <w:pPr>
              <w:spacing w:line="360" w:lineRule="auto"/>
              <w:rPr>
                <w:b/>
                <w:bCs/>
                <w:sz w:val="24"/>
              </w:rPr>
            </w:pPr>
            <w:r>
              <w:rPr>
                <w:b/>
                <w:bCs/>
                <w:sz w:val="24"/>
              </w:rPr>
              <w:t>5.8环境管理与监测计划</w:t>
            </w:r>
          </w:p>
          <w:p>
            <w:pPr>
              <w:adjustRightInd w:val="0"/>
              <w:snapToGrid w:val="0"/>
              <w:spacing w:line="360" w:lineRule="auto"/>
              <w:ind w:firstLine="520" w:firstLineChars="200"/>
              <w:rPr>
                <w:bCs/>
                <w:spacing w:val="10"/>
                <w:sz w:val="24"/>
              </w:rPr>
            </w:pPr>
            <w:r>
              <w:rPr>
                <w:bCs/>
                <w:spacing w:val="10"/>
                <w:sz w:val="24"/>
              </w:rPr>
              <w:t>根据《排污单位自行监测技术指南</w:t>
            </w:r>
            <w:r>
              <w:rPr>
                <w:rFonts w:hint="eastAsia"/>
                <w:bCs/>
                <w:spacing w:val="10"/>
                <w:sz w:val="24"/>
              </w:rPr>
              <w:t xml:space="preserve"> </w:t>
            </w:r>
            <w:r>
              <w:rPr>
                <w:bCs/>
                <w:spacing w:val="10"/>
                <w:sz w:val="24"/>
              </w:rPr>
              <w:t>总则》</w:t>
            </w:r>
            <w:r>
              <w:rPr>
                <w:rFonts w:hint="eastAsia"/>
                <w:bCs/>
                <w:spacing w:val="10"/>
                <w:sz w:val="24"/>
              </w:rPr>
              <w:t>（HJ819-2017）、参照《排污单位自行监测技术指南 陆上石油天然气开采工业》 (HJ1248-2022) 要求</w:t>
            </w:r>
            <w:r>
              <w:rPr>
                <w:bCs/>
                <w:spacing w:val="10"/>
                <w:sz w:val="24"/>
              </w:rPr>
              <w:t>和相关地下水、土壤导则要求，结合环评预计的环境影响情况，制定监测计划如下</w:t>
            </w:r>
            <w:r>
              <w:rPr>
                <w:rFonts w:hint="eastAsia"/>
                <w:bCs/>
                <w:spacing w:val="10"/>
                <w:sz w:val="24"/>
              </w:rPr>
              <w:t>。</w:t>
            </w:r>
          </w:p>
          <w:p>
            <w:pPr>
              <w:pStyle w:val="213"/>
              <w:ind w:firstLine="0" w:firstLineChars="0"/>
              <w:jc w:val="center"/>
              <w:rPr>
                <w:b/>
                <w:szCs w:val="24"/>
              </w:rPr>
            </w:pPr>
            <w:r>
              <w:rPr>
                <w:b/>
                <w:szCs w:val="24"/>
              </w:rPr>
              <w:t>表5-</w:t>
            </w:r>
            <w:r>
              <w:rPr>
                <w:rFonts w:hint="eastAsia"/>
                <w:b/>
                <w:szCs w:val="24"/>
                <w:lang w:val="en-US" w:eastAsia="zh-CN"/>
              </w:rPr>
              <w:t>3</w:t>
            </w:r>
            <w:r>
              <w:rPr>
                <w:b/>
                <w:szCs w:val="24"/>
              </w:rPr>
              <w:t xml:space="preserve">  环境监测计划一览表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0"/>
              <w:gridCol w:w="498"/>
              <w:gridCol w:w="1404"/>
              <w:gridCol w:w="1342"/>
              <w:gridCol w:w="2792"/>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gridSpan w:val="2"/>
                  <w:tcBorders>
                    <w:tl2br w:val="nil"/>
                    <w:tr2bl w:val="nil"/>
                  </w:tcBorders>
                  <w:vAlign w:val="center"/>
                </w:tcPr>
                <w:p>
                  <w:pPr>
                    <w:snapToGrid w:val="0"/>
                    <w:jc w:val="center"/>
                    <w:rPr>
                      <w:b/>
                      <w:szCs w:val="21"/>
                    </w:rPr>
                  </w:pPr>
                  <w:r>
                    <w:rPr>
                      <w:b/>
                      <w:szCs w:val="21"/>
                    </w:rPr>
                    <w:t>类别</w:t>
                  </w:r>
                </w:p>
              </w:tc>
              <w:tc>
                <w:tcPr>
                  <w:tcW w:w="855" w:type="pct"/>
                  <w:tcBorders>
                    <w:tl2br w:val="nil"/>
                    <w:tr2bl w:val="nil"/>
                  </w:tcBorders>
                  <w:vAlign w:val="center"/>
                </w:tcPr>
                <w:p>
                  <w:pPr>
                    <w:snapToGrid w:val="0"/>
                    <w:jc w:val="center"/>
                    <w:rPr>
                      <w:b/>
                      <w:szCs w:val="21"/>
                    </w:rPr>
                  </w:pPr>
                  <w:r>
                    <w:rPr>
                      <w:b/>
                      <w:szCs w:val="21"/>
                    </w:rPr>
                    <w:t>监测点位</w:t>
                  </w:r>
                </w:p>
              </w:tc>
              <w:tc>
                <w:tcPr>
                  <w:tcW w:w="817" w:type="pct"/>
                  <w:tcBorders>
                    <w:tl2br w:val="nil"/>
                    <w:tr2bl w:val="nil"/>
                  </w:tcBorders>
                  <w:vAlign w:val="center"/>
                </w:tcPr>
                <w:p>
                  <w:pPr>
                    <w:snapToGrid w:val="0"/>
                    <w:jc w:val="center"/>
                    <w:rPr>
                      <w:b/>
                      <w:szCs w:val="21"/>
                    </w:rPr>
                  </w:pPr>
                  <w:r>
                    <w:rPr>
                      <w:b/>
                      <w:szCs w:val="21"/>
                    </w:rPr>
                    <w:t>监测位置</w:t>
                  </w:r>
                </w:p>
              </w:tc>
              <w:tc>
                <w:tcPr>
                  <w:tcW w:w="1700" w:type="pct"/>
                  <w:tcBorders>
                    <w:tl2br w:val="nil"/>
                    <w:tr2bl w:val="nil"/>
                  </w:tcBorders>
                  <w:vAlign w:val="center"/>
                </w:tcPr>
                <w:p>
                  <w:pPr>
                    <w:snapToGrid w:val="0"/>
                    <w:jc w:val="center"/>
                    <w:rPr>
                      <w:b/>
                      <w:szCs w:val="21"/>
                    </w:rPr>
                  </w:pPr>
                  <w:r>
                    <w:rPr>
                      <w:b/>
                      <w:szCs w:val="21"/>
                    </w:rPr>
                    <w:t>监测项目</w:t>
                  </w:r>
                </w:p>
              </w:tc>
              <w:tc>
                <w:tcPr>
                  <w:tcW w:w="1085" w:type="pct"/>
                  <w:tcBorders>
                    <w:tl2br w:val="nil"/>
                    <w:tr2bl w:val="nil"/>
                  </w:tcBorders>
                  <w:vAlign w:val="center"/>
                </w:tcPr>
                <w:p>
                  <w:pPr>
                    <w:snapToGrid w:val="0"/>
                    <w:jc w:val="center"/>
                    <w:rPr>
                      <w:b/>
                      <w:szCs w:val="21"/>
                    </w:rPr>
                  </w:pPr>
                  <w:r>
                    <w:rPr>
                      <w:b/>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 w:type="pct"/>
                  <w:tcBorders>
                    <w:tl2br w:val="nil"/>
                    <w:tr2bl w:val="nil"/>
                  </w:tcBorders>
                  <w:vAlign w:val="center"/>
                </w:tcPr>
                <w:p>
                  <w:pPr>
                    <w:snapToGrid w:val="0"/>
                    <w:jc w:val="center"/>
                    <w:rPr>
                      <w:szCs w:val="21"/>
                    </w:rPr>
                  </w:pPr>
                  <w:r>
                    <w:rPr>
                      <w:szCs w:val="21"/>
                    </w:rPr>
                    <w:t>噪声</w:t>
                  </w:r>
                </w:p>
              </w:tc>
              <w:tc>
                <w:tcPr>
                  <w:tcW w:w="303" w:type="pct"/>
                  <w:tcBorders>
                    <w:tl2br w:val="nil"/>
                    <w:tr2bl w:val="nil"/>
                  </w:tcBorders>
                  <w:vAlign w:val="center"/>
                </w:tcPr>
                <w:p>
                  <w:pPr>
                    <w:snapToGrid w:val="0"/>
                    <w:jc w:val="center"/>
                    <w:rPr>
                      <w:szCs w:val="21"/>
                    </w:rPr>
                  </w:pPr>
                  <w:r>
                    <w:rPr>
                      <w:szCs w:val="21"/>
                    </w:rPr>
                    <w:t>井站</w:t>
                  </w:r>
                </w:p>
              </w:tc>
              <w:tc>
                <w:tcPr>
                  <w:tcW w:w="855" w:type="pct"/>
                  <w:tcBorders>
                    <w:tl2br w:val="nil"/>
                    <w:tr2bl w:val="nil"/>
                  </w:tcBorders>
                  <w:vAlign w:val="center"/>
                </w:tcPr>
                <w:p>
                  <w:pPr>
                    <w:snapToGrid w:val="0"/>
                    <w:jc w:val="center"/>
                    <w:rPr>
                      <w:szCs w:val="21"/>
                    </w:rPr>
                  </w:pPr>
                  <w:r>
                    <w:rPr>
                      <w:szCs w:val="21"/>
                    </w:rPr>
                    <w:t>井站外1m处和居民点处各设置1个点位</w:t>
                  </w:r>
                </w:p>
              </w:tc>
              <w:tc>
                <w:tcPr>
                  <w:tcW w:w="817" w:type="pct"/>
                  <w:tcBorders>
                    <w:tl2br w:val="nil"/>
                    <w:tr2bl w:val="nil"/>
                  </w:tcBorders>
                  <w:vAlign w:val="center"/>
                </w:tcPr>
                <w:p>
                  <w:pPr>
                    <w:snapToGrid w:val="0"/>
                    <w:jc w:val="center"/>
                    <w:rPr>
                      <w:szCs w:val="21"/>
                    </w:rPr>
                  </w:pPr>
                  <w:r>
                    <w:rPr>
                      <w:szCs w:val="21"/>
                    </w:rPr>
                    <w:t>场界和</w:t>
                  </w:r>
                  <w:r>
                    <w:rPr>
                      <w:rFonts w:hint="eastAsia"/>
                      <w:szCs w:val="21"/>
                    </w:rPr>
                    <w:t>最近</w:t>
                  </w:r>
                  <w:r>
                    <w:rPr>
                      <w:szCs w:val="21"/>
                    </w:rPr>
                    <w:t>居民点处</w:t>
                  </w:r>
                </w:p>
              </w:tc>
              <w:tc>
                <w:tcPr>
                  <w:tcW w:w="1700" w:type="pct"/>
                  <w:tcBorders>
                    <w:tl2br w:val="nil"/>
                    <w:tr2bl w:val="nil"/>
                  </w:tcBorders>
                  <w:vAlign w:val="center"/>
                </w:tcPr>
                <w:p>
                  <w:pPr>
                    <w:snapToGrid w:val="0"/>
                    <w:jc w:val="center"/>
                    <w:rPr>
                      <w:szCs w:val="21"/>
                    </w:rPr>
                  </w:pPr>
                  <w:r>
                    <w:rPr>
                      <w:szCs w:val="21"/>
                    </w:rPr>
                    <w:t>等效连续A声级</w:t>
                  </w:r>
                </w:p>
              </w:tc>
              <w:tc>
                <w:tcPr>
                  <w:tcW w:w="1085" w:type="pct"/>
                  <w:tcBorders>
                    <w:tl2br w:val="nil"/>
                    <w:tr2bl w:val="nil"/>
                  </w:tcBorders>
                  <w:vAlign w:val="center"/>
                </w:tcPr>
                <w:p>
                  <w:pPr>
                    <w:snapToGrid w:val="0"/>
                    <w:jc w:val="center"/>
                    <w:rPr>
                      <w:szCs w:val="21"/>
                    </w:rPr>
                  </w:pPr>
                  <w:r>
                    <w:rPr>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 w:type="pct"/>
                  <w:vMerge w:val="restart"/>
                  <w:tcBorders>
                    <w:tl2br w:val="nil"/>
                    <w:tr2bl w:val="nil"/>
                  </w:tcBorders>
                  <w:vAlign w:val="center"/>
                </w:tcPr>
                <w:p>
                  <w:pPr>
                    <w:snapToGrid w:val="0"/>
                    <w:jc w:val="center"/>
                    <w:rPr>
                      <w:szCs w:val="21"/>
                    </w:rPr>
                  </w:pPr>
                  <w:r>
                    <w:rPr>
                      <w:szCs w:val="21"/>
                    </w:rPr>
                    <w:t>地下水</w:t>
                  </w:r>
                </w:p>
              </w:tc>
              <w:tc>
                <w:tcPr>
                  <w:tcW w:w="303" w:type="pct"/>
                  <w:vMerge w:val="restart"/>
                  <w:tcBorders>
                    <w:tl2br w:val="nil"/>
                    <w:tr2bl w:val="nil"/>
                  </w:tcBorders>
                  <w:vAlign w:val="center"/>
                </w:tcPr>
                <w:p>
                  <w:pPr>
                    <w:snapToGrid w:val="0"/>
                    <w:jc w:val="center"/>
                    <w:rPr>
                      <w:szCs w:val="21"/>
                    </w:rPr>
                  </w:pPr>
                  <w:r>
                    <w:rPr>
                      <w:szCs w:val="21"/>
                    </w:rPr>
                    <w:t>水井</w:t>
                  </w:r>
                </w:p>
              </w:tc>
              <w:tc>
                <w:tcPr>
                  <w:tcW w:w="855" w:type="pct"/>
                  <w:tcBorders>
                    <w:tl2br w:val="nil"/>
                    <w:tr2bl w:val="nil"/>
                  </w:tcBorders>
                  <w:vAlign w:val="center"/>
                </w:tcPr>
                <w:p>
                  <w:pPr>
                    <w:widowControl/>
                    <w:jc w:val="center"/>
                    <w:rPr>
                      <w:szCs w:val="21"/>
                    </w:rPr>
                  </w:pPr>
                  <w:r>
                    <w:rPr>
                      <w:szCs w:val="21"/>
                    </w:rPr>
                    <w:t>1#监测点</w:t>
                  </w:r>
                </w:p>
              </w:tc>
              <w:tc>
                <w:tcPr>
                  <w:tcW w:w="817" w:type="pct"/>
                  <w:tcBorders>
                    <w:tl2br w:val="nil"/>
                    <w:tr2bl w:val="nil"/>
                  </w:tcBorders>
                  <w:vAlign w:val="center"/>
                </w:tcPr>
                <w:p>
                  <w:pPr>
                    <w:pStyle w:val="53"/>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107.512245</w:t>
                  </w:r>
                  <w:r>
                    <w:rPr>
                      <w:rFonts w:hint="eastAsia" w:ascii="Times New Roman" w:hAnsi="Times New Roman" w:eastAsia="宋体" w:cs="Times New Roman"/>
                      <w:color w:val="auto"/>
                      <w:sz w:val="21"/>
                      <w:szCs w:val="21"/>
                    </w:rPr>
                    <w:t>，31.414677</w:t>
                  </w:r>
                </w:p>
              </w:tc>
              <w:tc>
                <w:tcPr>
                  <w:tcW w:w="1700" w:type="pct"/>
                  <w:vMerge w:val="restart"/>
                  <w:tcBorders>
                    <w:tl2br w:val="nil"/>
                    <w:tr2bl w:val="nil"/>
                  </w:tcBorders>
                  <w:vAlign w:val="center"/>
                </w:tcPr>
                <w:p>
                  <w:pPr>
                    <w:snapToGrid w:val="0"/>
                    <w:jc w:val="center"/>
                    <w:rPr>
                      <w:szCs w:val="21"/>
                    </w:rPr>
                  </w:pPr>
                  <w:r>
                    <w:rPr>
                      <w:szCs w:val="21"/>
                    </w:rPr>
                    <w:t>pH、石油类、石油烃（C</w:t>
                  </w:r>
                  <w:r>
                    <w:rPr>
                      <w:szCs w:val="21"/>
                      <w:vertAlign w:val="subscript"/>
                    </w:rPr>
                    <w:t>6</w:t>
                  </w:r>
                  <w:r>
                    <w:rPr>
                      <w:szCs w:val="21"/>
                    </w:rPr>
                    <w:t>~C</w:t>
                  </w:r>
                  <w:r>
                    <w:rPr>
                      <w:szCs w:val="21"/>
                      <w:vertAlign w:val="subscript"/>
                    </w:rPr>
                    <w:t>9</w:t>
                  </w:r>
                  <w:r>
                    <w:rPr>
                      <w:szCs w:val="21"/>
                    </w:rPr>
                    <w:t>）、石油烃（C</w:t>
                  </w:r>
                  <w:r>
                    <w:rPr>
                      <w:szCs w:val="21"/>
                      <w:vertAlign w:val="subscript"/>
                    </w:rPr>
                    <w:t>10</w:t>
                  </w:r>
                  <w:r>
                    <w:rPr>
                      <w:szCs w:val="21"/>
                    </w:rPr>
                    <w:t>~C</w:t>
                  </w:r>
                  <w:r>
                    <w:rPr>
                      <w:szCs w:val="21"/>
                      <w:vertAlign w:val="subscript"/>
                    </w:rPr>
                    <w:t>40</w:t>
                  </w:r>
                  <w:r>
                    <w:rPr>
                      <w:szCs w:val="21"/>
                    </w:rPr>
                    <w:t>）、</w:t>
                  </w:r>
                  <w:r>
                    <w:rPr>
                      <w:rFonts w:hint="eastAsia"/>
                      <w:szCs w:val="21"/>
                    </w:rPr>
                    <w:t>钡、</w:t>
                  </w:r>
                  <w:r>
                    <w:rPr>
                      <w:szCs w:val="21"/>
                    </w:rPr>
                    <w:t>汞、砷、六价铬</w:t>
                  </w:r>
                </w:p>
              </w:tc>
              <w:tc>
                <w:tcPr>
                  <w:tcW w:w="1085" w:type="pct"/>
                  <w:vMerge w:val="restart"/>
                  <w:tcBorders>
                    <w:tl2br w:val="nil"/>
                    <w:tr2bl w:val="nil"/>
                  </w:tcBorders>
                  <w:vAlign w:val="center"/>
                </w:tcPr>
                <w:p>
                  <w:pPr>
                    <w:snapToGrid w:val="0"/>
                    <w:jc w:val="center"/>
                    <w:rPr>
                      <w:szCs w:val="21"/>
                    </w:rPr>
                  </w:pPr>
                  <w:r>
                    <w:rPr>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8" w:type="pct"/>
                  <w:vMerge w:val="continue"/>
                  <w:tcBorders>
                    <w:tl2br w:val="nil"/>
                    <w:tr2bl w:val="nil"/>
                  </w:tcBorders>
                  <w:vAlign w:val="center"/>
                </w:tcPr>
                <w:p>
                  <w:pPr>
                    <w:widowControl/>
                    <w:jc w:val="center"/>
                    <w:rPr>
                      <w:szCs w:val="21"/>
                    </w:rPr>
                  </w:pPr>
                </w:p>
              </w:tc>
              <w:tc>
                <w:tcPr>
                  <w:tcW w:w="303" w:type="pct"/>
                  <w:vMerge w:val="continue"/>
                  <w:tcBorders>
                    <w:tl2br w:val="nil"/>
                    <w:tr2bl w:val="nil"/>
                  </w:tcBorders>
                  <w:vAlign w:val="center"/>
                </w:tcPr>
                <w:p>
                  <w:pPr>
                    <w:widowControl/>
                    <w:jc w:val="center"/>
                    <w:rPr>
                      <w:szCs w:val="21"/>
                    </w:rPr>
                  </w:pPr>
                </w:p>
              </w:tc>
              <w:tc>
                <w:tcPr>
                  <w:tcW w:w="855" w:type="pct"/>
                  <w:tcBorders>
                    <w:tl2br w:val="nil"/>
                    <w:tr2bl w:val="nil"/>
                  </w:tcBorders>
                  <w:vAlign w:val="center"/>
                </w:tcPr>
                <w:p>
                  <w:pPr>
                    <w:widowControl/>
                    <w:jc w:val="center"/>
                    <w:rPr>
                      <w:szCs w:val="21"/>
                    </w:rPr>
                  </w:pPr>
                  <w:r>
                    <w:rPr>
                      <w:rFonts w:hint="eastAsia"/>
                      <w:szCs w:val="21"/>
                    </w:rPr>
                    <w:t>2</w:t>
                  </w:r>
                  <w:r>
                    <w:rPr>
                      <w:szCs w:val="21"/>
                    </w:rPr>
                    <w:t>#监测点</w:t>
                  </w:r>
                </w:p>
              </w:tc>
              <w:tc>
                <w:tcPr>
                  <w:tcW w:w="817" w:type="pct"/>
                  <w:tcBorders>
                    <w:tl2br w:val="nil"/>
                    <w:tr2bl w:val="nil"/>
                  </w:tcBorders>
                  <w:vAlign w:val="center"/>
                </w:tcPr>
                <w:p>
                  <w:pPr>
                    <w:pStyle w:val="53"/>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107.517347</w:t>
                  </w:r>
                  <w:r>
                    <w:rPr>
                      <w:rFonts w:hint="eastAsia" w:ascii="Times New Roman" w:hAnsi="Times New Roman" w:eastAsia="宋体" w:cs="Times New Roman"/>
                      <w:color w:val="auto"/>
                      <w:sz w:val="21"/>
                      <w:szCs w:val="21"/>
                    </w:rPr>
                    <w:t>，31.407035</w:t>
                  </w:r>
                </w:p>
              </w:tc>
              <w:tc>
                <w:tcPr>
                  <w:tcW w:w="1700" w:type="pct"/>
                  <w:vMerge w:val="continue"/>
                  <w:tcBorders>
                    <w:tl2br w:val="nil"/>
                    <w:tr2bl w:val="nil"/>
                  </w:tcBorders>
                  <w:vAlign w:val="center"/>
                </w:tcPr>
                <w:p>
                  <w:pPr>
                    <w:widowControl/>
                    <w:jc w:val="center"/>
                    <w:rPr>
                      <w:szCs w:val="21"/>
                    </w:rPr>
                  </w:pPr>
                </w:p>
              </w:tc>
              <w:tc>
                <w:tcPr>
                  <w:tcW w:w="1085" w:type="pct"/>
                  <w:vMerge w:val="continue"/>
                  <w:tcBorders>
                    <w:tl2br w:val="nil"/>
                    <w:tr2bl w:val="nil"/>
                  </w:tcBorders>
                  <w:vAlign w:val="center"/>
                </w:tcPr>
                <w:p>
                  <w:pPr>
                    <w:widowControl/>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gridSpan w:val="2"/>
                  <w:tcBorders>
                    <w:tl2br w:val="nil"/>
                    <w:tr2bl w:val="nil"/>
                  </w:tcBorders>
                  <w:vAlign w:val="center"/>
                </w:tcPr>
                <w:p>
                  <w:pPr>
                    <w:snapToGrid w:val="0"/>
                    <w:jc w:val="center"/>
                    <w:rPr>
                      <w:szCs w:val="21"/>
                    </w:rPr>
                  </w:pPr>
                  <w:r>
                    <w:rPr>
                      <w:szCs w:val="21"/>
                    </w:rPr>
                    <w:t>土壤</w:t>
                  </w:r>
                </w:p>
              </w:tc>
              <w:tc>
                <w:tcPr>
                  <w:tcW w:w="855" w:type="pct"/>
                  <w:tcBorders>
                    <w:tl2br w:val="nil"/>
                    <w:tr2bl w:val="nil"/>
                  </w:tcBorders>
                  <w:vAlign w:val="center"/>
                </w:tcPr>
                <w:p>
                  <w:pPr>
                    <w:widowControl/>
                    <w:jc w:val="center"/>
                    <w:rPr>
                      <w:szCs w:val="21"/>
                    </w:rPr>
                  </w:pPr>
                  <w:r>
                    <w:rPr>
                      <w:szCs w:val="21"/>
                    </w:rPr>
                    <w:t>1个土壤监测点</w:t>
                  </w:r>
                </w:p>
              </w:tc>
              <w:tc>
                <w:tcPr>
                  <w:tcW w:w="817" w:type="pct"/>
                  <w:tcBorders>
                    <w:tl2br w:val="nil"/>
                    <w:tr2bl w:val="nil"/>
                  </w:tcBorders>
                  <w:vAlign w:val="center"/>
                </w:tcPr>
                <w:p>
                  <w:pPr>
                    <w:snapToGrid w:val="0"/>
                    <w:jc w:val="center"/>
                    <w:rPr>
                      <w:szCs w:val="21"/>
                    </w:rPr>
                  </w:pPr>
                  <w:r>
                    <w:rPr>
                      <w:szCs w:val="21"/>
                    </w:rPr>
                    <w:t>清洁化操作平台旁</w:t>
                  </w:r>
                </w:p>
              </w:tc>
              <w:tc>
                <w:tcPr>
                  <w:tcW w:w="1700" w:type="pct"/>
                  <w:tcBorders>
                    <w:tl2br w:val="nil"/>
                    <w:tr2bl w:val="nil"/>
                  </w:tcBorders>
                  <w:vAlign w:val="center"/>
                </w:tcPr>
                <w:p>
                  <w:pPr>
                    <w:snapToGrid w:val="0"/>
                    <w:jc w:val="center"/>
                    <w:rPr>
                      <w:szCs w:val="21"/>
                    </w:rPr>
                  </w:pPr>
                  <w:r>
                    <w:rPr>
                      <w:rFonts w:hint="eastAsia"/>
                      <w:szCs w:val="21"/>
                    </w:rPr>
                    <w:t>pH、</w:t>
                  </w:r>
                  <w:r>
                    <w:rPr>
                      <w:szCs w:val="21"/>
                    </w:rPr>
                    <w:t>石油类、石油烃（C</w:t>
                  </w:r>
                  <w:r>
                    <w:rPr>
                      <w:szCs w:val="21"/>
                      <w:vertAlign w:val="subscript"/>
                    </w:rPr>
                    <w:t>6</w:t>
                  </w:r>
                  <w:r>
                    <w:rPr>
                      <w:szCs w:val="21"/>
                    </w:rPr>
                    <w:t>~C</w:t>
                  </w:r>
                  <w:r>
                    <w:rPr>
                      <w:szCs w:val="21"/>
                      <w:vertAlign w:val="subscript"/>
                    </w:rPr>
                    <w:t>9</w:t>
                  </w:r>
                  <w:r>
                    <w:rPr>
                      <w:szCs w:val="21"/>
                    </w:rPr>
                    <w:t>）、石油烃（C</w:t>
                  </w:r>
                  <w:r>
                    <w:rPr>
                      <w:szCs w:val="21"/>
                      <w:vertAlign w:val="subscript"/>
                    </w:rPr>
                    <w:t>10</w:t>
                  </w:r>
                  <w:r>
                    <w:rPr>
                      <w:szCs w:val="21"/>
                    </w:rPr>
                    <w:t>~C</w:t>
                  </w:r>
                  <w:r>
                    <w:rPr>
                      <w:szCs w:val="21"/>
                      <w:vertAlign w:val="subscript"/>
                    </w:rPr>
                    <w:t>40</w:t>
                  </w:r>
                  <w:r>
                    <w:rPr>
                      <w:szCs w:val="21"/>
                    </w:rPr>
                    <w:t>）、汞、砷、六价铬</w:t>
                  </w:r>
                </w:p>
              </w:tc>
              <w:tc>
                <w:tcPr>
                  <w:tcW w:w="1085" w:type="pct"/>
                  <w:tcBorders>
                    <w:tl2br w:val="nil"/>
                    <w:tr2bl w:val="nil"/>
                  </w:tcBorders>
                  <w:vAlign w:val="center"/>
                </w:tcPr>
                <w:p>
                  <w:pPr>
                    <w:snapToGrid w:val="0"/>
                    <w:jc w:val="center"/>
                    <w:rPr>
                      <w:szCs w:val="21"/>
                    </w:rPr>
                  </w:pPr>
                  <w:r>
                    <w:rPr>
                      <w:szCs w:val="21"/>
                    </w:rPr>
                    <w:t>完工后验收监测1次，每次监测1天，每天采样1次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pPr>
                    <w:snapToGrid w:val="0"/>
                    <w:rPr>
                      <w:szCs w:val="21"/>
                    </w:rPr>
                  </w:pPr>
                  <w:r>
                    <w:rPr>
                      <w:szCs w:val="21"/>
                    </w:rPr>
                    <w:t>废水、固废：记录废水及各类固废产生量、处置量、储存量、危险废物详细记录具体去向</w:t>
                  </w:r>
                </w:p>
              </w:tc>
            </w:tr>
          </w:tbl>
          <w:p>
            <w:pPr>
              <w:spacing w:line="360" w:lineRule="auto"/>
              <w:ind w:firstLine="460" w:firstLineChars="200"/>
              <w:rPr>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adjustRightInd w:val="0"/>
              <w:snapToGrid w:val="0"/>
              <w:jc w:val="center"/>
              <w:rPr>
                <w:bCs/>
                <w:spacing w:val="10"/>
                <w:szCs w:val="21"/>
              </w:rPr>
            </w:pPr>
            <w:r>
              <w:rPr>
                <w:bCs/>
                <w:spacing w:val="10"/>
                <w:szCs w:val="21"/>
              </w:rPr>
              <w:t>运营期生态环境保护措施</w:t>
            </w:r>
          </w:p>
        </w:tc>
        <w:tc>
          <w:tcPr>
            <w:tcW w:w="8457" w:type="dxa"/>
            <w:vAlign w:val="center"/>
          </w:tcPr>
          <w:p>
            <w:pPr>
              <w:adjustRightInd w:val="0"/>
              <w:snapToGrid w:val="0"/>
              <w:rPr>
                <w:bCs/>
                <w:spacing w:val="10"/>
                <w:szCs w:val="21"/>
              </w:rPr>
            </w:pPr>
            <w:r>
              <w:rPr>
                <w:bCs/>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adjustRightInd w:val="0"/>
              <w:snapToGrid w:val="0"/>
              <w:jc w:val="center"/>
              <w:rPr>
                <w:bCs/>
                <w:spacing w:val="10"/>
                <w:szCs w:val="21"/>
              </w:rPr>
            </w:pPr>
            <w:r>
              <w:rPr>
                <w:bCs/>
                <w:szCs w:val="21"/>
              </w:rPr>
              <w:t>其他</w:t>
            </w:r>
          </w:p>
        </w:tc>
        <w:tc>
          <w:tcPr>
            <w:tcW w:w="8457" w:type="dxa"/>
            <w:vAlign w:val="center"/>
          </w:tcPr>
          <w:p>
            <w:pPr>
              <w:adjustRightInd w:val="0"/>
              <w:snapToGrid w:val="0"/>
              <w:rPr>
                <w:bCs/>
                <w:spacing w:val="10"/>
                <w:szCs w:val="21"/>
              </w:rPr>
            </w:pPr>
            <w:r>
              <w:rPr>
                <w:bCs/>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pPr>
              <w:adjustRightInd w:val="0"/>
              <w:snapToGrid w:val="0"/>
              <w:jc w:val="center"/>
              <w:rPr>
                <w:bCs/>
                <w:spacing w:val="10"/>
                <w:szCs w:val="21"/>
              </w:rPr>
            </w:pPr>
            <w:r>
              <w:rPr>
                <w:bCs/>
                <w:szCs w:val="21"/>
              </w:rPr>
              <w:t>环保投资</w:t>
            </w:r>
          </w:p>
        </w:tc>
        <w:tc>
          <w:tcPr>
            <w:tcW w:w="8457" w:type="dxa"/>
          </w:tcPr>
          <w:p>
            <w:pPr>
              <w:spacing w:line="360" w:lineRule="auto"/>
              <w:ind w:firstLine="480" w:firstLineChars="200"/>
              <w:rPr>
                <w:sz w:val="24"/>
              </w:rPr>
            </w:pPr>
            <w:r>
              <w:rPr>
                <w:sz w:val="24"/>
              </w:rPr>
              <w:t>本次钻井项目总投资</w:t>
            </w:r>
            <w:r>
              <w:rPr>
                <w:rFonts w:hint="eastAsia"/>
                <w:sz w:val="24"/>
              </w:rPr>
              <w:t>5000</w:t>
            </w:r>
            <w:r>
              <w:rPr>
                <w:sz w:val="24"/>
              </w:rPr>
              <w:t>万元，环保投资</w:t>
            </w:r>
            <w:r>
              <w:rPr>
                <w:rFonts w:hint="eastAsia"/>
                <w:sz w:val="24"/>
              </w:rPr>
              <w:t>173</w:t>
            </w:r>
            <w:r>
              <w:rPr>
                <w:sz w:val="24"/>
              </w:rPr>
              <w:t>万元，占总投资的</w:t>
            </w:r>
            <w:r>
              <w:rPr>
                <w:rFonts w:hint="eastAsia"/>
                <w:sz w:val="24"/>
              </w:rPr>
              <w:t>3.46</w:t>
            </w:r>
            <w:r>
              <w:rPr>
                <w:sz w:val="24"/>
              </w:rPr>
              <w:t>%。环保投资主要用于废水治理、固体废物处理、噪声污染防治，以及施工迹地生态恢复等，符合该项目的实际特点。环保投资一览表见下表。</w:t>
            </w:r>
          </w:p>
          <w:p>
            <w:pPr>
              <w:pStyle w:val="213"/>
              <w:ind w:firstLine="0" w:firstLineChars="0"/>
              <w:jc w:val="center"/>
              <w:rPr>
                <w:b/>
                <w:szCs w:val="24"/>
              </w:rPr>
            </w:pPr>
            <w:r>
              <w:rPr>
                <w:b/>
                <w:szCs w:val="24"/>
              </w:rPr>
              <w:t>表5-</w:t>
            </w:r>
            <w:r>
              <w:rPr>
                <w:rFonts w:hint="eastAsia"/>
                <w:b/>
                <w:szCs w:val="24"/>
                <w:lang w:val="en-US" w:eastAsia="zh-CN"/>
              </w:rPr>
              <w:t>4</w:t>
            </w:r>
            <w:r>
              <w:rPr>
                <w:b/>
                <w:szCs w:val="24"/>
              </w:rPr>
              <w:t xml:space="preserve">  项目环境保护措施与投资一览表</w:t>
            </w:r>
          </w:p>
          <w:tbl>
            <w:tblPr>
              <w:tblStyle w:val="44"/>
              <w:tblW w:w="8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175"/>
              <w:gridCol w:w="5355"/>
              <w:gridCol w:w="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nil"/>
                    <w:tr2bl w:val="nil"/>
                  </w:tcBorders>
                  <w:vAlign w:val="center"/>
                </w:tcPr>
                <w:p>
                  <w:pPr>
                    <w:pStyle w:val="24"/>
                    <w:adjustRightInd w:val="0"/>
                    <w:spacing w:before="0" w:beforeAutospacing="0" w:after="0" w:afterAutospacing="0"/>
                    <w:jc w:val="right"/>
                    <w:rPr>
                      <w:rFonts w:ascii="Times New Roman" w:hAnsi="Times New Roman"/>
                      <w:sz w:val="21"/>
                      <w:szCs w:val="21"/>
                    </w:rPr>
                  </w:pPr>
                  <w:r>
                    <w:rPr>
                      <w:rFonts w:ascii="Times New Roman" w:hAnsi="Times New Roman"/>
                      <w:sz w:val="21"/>
                      <w:szCs w:val="21"/>
                    </w:rPr>
                    <w:t>内容</w:t>
                  </w:r>
                </w:p>
                <w:p>
                  <w:pPr>
                    <w:pStyle w:val="24"/>
                    <w:adjustRightInd w:val="0"/>
                    <w:spacing w:before="0" w:beforeAutospacing="0" w:after="0" w:afterAutospacing="0"/>
                    <w:rPr>
                      <w:rFonts w:ascii="Times New Roman" w:hAnsi="Times New Roman"/>
                      <w:sz w:val="21"/>
                      <w:szCs w:val="21"/>
                    </w:rPr>
                  </w:pPr>
                  <w:r>
                    <w:rPr>
                      <w:rFonts w:ascii="Times New Roman" w:hAnsi="Times New Roman"/>
                      <w:sz w:val="21"/>
                      <w:szCs w:val="21"/>
                    </w:rPr>
                    <w:t>类型</w:t>
                  </w:r>
                </w:p>
              </w:tc>
              <w:tc>
                <w:tcPr>
                  <w:tcW w:w="1175" w:type="dxa"/>
                  <w:tcBorders>
                    <w:tl2br w:val="nil"/>
                    <w:tr2bl w:val="nil"/>
                  </w:tcBorders>
                  <w:vAlign w:val="center"/>
                </w:tcPr>
                <w:p>
                  <w:pPr>
                    <w:pStyle w:val="24"/>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污染物</w:t>
                  </w:r>
                </w:p>
                <w:p>
                  <w:pPr>
                    <w:pStyle w:val="24"/>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名称</w:t>
                  </w:r>
                </w:p>
              </w:tc>
              <w:tc>
                <w:tcPr>
                  <w:tcW w:w="5355" w:type="dxa"/>
                  <w:tcBorders>
                    <w:tl2br w:val="nil"/>
                    <w:tr2bl w:val="nil"/>
                  </w:tcBorders>
                  <w:vAlign w:val="center"/>
                </w:tcPr>
                <w:p>
                  <w:pPr>
                    <w:pStyle w:val="24"/>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防治措施</w:t>
                  </w:r>
                </w:p>
              </w:tc>
              <w:tc>
                <w:tcPr>
                  <w:tcW w:w="918" w:type="dxa"/>
                  <w:tcBorders>
                    <w:tl2br w:val="nil"/>
                    <w:tr2bl w:val="nil"/>
                  </w:tcBorders>
                  <w:vAlign w:val="center"/>
                </w:tcPr>
                <w:p>
                  <w:pPr>
                    <w:pStyle w:val="24"/>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投资</w:t>
                  </w:r>
                </w:p>
                <w:p>
                  <w:pPr>
                    <w:pStyle w:val="24"/>
                    <w:adjustRightInd w:val="0"/>
                    <w:spacing w:before="0" w:beforeAutospacing="0" w:after="0" w:afterAutospacing="0"/>
                    <w:jc w:val="center"/>
                    <w:rPr>
                      <w:rFonts w:ascii="Times New Roman" w:hAnsi="Times New Roman"/>
                      <w:sz w:val="21"/>
                      <w:szCs w:val="21"/>
                    </w:rPr>
                  </w:pPr>
                  <w:r>
                    <w:rPr>
                      <w:rFonts w:ascii="Times New Roman" w:hAnsi="Times New Roman"/>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水</w:t>
                  </w:r>
                </w:p>
                <w:p>
                  <w:pPr>
                    <w:pStyle w:val="20"/>
                    <w:adjustRightInd w:val="0"/>
                    <w:spacing w:before="0" w:after="0" w:line="240" w:lineRule="auto"/>
                    <w:ind w:right="0"/>
                    <w:jc w:val="center"/>
                    <w:rPr>
                      <w:sz w:val="21"/>
                      <w:szCs w:val="21"/>
                    </w:rPr>
                  </w:pPr>
                  <w:r>
                    <w:rPr>
                      <w:sz w:val="21"/>
                      <w:szCs w:val="21"/>
                    </w:rPr>
                    <w:t>污</w:t>
                  </w:r>
                </w:p>
                <w:p>
                  <w:pPr>
                    <w:pStyle w:val="20"/>
                    <w:adjustRightInd w:val="0"/>
                    <w:spacing w:before="0" w:after="0" w:line="240" w:lineRule="auto"/>
                    <w:ind w:right="0"/>
                    <w:jc w:val="center"/>
                    <w:rPr>
                      <w:sz w:val="21"/>
                      <w:szCs w:val="21"/>
                    </w:rPr>
                  </w:pPr>
                  <w:r>
                    <w:rPr>
                      <w:sz w:val="21"/>
                      <w:szCs w:val="21"/>
                    </w:rPr>
                    <w:t>染</w:t>
                  </w:r>
                </w:p>
                <w:p>
                  <w:pPr>
                    <w:pStyle w:val="20"/>
                    <w:adjustRightInd w:val="0"/>
                    <w:spacing w:before="0" w:after="0" w:line="240" w:lineRule="auto"/>
                    <w:ind w:right="0"/>
                    <w:jc w:val="center"/>
                    <w:rPr>
                      <w:sz w:val="21"/>
                      <w:szCs w:val="21"/>
                    </w:rPr>
                  </w:pPr>
                  <w:r>
                    <w:rPr>
                      <w:sz w:val="21"/>
                      <w:szCs w:val="21"/>
                    </w:rPr>
                    <w:t>物</w:t>
                  </w:r>
                </w:p>
              </w:tc>
              <w:tc>
                <w:tcPr>
                  <w:tcW w:w="1175" w:type="dxa"/>
                  <w:tcBorders>
                    <w:tl2br w:val="nil"/>
                    <w:tr2bl w:val="nil"/>
                  </w:tcBorders>
                  <w:vAlign w:val="center"/>
                </w:tcPr>
                <w:p>
                  <w:pPr>
                    <w:jc w:val="center"/>
                    <w:rPr>
                      <w:szCs w:val="21"/>
                    </w:rPr>
                  </w:pPr>
                  <w:r>
                    <w:rPr>
                      <w:szCs w:val="21"/>
                    </w:rPr>
                    <w:t>废水收集、清污分流</w:t>
                  </w:r>
                </w:p>
              </w:tc>
              <w:tc>
                <w:tcPr>
                  <w:tcW w:w="5355" w:type="dxa"/>
                  <w:tcBorders>
                    <w:tl2br w:val="nil"/>
                    <w:tr2bl w:val="nil"/>
                  </w:tcBorders>
                  <w:vAlign w:val="center"/>
                </w:tcPr>
                <w:p>
                  <w:pPr>
                    <w:adjustRightInd w:val="0"/>
                    <w:rPr>
                      <w:szCs w:val="21"/>
                    </w:rPr>
                  </w:pPr>
                  <w:r>
                    <w:rPr>
                      <w:szCs w:val="21"/>
                    </w:rPr>
                    <w:t>井场四周设置雨水排水沟，场外雨水随雨水沟排放；井场分为清洁区和产污区，通过挡墙隔离。清洁区雨水通过场地内的隔油池处理后外排。产污区雨水经排水沟汇入隔油池，经油水分离后油品回收，分离后废水泵入清洁生产操作平台废水罐处理回用</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pStyle w:val="294"/>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钻井废水处置</w:t>
                  </w:r>
                </w:p>
              </w:tc>
              <w:tc>
                <w:tcPr>
                  <w:tcW w:w="5355" w:type="dxa"/>
                  <w:tcBorders>
                    <w:tl2br w:val="nil"/>
                    <w:tr2bl w:val="nil"/>
                  </w:tcBorders>
                  <w:vAlign w:val="center"/>
                </w:tcPr>
                <w:p>
                  <w:pPr>
                    <w:rPr>
                      <w:kern w:val="0"/>
                      <w:szCs w:val="21"/>
                    </w:rPr>
                  </w:pPr>
                  <w:r>
                    <w:rPr>
                      <w:kern w:val="0"/>
                      <w:szCs w:val="21"/>
                    </w:rPr>
                    <w:t>钻井剩余废水、洗井废水储存在废水罐和</w:t>
                  </w:r>
                  <w:r>
                    <w:rPr>
                      <w:rFonts w:hint="eastAsia"/>
                      <w:kern w:val="0"/>
                      <w:szCs w:val="21"/>
                    </w:rPr>
                    <w:t>废水池</w:t>
                  </w:r>
                  <w:r>
                    <w:rPr>
                      <w:kern w:val="0"/>
                      <w:szCs w:val="21"/>
                    </w:rPr>
                    <w:t>中，用于配置压裂液。</w:t>
                  </w:r>
                  <w:r>
                    <w:rPr>
                      <w:rFonts w:hint="eastAsia"/>
                      <w:kern w:val="0"/>
                      <w:szCs w:val="21"/>
                    </w:rPr>
                    <w:t>压裂</w:t>
                  </w:r>
                  <w:r>
                    <w:rPr>
                      <w:szCs w:val="21"/>
                    </w:rPr>
                    <w:t>废水经管道直接进入清洁生产操作平台的废水罐中预处理后临时储存</w:t>
                  </w:r>
                  <w:r>
                    <w:rPr>
                      <w:rFonts w:hint="eastAsia"/>
                      <w:szCs w:val="21"/>
                    </w:rPr>
                    <w:t>废水池</w:t>
                  </w:r>
                  <w:r>
                    <w:rPr>
                      <w:szCs w:val="21"/>
                    </w:rPr>
                    <w:t>。罐区应搭建临时雨棚，做好防雨措施。并对</w:t>
                  </w:r>
                  <w:r>
                    <w:rPr>
                      <w:rFonts w:hint="eastAsia"/>
                      <w:szCs w:val="21"/>
                    </w:rPr>
                    <w:t>废水池</w:t>
                  </w:r>
                  <w:r>
                    <w:rPr>
                      <w:szCs w:val="21"/>
                    </w:rPr>
                    <w:t>设置加盖方式，做好防雨措施。最终拟</w:t>
                  </w:r>
                  <w:r>
                    <w:rPr>
                      <w:rFonts w:hint="eastAsia"/>
                      <w:szCs w:val="21"/>
                    </w:rPr>
                    <w:t>通过</w:t>
                  </w:r>
                  <w:r>
                    <w:rPr>
                      <w:szCs w:val="21"/>
                    </w:rPr>
                    <w:t>密闭罐车定期拉运至大湾403污水站处理达标后管输至毛开1井回注站回注。</w:t>
                  </w:r>
                </w:p>
              </w:tc>
              <w:tc>
                <w:tcPr>
                  <w:tcW w:w="918" w:type="dxa"/>
                  <w:tcBorders>
                    <w:tl2br w:val="nil"/>
                    <w:tr2bl w:val="nil"/>
                  </w:tcBorders>
                  <w:vAlign w:val="center"/>
                </w:tcPr>
                <w:p>
                  <w:pPr>
                    <w:adjustRightInd w:val="0"/>
                    <w:jc w:val="center"/>
                    <w:rPr>
                      <w:szCs w:val="21"/>
                    </w:rPr>
                  </w:pPr>
                  <w:r>
                    <w:rPr>
                      <w:rFonts w:hint="eastAsia"/>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jc w:val="center"/>
                    <w:rPr>
                      <w:szCs w:val="21"/>
                    </w:rPr>
                  </w:pPr>
                  <w:r>
                    <w:rPr>
                      <w:szCs w:val="21"/>
                    </w:rPr>
                    <w:t>生活污水</w:t>
                  </w:r>
                </w:p>
              </w:tc>
              <w:tc>
                <w:tcPr>
                  <w:tcW w:w="5355" w:type="dxa"/>
                  <w:tcBorders>
                    <w:tl2br w:val="nil"/>
                    <w:tr2bl w:val="nil"/>
                  </w:tcBorders>
                  <w:vAlign w:val="center"/>
                </w:tcPr>
                <w:p>
                  <w:pPr>
                    <w:rPr>
                      <w:szCs w:val="21"/>
                    </w:rPr>
                  </w:pPr>
                  <w:r>
                    <w:rPr>
                      <w:spacing w:val="-6"/>
                      <w:szCs w:val="21"/>
                    </w:rPr>
                    <w:t>生活污水经</w:t>
                  </w:r>
                  <w:r>
                    <w:rPr>
                      <w:rFonts w:hint="eastAsia"/>
                      <w:spacing w:val="-6"/>
                      <w:szCs w:val="21"/>
                    </w:rPr>
                    <w:t>生态一体化厕所</w:t>
                  </w:r>
                  <w:r>
                    <w:rPr>
                      <w:spacing w:val="-6"/>
                      <w:szCs w:val="21"/>
                    </w:rPr>
                    <w:t>收集后由吸污车拉运至</w:t>
                  </w:r>
                  <w:r>
                    <w:rPr>
                      <w:rFonts w:hint="eastAsia"/>
                      <w:spacing w:val="-6"/>
                      <w:szCs w:val="21"/>
                    </w:rPr>
                    <w:t>大成镇</w:t>
                  </w:r>
                  <w:r>
                    <w:rPr>
                      <w:spacing w:val="-6"/>
                      <w:szCs w:val="21"/>
                    </w:rPr>
                    <w:t>污水处理厂处理后排放，</w:t>
                  </w:r>
                  <w:r>
                    <w:rPr>
                      <w:rFonts w:hint="eastAsia"/>
                      <w:spacing w:val="-6"/>
                      <w:szCs w:val="21"/>
                    </w:rPr>
                    <w:t>生活区</w:t>
                  </w:r>
                  <w:r>
                    <w:rPr>
                      <w:spacing w:val="-6"/>
                      <w:szCs w:val="21"/>
                    </w:rPr>
                    <w:t>设1座10m</w:t>
                  </w:r>
                  <w:r>
                    <w:rPr>
                      <w:spacing w:val="-6"/>
                      <w:szCs w:val="21"/>
                      <w:vertAlign w:val="superscript"/>
                    </w:rPr>
                    <w:t>3</w:t>
                  </w:r>
                  <w:r>
                    <w:rPr>
                      <w:spacing w:val="-6"/>
                      <w:szCs w:val="21"/>
                    </w:rPr>
                    <w:t>的污水隔油池处理后用于同生活污水处置，不外排</w:t>
                  </w:r>
                  <w:r>
                    <w:rPr>
                      <w:szCs w:val="21"/>
                    </w:rPr>
                    <w:t>。</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大</w:t>
                  </w:r>
                </w:p>
                <w:p>
                  <w:pPr>
                    <w:pStyle w:val="20"/>
                    <w:adjustRightInd w:val="0"/>
                    <w:spacing w:before="0" w:after="0" w:line="240" w:lineRule="auto"/>
                    <w:ind w:right="0"/>
                    <w:jc w:val="center"/>
                    <w:rPr>
                      <w:sz w:val="21"/>
                      <w:szCs w:val="21"/>
                    </w:rPr>
                  </w:pPr>
                  <w:r>
                    <w:rPr>
                      <w:sz w:val="21"/>
                      <w:szCs w:val="21"/>
                    </w:rPr>
                    <w:t>气</w:t>
                  </w:r>
                </w:p>
                <w:p>
                  <w:pPr>
                    <w:pStyle w:val="20"/>
                    <w:adjustRightInd w:val="0"/>
                    <w:spacing w:before="0" w:after="0" w:line="240" w:lineRule="auto"/>
                    <w:ind w:right="0"/>
                    <w:jc w:val="center"/>
                    <w:rPr>
                      <w:sz w:val="21"/>
                      <w:szCs w:val="21"/>
                    </w:rPr>
                  </w:pPr>
                  <w:r>
                    <w:rPr>
                      <w:sz w:val="21"/>
                      <w:szCs w:val="21"/>
                    </w:rPr>
                    <w:t>污</w:t>
                  </w:r>
                </w:p>
                <w:p>
                  <w:pPr>
                    <w:pStyle w:val="20"/>
                    <w:adjustRightInd w:val="0"/>
                    <w:spacing w:before="0" w:after="0" w:line="240" w:lineRule="auto"/>
                    <w:ind w:right="0"/>
                    <w:jc w:val="center"/>
                    <w:rPr>
                      <w:sz w:val="21"/>
                      <w:szCs w:val="21"/>
                    </w:rPr>
                  </w:pPr>
                  <w:r>
                    <w:rPr>
                      <w:sz w:val="21"/>
                      <w:szCs w:val="21"/>
                    </w:rPr>
                    <w:t>染</w:t>
                  </w:r>
                </w:p>
                <w:p>
                  <w:pPr>
                    <w:pStyle w:val="20"/>
                    <w:adjustRightInd w:val="0"/>
                    <w:spacing w:before="0" w:after="0" w:line="240" w:lineRule="auto"/>
                    <w:ind w:right="0"/>
                    <w:jc w:val="center"/>
                    <w:rPr>
                      <w:sz w:val="21"/>
                      <w:szCs w:val="21"/>
                    </w:rPr>
                  </w:pPr>
                  <w:r>
                    <w:rPr>
                      <w:sz w:val="21"/>
                      <w:szCs w:val="21"/>
                    </w:rPr>
                    <w:t>物</w:t>
                  </w:r>
                </w:p>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adjustRightInd w:val="0"/>
                    <w:jc w:val="center"/>
                    <w:rPr>
                      <w:bCs/>
                      <w:szCs w:val="21"/>
                    </w:rPr>
                  </w:pPr>
                  <w:r>
                    <w:rPr>
                      <w:bCs/>
                      <w:szCs w:val="21"/>
                    </w:rPr>
                    <w:t>备用柴油机和发电机</w:t>
                  </w:r>
                </w:p>
              </w:tc>
              <w:tc>
                <w:tcPr>
                  <w:tcW w:w="5355" w:type="dxa"/>
                  <w:tcBorders>
                    <w:tl2br w:val="nil"/>
                    <w:tr2bl w:val="nil"/>
                  </w:tcBorders>
                  <w:vAlign w:val="center"/>
                </w:tcPr>
                <w:p>
                  <w:pPr>
                    <w:adjustRightInd w:val="0"/>
                    <w:rPr>
                      <w:szCs w:val="21"/>
                    </w:rPr>
                  </w:pPr>
                  <w:r>
                    <w:rPr>
                      <w:szCs w:val="21"/>
                    </w:rPr>
                    <w:t>柴油机经自带尾气处理系统后经过自带排气筒排放。</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adjustRightInd w:val="0"/>
                    <w:jc w:val="center"/>
                    <w:rPr>
                      <w:bCs/>
                      <w:szCs w:val="21"/>
                      <w:vertAlign w:val="subscript"/>
                    </w:rPr>
                  </w:pPr>
                  <w:r>
                    <w:rPr>
                      <w:rFonts w:hint="eastAsia"/>
                      <w:szCs w:val="21"/>
                    </w:rPr>
                    <w:t>试气作业</w:t>
                  </w:r>
                  <w:r>
                    <w:rPr>
                      <w:szCs w:val="21"/>
                    </w:rPr>
                    <w:t>废气</w:t>
                  </w:r>
                </w:p>
              </w:tc>
              <w:tc>
                <w:tcPr>
                  <w:tcW w:w="5355" w:type="dxa"/>
                  <w:tcBorders>
                    <w:tl2br w:val="nil"/>
                    <w:tr2bl w:val="nil"/>
                  </w:tcBorders>
                  <w:vAlign w:val="center"/>
                </w:tcPr>
                <w:p>
                  <w:pPr>
                    <w:adjustRightInd w:val="0"/>
                    <w:rPr>
                      <w:szCs w:val="21"/>
                    </w:rPr>
                  </w:pPr>
                  <w:r>
                    <w:rPr>
                      <w:szCs w:val="21"/>
                    </w:rPr>
                    <w:t>测试</w:t>
                  </w:r>
                  <w:r>
                    <w:rPr>
                      <w:rFonts w:hint="eastAsia"/>
                      <w:szCs w:val="21"/>
                    </w:rPr>
                    <w:t>回收</w:t>
                  </w:r>
                  <w:r>
                    <w:rPr>
                      <w:szCs w:val="21"/>
                    </w:rPr>
                    <w:t>废气</w:t>
                  </w:r>
                  <w:r>
                    <w:rPr>
                      <w:rFonts w:hint="eastAsia"/>
                      <w:szCs w:val="21"/>
                    </w:rPr>
                    <w:t>经设备自带排气筒排放，满足排放标准。</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固</w:t>
                  </w:r>
                </w:p>
                <w:p>
                  <w:pPr>
                    <w:pStyle w:val="20"/>
                    <w:adjustRightInd w:val="0"/>
                    <w:spacing w:before="0" w:after="0" w:line="240" w:lineRule="auto"/>
                    <w:ind w:right="0"/>
                    <w:jc w:val="center"/>
                    <w:rPr>
                      <w:sz w:val="21"/>
                      <w:szCs w:val="21"/>
                    </w:rPr>
                  </w:pPr>
                  <w:r>
                    <w:rPr>
                      <w:sz w:val="21"/>
                      <w:szCs w:val="21"/>
                    </w:rPr>
                    <w:t>体</w:t>
                  </w:r>
                </w:p>
                <w:p>
                  <w:pPr>
                    <w:pStyle w:val="20"/>
                    <w:adjustRightInd w:val="0"/>
                    <w:spacing w:before="0" w:after="0" w:line="240" w:lineRule="auto"/>
                    <w:ind w:right="0"/>
                    <w:jc w:val="center"/>
                    <w:rPr>
                      <w:sz w:val="21"/>
                      <w:szCs w:val="21"/>
                    </w:rPr>
                  </w:pPr>
                  <w:r>
                    <w:rPr>
                      <w:sz w:val="21"/>
                      <w:szCs w:val="21"/>
                    </w:rPr>
                    <w:t>废</w:t>
                  </w:r>
                </w:p>
                <w:p>
                  <w:pPr>
                    <w:pStyle w:val="20"/>
                    <w:adjustRightInd w:val="0"/>
                    <w:spacing w:before="0" w:after="0" w:line="240" w:lineRule="auto"/>
                    <w:ind w:right="0"/>
                    <w:jc w:val="center"/>
                    <w:rPr>
                      <w:sz w:val="21"/>
                      <w:szCs w:val="21"/>
                    </w:rPr>
                  </w:pPr>
                  <w:r>
                    <w:rPr>
                      <w:sz w:val="21"/>
                      <w:szCs w:val="21"/>
                    </w:rPr>
                    <w:t>物</w:t>
                  </w:r>
                </w:p>
              </w:tc>
              <w:tc>
                <w:tcPr>
                  <w:tcW w:w="1175" w:type="dxa"/>
                  <w:tcBorders>
                    <w:tl2br w:val="nil"/>
                    <w:tr2bl w:val="nil"/>
                  </w:tcBorders>
                  <w:vAlign w:val="center"/>
                </w:tcPr>
                <w:p>
                  <w:pPr>
                    <w:snapToGrid w:val="0"/>
                    <w:jc w:val="center"/>
                    <w:rPr>
                      <w:szCs w:val="21"/>
                    </w:rPr>
                  </w:pPr>
                  <w:r>
                    <w:rPr>
                      <w:szCs w:val="21"/>
                    </w:rPr>
                    <w:t>生活垃圾</w:t>
                  </w:r>
                </w:p>
              </w:tc>
              <w:tc>
                <w:tcPr>
                  <w:tcW w:w="5355" w:type="dxa"/>
                  <w:tcBorders>
                    <w:tl2br w:val="nil"/>
                    <w:tr2bl w:val="nil"/>
                  </w:tcBorders>
                  <w:vAlign w:val="center"/>
                </w:tcPr>
                <w:p>
                  <w:pPr>
                    <w:rPr>
                      <w:szCs w:val="21"/>
                    </w:rPr>
                  </w:pPr>
                  <w:r>
                    <w:rPr>
                      <w:szCs w:val="21"/>
                    </w:rPr>
                    <w:t>井场区域和生活区各设1个垃圾箱，完工后外运</w:t>
                  </w:r>
                  <w:r>
                    <w:rPr>
                      <w:rFonts w:hint="eastAsia"/>
                      <w:szCs w:val="21"/>
                    </w:rPr>
                    <w:t>大成镇</w:t>
                  </w:r>
                  <w:r>
                    <w:rPr>
                      <w:szCs w:val="21"/>
                    </w:rPr>
                    <w:t>环卫集中收集处置。废包装材料量较少，收集后全部回收利用。</w:t>
                  </w:r>
                </w:p>
              </w:tc>
              <w:tc>
                <w:tcPr>
                  <w:tcW w:w="918" w:type="dxa"/>
                  <w:tcBorders>
                    <w:tl2br w:val="nil"/>
                    <w:tr2bl w:val="nil"/>
                  </w:tcBorders>
                  <w:vAlign w:val="center"/>
                </w:tcPr>
                <w:p>
                  <w:pPr>
                    <w:adjustRightInd w:val="0"/>
                    <w:jc w:val="center"/>
                    <w:rPr>
                      <w:szCs w:val="21"/>
                    </w:rPr>
                  </w:pPr>
                  <w:r>
                    <w:rPr>
                      <w:rFonts w:hint="eastAsia"/>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jc w:val="center"/>
                    <w:rPr>
                      <w:szCs w:val="21"/>
                    </w:rPr>
                  </w:pPr>
                  <w:r>
                    <w:rPr>
                      <w:szCs w:val="21"/>
                    </w:rPr>
                    <w:t>水基岩屑、废弃泥浆、沉淀污泥</w:t>
                  </w:r>
                </w:p>
              </w:tc>
              <w:tc>
                <w:tcPr>
                  <w:tcW w:w="5355" w:type="dxa"/>
                  <w:tcBorders>
                    <w:tl2br w:val="nil"/>
                    <w:tr2bl w:val="nil"/>
                  </w:tcBorders>
                  <w:vAlign w:val="center"/>
                </w:tcPr>
                <w:p>
                  <w:pPr>
                    <w:snapToGrid w:val="0"/>
                    <w:rPr>
                      <w:szCs w:val="21"/>
                    </w:rPr>
                  </w:pPr>
                  <w:r>
                    <w:rPr>
                      <w:szCs w:val="21"/>
                    </w:rPr>
                    <w:t>清水岩屑、水基岩屑由岩屑收集罐进行收集后暂存岩屑堆放区，钻井废弃泥浆收集至清洁生产操作平台内的循环罐暂存，就近交给依法取得生态环境部门关于利用和处置相关工业固体废物项目环评批复、具有处理处置相应固体废物能力并配套建设有废气、废水、固废等污染物治理设施的单位进行资源化利用。</w:t>
                  </w:r>
                </w:p>
              </w:tc>
              <w:tc>
                <w:tcPr>
                  <w:tcW w:w="918" w:type="dxa"/>
                  <w:tcBorders>
                    <w:tl2br w:val="nil"/>
                    <w:tr2bl w:val="nil"/>
                  </w:tcBorders>
                  <w:vAlign w:val="center"/>
                </w:tcPr>
                <w:p>
                  <w:pPr>
                    <w:adjustRightInd w:val="0"/>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jc w:val="center"/>
                    <w:rPr>
                      <w:szCs w:val="21"/>
                    </w:rPr>
                  </w:pPr>
                  <w:r>
                    <w:rPr>
                      <w:szCs w:val="21"/>
                    </w:rPr>
                    <w:t>废油、废油桶、废棉纱/手套</w:t>
                  </w:r>
                </w:p>
              </w:tc>
              <w:tc>
                <w:tcPr>
                  <w:tcW w:w="5355" w:type="dxa"/>
                  <w:tcBorders>
                    <w:tl2br w:val="nil"/>
                    <w:tr2bl w:val="nil"/>
                  </w:tcBorders>
                  <w:vAlign w:val="center"/>
                </w:tcPr>
                <w:p>
                  <w:pPr>
                    <w:rPr>
                      <w:szCs w:val="21"/>
                    </w:rPr>
                  </w:pPr>
                  <w:r>
                    <w:rPr>
                      <w:szCs w:val="21"/>
                    </w:rPr>
                    <w:t>钻井产生的废油由回收桶收集，贮存于清洁生产操作平台内，采取防扬散、防流失、防渗漏或者其他防止污染环境的措施，设置围堰或托盘，拟及时交由</w:t>
                  </w:r>
                  <w:r>
                    <w:rPr>
                      <w:rFonts w:hint="eastAsia"/>
                      <w:szCs w:val="21"/>
                    </w:rPr>
                    <w:t>有资质单位</w:t>
                  </w:r>
                  <w:r>
                    <w:rPr>
                      <w:szCs w:val="21"/>
                    </w:rPr>
                    <w:t>处置。</w:t>
                  </w:r>
                </w:p>
              </w:tc>
              <w:tc>
                <w:tcPr>
                  <w:tcW w:w="918" w:type="dxa"/>
                  <w:tcBorders>
                    <w:tl2br w:val="nil"/>
                    <w:tr2bl w:val="nil"/>
                  </w:tcBorders>
                  <w:vAlign w:val="center"/>
                </w:tcPr>
                <w:p>
                  <w:pPr>
                    <w:adjustRightInd w:val="0"/>
                    <w:jc w:val="center"/>
                    <w:rPr>
                      <w:szCs w:val="21"/>
                    </w:rPr>
                  </w:pPr>
                  <w:r>
                    <w:rPr>
                      <w:rFonts w:hint="eastAsia"/>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jc w:val="center"/>
                    <w:rPr>
                      <w:szCs w:val="21"/>
                    </w:rPr>
                  </w:pPr>
                  <w:r>
                    <w:rPr>
                      <w:szCs w:val="21"/>
                    </w:rPr>
                    <w:t>废包装材料</w:t>
                  </w:r>
                </w:p>
              </w:tc>
              <w:tc>
                <w:tcPr>
                  <w:tcW w:w="5355" w:type="dxa"/>
                  <w:tcBorders>
                    <w:tl2br w:val="nil"/>
                    <w:tr2bl w:val="nil"/>
                  </w:tcBorders>
                  <w:vAlign w:val="center"/>
                </w:tcPr>
                <w:p>
                  <w:pPr>
                    <w:rPr>
                      <w:szCs w:val="21"/>
                    </w:rPr>
                  </w:pPr>
                  <w:r>
                    <w:rPr>
                      <w:szCs w:val="21"/>
                    </w:rPr>
                    <w:t>收集后定期运至就近的废品回收站进行处理</w:t>
                  </w:r>
                </w:p>
              </w:tc>
              <w:tc>
                <w:tcPr>
                  <w:tcW w:w="918" w:type="dxa"/>
                  <w:tcBorders>
                    <w:tl2br w:val="nil"/>
                    <w:tr2bl w:val="nil"/>
                  </w:tcBorders>
                  <w:vAlign w:val="center"/>
                </w:tcPr>
                <w:p>
                  <w:pPr>
                    <w:adjustRightInd w:val="0"/>
                    <w:jc w:val="center"/>
                    <w:rPr>
                      <w:szCs w:val="21"/>
                    </w:rPr>
                  </w:pPr>
                  <w:r>
                    <w:rPr>
                      <w:rFonts w:hint="eastAsia"/>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nil"/>
                    <w:tr2bl w:val="nil"/>
                  </w:tcBorders>
                  <w:vAlign w:val="center"/>
                </w:tcPr>
                <w:p>
                  <w:pPr>
                    <w:pStyle w:val="20"/>
                    <w:adjustRightInd w:val="0"/>
                    <w:spacing w:before="0" w:after="0" w:line="240" w:lineRule="auto"/>
                    <w:ind w:right="0"/>
                    <w:jc w:val="center"/>
                    <w:rPr>
                      <w:sz w:val="21"/>
                      <w:szCs w:val="21"/>
                    </w:rPr>
                  </w:pPr>
                  <w:r>
                    <w:rPr>
                      <w:sz w:val="21"/>
                      <w:szCs w:val="21"/>
                    </w:rPr>
                    <w:t>噪</w:t>
                  </w:r>
                </w:p>
                <w:p>
                  <w:pPr>
                    <w:pStyle w:val="20"/>
                    <w:adjustRightInd w:val="0"/>
                    <w:spacing w:before="0" w:after="0" w:line="240" w:lineRule="auto"/>
                    <w:ind w:right="0"/>
                    <w:jc w:val="center"/>
                    <w:rPr>
                      <w:sz w:val="21"/>
                      <w:szCs w:val="21"/>
                    </w:rPr>
                  </w:pPr>
                  <w:r>
                    <w:rPr>
                      <w:sz w:val="21"/>
                      <w:szCs w:val="21"/>
                    </w:rPr>
                    <w:t>声</w:t>
                  </w:r>
                </w:p>
              </w:tc>
              <w:tc>
                <w:tcPr>
                  <w:tcW w:w="1175" w:type="dxa"/>
                  <w:tcBorders>
                    <w:tl2br w:val="nil"/>
                    <w:tr2bl w:val="nil"/>
                  </w:tcBorders>
                  <w:vAlign w:val="center"/>
                </w:tcPr>
                <w:p>
                  <w:pPr>
                    <w:widowControl/>
                    <w:jc w:val="center"/>
                    <w:rPr>
                      <w:szCs w:val="21"/>
                    </w:rPr>
                  </w:pPr>
                  <w:r>
                    <w:rPr>
                      <w:kern w:val="0"/>
                      <w:szCs w:val="21"/>
                      <w:lang w:bidi="ar"/>
                    </w:rPr>
                    <w:t>减震隔声降噪</w:t>
                  </w:r>
                </w:p>
              </w:tc>
              <w:tc>
                <w:tcPr>
                  <w:tcW w:w="5355" w:type="dxa"/>
                  <w:tcBorders>
                    <w:tl2br w:val="nil"/>
                    <w:tr2bl w:val="nil"/>
                  </w:tcBorders>
                  <w:vAlign w:val="center"/>
                </w:tcPr>
                <w:p>
                  <w:pPr>
                    <w:widowControl/>
                    <w:jc w:val="left"/>
                    <w:rPr>
                      <w:i/>
                      <w:szCs w:val="21"/>
                    </w:rPr>
                  </w:pPr>
                  <w:r>
                    <w:rPr>
                      <w:szCs w:val="21"/>
                    </w:rPr>
                    <w:t>噪声设备设置基础减震，同时备用发机组、空气压缩机、泥浆泵设置在房屋内进行隔声减小影响</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地下水</w:t>
                  </w:r>
                </w:p>
              </w:tc>
              <w:tc>
                <w:tcPr>
                  <w:tcW w:w="1175" w:type="dxa"/>
                  <w:tcBorders>
                    <w:tl2br w:val="nil"/>
                    <w:tr2bl w:val="nil"/>
                  </w:tcBorders>
                  <w:vAlign w:val="center"/>
                </w:tcPr>
                <w:p>
                  <w:pPr>
                    <w:adjustRightInd w:val="0"/>
                    <w:jc w:val="center"/>
                    <w:rPr>
                      <w:szCs w:val="21"/>
                    </w:rPr>
                  </w:pPr>
                  <w:r>
                    <w:rPr>
                      <w:szCs w:val="21"/>
                    </w:rPr>
                    <w:t>源头控制</w:t>
                  </w:r>
                </w:p>
              </w:tc>
              <w:tc>
                <w:tcPr>
                  <w:tcW w:w="5355" w:type="dxa"/>
                  <w:tcBorders>
                    <w:tl2br w:val="nil"/>
                    <w:tr2bl w:val="nil"/>
                  </w:tcBorders>
                  <w:vAlign w:val="center"/>
                </w:tcPr>
                <w:p>
                  <w:pPr>
                    <w:adjustRightInd w:val="0"/>
                    <w:rPr>
                      <w:szCs w:val="21"/>
                    </w:rPr>
                  </w:pPr>
                  <w:r>
                    <w:rPr>
                      <w:szCs w:val="21"/>
                    </w:rPr>
                    <w:t>采用对环境影响较小的钻井液，采用套管和水泥固井防止地下水污染。施工中做好及时堵漏准备，防止钻井液漏失进入地下水。</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adjustRightInd w:val="0"/>
                    <w:jc w:val="center"/>
                    <w:rPr>
                      <w:szCs w:val="21"/>
                    </w:rPr>
                  </w:pPr>
                  <w:r>
                    <w:rPr>
                      <w:szCs w:val="21"/>
                    </w:rPr>
                    <w:t>防渗分区及防渗措施</w:t>
                  </w:r>
                </w:p>
              </w:tc>
              <w:tc>
                <w:tcPr>
                  <w:tcW w:w="5355" w:type="dxa"/>
                  <w:tcBorders>
                    <w:tl2br w:val="nil"/>
                    <w:tr2bl w:val="nil"/>
                  </w:tcBorders>
                  <w:vAlign w:val="center"/>
                </w:tcPr>
                <w:p>
                  <w:pPr>
                    <w:pStyle w:val="38"/>
                    <w:spacing w:before="0" w:beforeAutospacing="0" w:after="0" w:afterAutospacing="0"/>
                    <w:rPr>
                      <w:rFonts w:ascii="Times New Roman" w:hAnsi="Times New Roman"/>
                      <w:kern w:val="2"/>
                      <w:sz w:val="21"/>
                      <w:szCs w:val="21"/>
                    </w:rPr>
                  </w:pPr>
                  <w:r>
                    <w:rPr>
                      <w:rFonts w:ascii="Times New Roman" w:hAnsi="Times New Roman"/>
                      <w:kern w:val="2"/>
                      <w:sz w:val="21"/>
                      <w:szCs w:val="21"/>
                    </w:rPr>
                    <w:t>重点防渗区：井口区、井架基础区、井场设备基础硬化区、清洁生产操作平台、岩屑堆放区、油罐区、放喷池、</w:t>
                  </w:r>
                  <w:r>
                    <w:rPr>
                      <w:rFonts w:hint="eastAsia" w:ascii="Times New Roman" w:hAnsi="Times New Roman"/>
                      <w:kern w:val="2"/>
                      <w:sz w:val="21"/>
                      <w:szCs w:val="21"/>
                    </w:rPr>
                    <w:t>废水池</w:t>
                  </w:r>
                  <w:r>
                    <w:rPr>
                      <w:rFonts w:ascii="Times New Roman" w:hAnsi="Times New Roman"/>
                      <w:kern w:val="2"/>
                      <w:sz w:val="21"/>
                      <w:szCs w:val="21"/>
                    </w:rPr>
                    <w:t>、集酸坑。</w:t>
                  </w:r>
                </w:p>
                <w:p>
                  <w:pPr>
                    <w:pStyle w:val="38"/>
                    <w:spacing w:before="0" w:beforeAutospacing="0" w:after="0" w:afterAutospacing="0"/>
                    <w:rPr>
                      <w:rFonts w:ascii="Times New Roman" w:hAnsi="Times New Roman"/>
                      <w:sz w:val="21"/>
                      <w:szCs w:val="21"/>
                    </w:rPr>
                  </w:pPr>
                  <w:r>
                    <w:rPr>
                      <w:rFonts w:ascii="Times New Roman" w:hAnsi="Times New Roman"/>
                      <w:kern w:val="2"/>
                      <w:sz w:val="21"/>
                      <w:szCs w:val="21"/>
                    </w:rPr>
                    <w:t>一般防渗区：隔油池、泥浆储备罐区、清污分流区、</w:t>
                  </w:r>
                  <w:r>
                    <w:rPr>
                      <w:rFonts w:hint="eastAsia" w:ascii="Times New Roman" w:hAnsi="Times New Roman"/>
                      <w:kern w:val="2"/>
                      <w:sz w:val="21"/>
                      <w:szCs w:val="21"/>
                    </w:rPr>
                    <w:t>生态一体化厕所</w:t>
                  </w:r>
                  <w:r>
                    <w:rPr>
                      <w:rFonts w:ascii="Times New Roman" w:hAnsi="Times New Roman"/>
                      <w:kern w:val="2"/>
                      <w:sz w:val="21"/>
                      <w:szCs w:val="21"/>
                    </w:rPr>
                    <w:t>、井场部分。</w:t>
                  </w:r>
                </w:p>
              </w:tc>
              <w:tc>
                <w:tcPr>
                  <w:tcW w:w="918" w:type="dxa"/>
                  <w:tcBorders>
                    <w:tl2br w:val="nil"/>
                    <w:tr2bl w:val="nil"/>
                  </w:tcBorders>
                  <w:vAlign w:val="center"/>
                </w:tcPr>
                <w:p>
                  <w:pPr>
                    <w:adjustRightInd w:val="0"/>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adjustRightInd w:val="0"/>
                    <w:jc w:val="center"/>
                    <w:rPr>
                      <w:szCs w:val="21"/>
                    </w:rPr>
                  </w:pPr>
                  <w:r>
                    <w:rPr>
                      <w:szCs w:val="21"/>
                    </w:rPr>
                    <w:t>跟踪监测和应急响应</w:t>
                  </w:r>
                </w:p>
              </w:tc>
              <w:tc>
                <w:tcPr>
                  <w:tcW w:w="5355" w:type="dxa"/>
                  <w:tcBorders>
                    <w:tl2br w:val="nil"/>
                    <w:tr2bl w:val="nil"/>
                  </w:tcBorders>
                  <w:vAlign w:val="center"/>
                </w:tcPr>
                <w:p>
                  <w:pPr>
                    <w:jc w:val="left"/>
                    <w:rPr>
                      <w:szCs w:val="21"/>
                    </w:rPr>
                  </w:pPr>
                  <w:r>
                    <w:rPr>
                      <w:szCs w:val="21"/>
                    </w:rPr>
                    <w:t>在井场上、</w:t>
                  </w:r>
                  <w:r>
                    <w:rPr>
                      <w:bCs/>
                      <w:kern w:val="0"/>
                      <w:szCs w:val="21"/>
                    </w:rPr>
                    <w:t>下游较近的</w:t>
                  </w:r>
                  <w:r>
                    <w:rPr>
                      <w:rFonts w:hint="eastAsia"/>
                      <w:bCs/>
                      <w:kern w:val="0"/>
                      <w:szCs w:val="21"/>
                    </w:rPr>
                    <w:t>2</w:t>
                  </w:r>
                  <w:r>
                    <w:rPr>
                      <w:bCs/>
                      <w:kern w:val="0"/>
                      <w:szCs w:val="21"/>
                    </w:rPr>
                    <w:t>口水井作为跟踪监测井。</w:t>
                  </w:r>
                  <w:r>
                    <w:rPr>
                      <w:szCs w:val="21"/>
                    </w:rPr>
                    <w:t>发现井漏影响的应采取堵漏措施。</w:t>
                  </w:r>
                </w:p>
              </w:tc>
              <w:tc>
                <w:tcPr>
                  <w:tcW w:w="918" w:type="dxa"/>
                  <w:tcBorders>
                    <w:tl2br w:val="nil"/>
                    <w:tr2bl w:val="nil"/>
                  </w:tcBorders>
                  <w:vAlign w:val="center"/>
                </w:tcPr>
                <w:p>
                  <w:pPr>
                    <w:adjustRightInd w:val="0"/>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生态</w:t>
                  </w:r>
                </w:p>
              </w:tc>
              <w:tc>
                <w:tcPr>
                  <w:tcW w:w="1175" w:type="dxa"/>
                  <w:tcBorders>
                    <w:tl2br w:val="nil"/>
                    <w:tr2bl w:val="nil"/>
                  </w:tcBorders>
                  <w:vAlign w:val="center"/>
                </w:tcPr>
                <w:p>
                  <w:pPr>
                    <w:jc w:val="center"/>
                    <w:rPr>
                      <w:bCs/>
                      <w:szCs w:val="21"/>
                    </w:rPr>
                  </w:pPr>
                  <w:r>
                    <w:rPr>
                      <w:bCs/>
                      <w:szCs w:val="21"/>
                    </w:rPr>
                    <w:t>生态保护</w:t>
                  </w:r>
                </w:p>
              </w:tc>
              <w:tc>
                <w:tcPr>
                  <w:tcW w:w="5355" w:type="dxa"/>
                  <w:tcBorders>
                    <w:tl2br w:val="nil"/>
                    <w:tr2bl w:val="nil"/>
                  </w:tcBorders>
                  <w:vAlign w:val="center"/>
                </w:tcPr>
                <w:p>
                  <w:pPr>
                    <w:jc w:val="left"/>
                    <w:rPr>
                      <w:szCs w:val="21"/>
                    </w:rPr>
                  </w:pPr>
                  <w:r>
                    <w:rPr>
                      <w:szCs w:val="21"/>
                    </w:rPr>
                    <w:t>放喷池建挡墙较小热辐射影响。对热辐射破坏的植被进行补偿。</w:t>
                  </w:r>
                </w:p>
              </w:tc>
              <w:tc>
                <w:tcPr>
                  <w:tcW w:w="918" w:type="dxa"/>
                  <w:tcBorders>
                    <w:tl2br w:val="nil"/>
                    <w:tr2bl w:val="nil"/>
                  </w:tcBorders>
                  <w:vAlign w:val="center"/>
                </w:tcPr>
                <w:p>
                  <w:pPr>
                    <w:adjustRightInd w:val="0"/>
                    <w:jc w:val="center"/>
                    <w:rPr>
                      <w:szCs w:val="21"/>
                    </w:rPr>
                  </w:pPr>
                  <w:r>
                    <w:rPr>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1175" w:type="dxa"/>
                  <w:tcBorders>
                    <w:tl2br w:val="nil"/>
                    <w:tr2bl w:val="nil"/>
                  </w:tcBorders>
                  <w:vAlign w:val="center"/>
                </w:tcPr>
                <w:p>
                  <w:pPr>
                    <w:jc w:val="center"/>
                    <w:rPr>
                      <w:bCs/>
                      <w:szCs w:val="21"/>
                    </w:rPr>
                  </w:pPr>
                  <w:r>
                    <w:rPr>
                      <w:bCs/>
                      <w:szCs w:val="21"/>
                    </w:rPr>
                    <w:t>生态恢复</w:t>
                  </w:r>
                </w:p>
              </w:tc>
              <w:tc>
                <w:tcPr>
                  <w:tcW w:w="5355" w:type="dxa"/>
                  <w:tcBorders>
                    <w:tl2br w:val="nil"/>
                    <w:tr2bl w:val="nil"/>
                  </w:tcBorders>
                  <w:vAlign w:val="center"/>
                </w:tcPr>
                <w:p>
                  <w:pPr>
                    <w:rPr>
                      <w:szCs w:val="21"/>
                    </w:rPr>
                  </w:pPr>
                  <w:r>
                    <w:rPr>
                      <w:szCs w:val="21"/>
                    </w:rPr>
                    <w:t>根据《中华人民共和国土地管理法》规定相关地方规定对工程占地进行补偿。严格划定施工作业范围，严禁砍伐野外植被。板房搬迁后，进行土地复垦。</w:t>
                  </w:r>
                </w:p>
              </w:tc>
              <w:tc>
                <w:tcPr>
                  <w:tcW w:w="918" w:type="dxa"/>
                  <w:tcBorders>
                    <w:tl2br w:val="nil"/>
                    <w:tr2bl w:val="nil"/>
                  </w:tcBorders>
                  <w:vAlign w:val="center"/>
                </w:tcPr>
                <w:p>
                  <w:pPr>
                    <w:adjustRightInd w:val="0"/>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nil"/>
                    <w:tr2bl w:val="nil"/>
                  </w:tcBorders>
                  <w:vAlign w:val="center"/>
                </w:tcPr>
                <w:p>
                  <w:pPr>
                    <w:pStyle w:val="20"/>
                    <w:adjustRightInd w:val="0"/>
                    <w:spacing w:before="0" w:after="0" w:line="240" w:lineRule="auto"/>
                    <w:ind w:right="0"/>
                    <w:jc w:val="center"/>
                    <w:rPr>
                      <w:sz w:val="21"/>
                      <w:szCs w:val="21"/>
                    </w:rPr>
                  </w:pPr>
                  <w:r>
                    <w:rPr>
                      <w:sz w:val="21"/>
                      <w:szCs w:val="21"/>
                    </w:rPr>
                    <w:t>封井</w:t>
                  </w:r>
                </w:p>
              </w:tc>
              <w:tc>
                <w:tcPr>
                  <w:tcW w:w="1175" w:type="dxa"/>
                  <w:tcBorders>
                    <w:tl2br w:val="nil"/>
                    <w:tr2bl w:val="nil"/>
                  </w:tcBorders>
                  <w:vAlign w:val="center"/>
                </w:tcPr>
                <w:p>
                  <w:pPr>
                    <w:jc w:val="center"/>
                    <w:rPr>
                      <w:bCs/>
                      <w:szCs w:val="21"/>
                    </w:rPr>
                  </w:pPr>
                  <w:r>
                    <w:rPr>
                      <w:bCs/>
                      <w:szCs w:val="21"/>
                    </w:rPr>
                    <w:t>/</w:t>
                  </w:r>
                </w:p>
              </w:tc>
              <w:tc>
                <w:tcPr>
                  <w:tcW w:w="5355" w:type="dxa"/>
                  <w:tcBorders>
                    <w:tl2br w:val="nil"/>
                    <w:tr2bl w:val="nil"/>
                  </w:tcBorders>
                  <w:vAlign w:val="center"/>
                </w:tcPr>
                <w:p>
                  <w:pPr>
                    <w:pStyle w:val="14"/>
                    <w:spacing w:line="240" w:lineRule="auto"/>
                    <w:ind w:firstLine="0"/>
                    <w:rPr>
                      <w:rFonts w:ascii="Times New Roman" w:hAnsi="Times New Roman"/>
                      <w:sz w:val="21"/>
                      <w:szCs w:val="21"/>
                    </w:rPr>
                  </w:pPr>
                  <w:r>
                    <w:rPr>
                      <w:rFonts w:ascii="Times New Roman" w:hAnsi="Times New Roman"/>
                      <w:kern w:val="2"/>
                      <w:sz w:val="21"/>
                      <w:szCs w:val="21"/>
                    </w:rPr>
                    <w:t>若测试无开采价值，应按《天然气井永久性封井技术规范》（Q/SYXN0386-2013）等相关行业规范进行封井作业，并设置醒目的警示标志，加强保护和巡查、监控。封井应在钻井完成后6个月内完成。</w:t>
                  </w:r>
                </w:p>
              </w:tc>
              <w:tc>
                <w:tcPr>
                  <w:tcW w:w="918" w:type="dxa"/>
                  <w:tcBorders>
                    <w:tl2br w:val="nil"/>
                    <w:tr2bl w:val="nil"/>
                  </w:tcBorders>
                  <w:vAlign w:val="center"/>
                </w:tcPr>
                <w:p>
                  <w:pPr>
                    <w:adjustRightInd w:val="0"/>
                    <w:jc w:val="center"/>
                    <w:rPr>
                      <w:szCs w:val="21"/>
                    </w:rPr>
                  </w:pPr>
                  <w:r>
                    <w:rPr>
                      <w:szCs w:val="21"/>
                    </w:rPr>
                    <w:t>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nil"/>
                    <w:tr2bl w:val="nil"/>
                  </w:tcBorders>
                  <w:vAlign w:val="center"/>
                </w:tcPr>
                <w:p>
                  <w:pPr>
                    <w:pStyle w:val="20"/>
                    <w:adjustRightInd w:val="0"/>
                    <w:spacing w:before="0" w:after="0" w:line="240" w:lineRule="auto"/>
                    <w:ind w:right="0"/>
                    <w:jc w:val="center"/>
                    <w:rPr>
                      <w:sz w:val="21"/>
                      <w:szCs w:val="21"/>
                    </w:rPr>
                  </w:pPr>
                  <w:r>
                    <w:rPr>
                      <w:sz w:val="21"/>
                      <w:szCs w:val="21"/>
                    </w:rPr>
                    <w:t>土壤环境</w:t>
                  </w:r>
                </w:p>
              </w:tc>
              <w:tc>
                <w:tcPr>
                  <w:tcW w:w="1175" w:type="dxa"/>
                  <w:tcBorders>
                    <w:tl2br w:val="nil"/>
                    <w:tr2bl w:val="nil"/>
                  </w:tcBorders>
                  <w:vAlign w:val="center"/>
                </w:tcPr>
                <w:p>
                  <w:pPr>
                    <w:jc w:val="center"/>
                    <w:rPr>
                      <w:szCs w:val="21"/>
                    </w:rPr>
                  </w:pPr>
                  <w:r>
                    <w:rPr>
                      <w:szCs w:val="21"/>
                    </w:rPr>
                    <w:t>/</w:t>
                  </w:r>
                </w:p>
              </w:tc>
              <w:tc>
                <w:tcPr>
                  <w:tcW w:w="5355" w:type="dxa"/>
                  <w:tcBorders>
                    <w:tl2br w:val="nil"/>
                    <w:tr2bl w:val="nil"/>
                  </w:tcBorders>
                  <w:vAlign w:val="center"/>
                </w:tcPr>
                <w:p>
                  <w:pPr>
                    <w:rPr>
                      <w:szCs w:val="21"/>
                    </w:rPr>
                  </w:pPr>
                  <w:r>
                    <w:rPr>
                      <w:szCs w:val="21"/>
                    </w:rPr>
                    <w:t>岩屑堆放区设置雨棚，防止雨水淋滤导致污染物下渗污染。针对渗入影响落实地下水评价内容提出的防渗分区及防渗措施。</w:t>
                  </w:r>
                </w:p>
                <w:p>
                  <w:pPr>
                    <w:rPr>
                      <w:szCs w:val="21"/>
                    </w:rPr>
                  </w:pPr>
                  <w:r>
                    <w:rPr>
                      <w:szCs w:val="21"/>
                    </w:rPr>
                    <w:t>针对地面漫流影响实施井场清污分流措施，在井场四周设置雨水排水沟，场外雨水随雨水沟排放；井场分为清洁区和污染区，通过挡墙隔离。污染区雨水进入集水坑收集泵提升废水罐处理后回用。清洁区雨水通过场地内的4个隔油池沉淀隔油处理后外排。油罐区雨水经过隔油池处理后外排。</w:t>
                  </w:r>
                </w:p>
              </w:tc>
              <w:tc>
                <w:tcPr>
                  <w:tcW w:w="918" w:type="dxa"/>
                  <w:tcBorders>
                    <w:tl2br w:val="nil"/>
                    <w:tr2bl w:val="nil"/>
                  </w:tcBorders>
                  <w:vAlign w:val="center"/>
                </w:tcPr>
                <w:p>
                  <w:pPr>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restart"/>
                  <w:tcBorders>
                    <w:tl2br w:val="nil"/>
                    <w:tr2bl w:val="nil"/>
                  </w:tcBorders>
                  <w:vAlign w:val="center"/>
                </w:tcPr>
                <w:p>
                  <w:pPr>
                    <w:pStyle w:val="20"/>
                    <w:adjustRightInd w:val="0"/>
                    <w:spacing w:before="0" w:after="0" w:line="240" w:lineRule="auto"/>
                    <w:ind w:right="0"/>
                    <w:jc w:val="center"/>
                    <w:rPr>
                      <w:sz w:val="21"/>
                      <w:szCs w:val="21"/>
                    </w:rPr>
                  </w:pPr>
                  <w:r>
                    <w:rPr>
                      <w:sz w:val="21"/>
                      <w:szCs w:val="21"/>
                    </w:rPr>
                    <w:t>环境风险</w:t>
                  </w:r>
                </w:p>
              </w:tc>
              <w:tc>
                <w:tcPr>
                  <w:tcW w:w="6530" w:type="dxa"/>
                  <w:gridSpan w:val="2"/>
                  <w:tcBorders>
                    <w:tl2br w:val="nil"/>
                    <w:tr2bl w:val="nil"/>
                  </w:tcBorders>
                  <w:vAlign w:val="center"/>
                </w:tcPr>
                <w:p>
                  <w:pPr>
                    <w:rPr>
                      <w:szCs w:val="21"/>
                    </w:rPr>
                  </w:pPr>
                  <w:r>
                    <w:rPr>
                      <w:szCs w:val="21"/>
                    </w:rPr>
                    <w:t>废水、油类储存转运泄漏防范措施</w:t>
                  </w:r>
                </w:p>
              </w:tc>
              <w:tc>
                <w:tcPr>
                  <w:tcW w:w="918" w:type="dxa"/>
                  <w:vMerge w:val="restart"/>
                  <w:tcBorders>
                    <w:tl2br w:val="nil"/>
                    <w:tr2bl w:val="nil"/>
                  </w:tcBorders>
                  <w:vAlign w:val="center"/>
                </w:tcPr>
                <w:p>
                  <w:pPr>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6530" w:type="dxa"/>
                  <w:gridSpan w:val="2"/>
                  <w:tcBorders>
                    <w:tl2br w:val="nil"/>
                    <w:tr2bl w:val="nil"/>
                  </w:tcBorders>
                  <w:vAlign w:val="center"/>
                </w:tcPr>
                <w:p>
                  <w:pPr>
                    <w:rPr>
                      <w:szCs w:val="21"/>
                    </w:rPr>
                  </w:pPr>
                  <w:r>
                    <w:rPr>
                      <w:szCs w:val="21"/>
                    </w:rPr>
                    <w:t>周边农户宣传、职工环保培训；编制应急预案及培训、演练等</w:t>
                  </w:r>
                </w:p>
              </w:tc>
              <w:tc>
                <w:tcPr>
                  <w:tcW w:w="918"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vMerge w:val="continue"/>
                  <w:tcBorders>
                    <w:tl2br w:val="nil"/>
                    <w:tr2bl w:val="nil"/>
                  </w:tcBorders>
                  <w:vAlign w:val="center"/>
                </w:tcPr>
                <w:p>
                  <w:pPr>
                    <w:pStyle w:val="20"/>
                    <w:adjustRightInd w:val="0"/>
                    <w:spacing w:before="0" w:after="0" w:line="240" w:lineRule="auto"/>
                    <w:ind w:right="0"/>
                    <w:jc w:val="center"/>
                    <w:rPr>
                      <w:sz w:val="21"/>
                      <w:szCs w:val="21"/>
                    </w:rPr>
                  </w:pPr>
                </w:p>
              </w:tc>
              <w:tc>
                <w:tcPr>
                  <w:tcW w:w="6530" w:type="dxa"/>
                  <w:gridSpan w:val="2"/>
                  <w:tcBorders>
                    <w:tl2br w:val="nil"/>
                    <w:tr2bl w:val="nil"/>
                  </w:tcBorders>
                  <w:vAlign w:val="center"/>
                </w:tcPr>
                <w:p>
                  <w:pPr>
                    <w:rPr>
                      <w:szCs w:val="21"/>
                    </w:rPr>
                  </w:pPr>
                  <w:r>
                    <w:rPr>
                      <w:szCs w:val="21"/>
                    </w:rPr>
                    <w:t>做好应急预案及防护措施，完备应急物资，及时进行应急演练</w:t>
                  </w:r>
                </w:p>
              </w:tc>
              <w:tc>
                <w:tcPr>
                  <w:tcW w:w="918"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2" w:type="dxa"/>
                  <w:tcBorders>
                    <w:tl2br w:val="nil"/>
                    <w:tr2bl w:val="nil"/>
                  </w:tcBorders>
                  <w:vAlign w:val="center"/>
                </w:tcPr>
                <w:p>
                  <w:pPr>
                    <w:pStyle w:val="20"/>
                    <w:adjustRightInd w:val="0"/>
                    <w:spacing w:before="0" w:after="0" w:line="240" w:lineRule="auto"/>
                    <w:ind w:right="0"/>
                    <w:jc w:val="center"/>
                    <w:rPr>
                      <w:sz w:val="21"/>
                      <w:szCs w:val="21"/>
                    </w:rPr>
                  </w:pPr>
                  <w:r>
                    <w:rPr>
                      <w:sz w:val="21"/>
                      <w:szCs w:val="21"/>
                    </w:rPr>
                    <w:t>合计</w:t>
                  </w:r>
                </w:p>
              </w:tc>
              <w:tc>
                <w:tcPr>
                  <w:tcW w:w="6530" w:type="dxa"/>
                  <w:gridSpan w:val="2"/>
                  <w:tcBorders>
                    <w:tl2br w:val="nil"/>
                    <w:tr2bl w:val="nil"/>
                  </w:tcBorders>
                  <w:vAlign w:val="center"/>
                </w:tcPr>
                <w:p>
                  <w:pPr>
                    <w:jc w:val="center"/>
                    <w:rPr>
                      <w:bCs/>
                      <w:szCs w:val="21"/>
                    </w:rPr>
                  </w:pPr>
                  <w:r>
                    <w:rPr>
                      <w:bCs/>
                      <w:szCs w:val="21"/>
                    </w:rPr>
                    <w:t>/</w:t>
                  </w:r>
                </w:p>
              </w:tc>
              <w:tc>
                <w:tcPr>
                  <w:tcW w:w="918" w:type="dxa"/>
                  <w:tcBorders>
                    <w:tl2br w:val="nil"/>
                    <w:tr2bl w:val="nil"/>
                  </w:tcBorders>
                  <w:vAlign w:val="center"/>
                </w:tcPr>
                <w:p>
                  <w:pPr>
                    <w:adjustRightInd w:val="0"/>
                    <w:jc w:val="center"/>
                    <w:rPr>
                      <w:szCs w:val="21"/>
                    </w:rPr>
                  </w:pPr>
                  <w:r>
                    <w:rPr>
                      <w:rFonts w:hint="eastAsia"/>
                      <w:szCs w:val="21"/>
                    </w:rPr>
                    <w:t>173</w:t>
                  </w:r>
                </w:p>
              </w:tc>
            </w:tr>
          </w:tbl>
          <w:p>
            <w:pPr>
              <w:adjustRightInd w:val="0"/>
              <w:snapToGrid w:val="0"/>
              <w:rPr>
                <w:bCs/>
                <w:spacing w:val="10"/>
                <w:szCs w:val="21"/>
              </w:rPr>
            </w:pPr>
          </w:p>
        </w:tc>
      </w:tr>
    </w:tbl>
    <w:p>
      <w:pPr>
        <w:rPr>
          <w:szCs w:val="21"/>
        </w:rPr>
        <w:sectPr>
          <w:pgSz w:w="11906" w:h="16838"/>
          <w:pgMar w:top="1417" w:right="1417" w:bottom="1417" w:left="1701" w:header="851" w:footer="1077" w:gutter="0"/>
          <w:cols w:space="720" w:num="1"/>
          <w:docGrid w:linePitch="312" w:charSpace="0"/>
        </w:sectPr>
      </w:pPr>
    </w:p>
    <w:p>
      <w:pPr>
        <w:pStyle w:val="38"/>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六、生态环境保护措施监督检查清单</w:t>
      </w:r>
    </w:p>
    <w:tbl>
      <w:tblPr>
        <w:tblStyle w:val="44"/>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pPr>
              <w:pStyle w:val="38"/>
              <w:adjustRightInd w:val="0"/>
              <w:snapToGrid w:val="0"/>
              <w:spacing w:before="0" w:beforeAutospacing="0" w:after="0" w:afterAutospacing="0"/>
              <w:jc w:val="right"/>
              <w:rPr>
                <w:rFonts w:ascii="Times New Roman" w:hAnsi="Times New Roman" w:eastAsia="黑体"/>
                <w:kern w:val="2"/>
                <w:sz w:val="21"/>
                <w:szCs w:val="21"/>
              </w:rPr>
            </w:pPr>
            <w:bookmarkStart w:id="55" w:name="_Hlk105444047"/>
            <w:r>
              <w:rPr>
                <w:rFonts w:ascii="Times New Roman" w:hAnsi="Times New Roman" w:eastAsia="黑体"/>
                <w:kern w:val="2"/>
                <w:sz w:val="21"/>
                <w:szCs w:val="21"/>
              </w:rPr>
              <w:t>内容</w:t>
            </w:r>
          </w:p>
          <w:p>
            <w:pPr>
              <w:pStyle w:val="38"/>
              <w:adjustRightInd w:val="0"/>
              <w:snapToGrid w:val="0"/>
              <w:spacing w:before="0" w:beforeAutospacing="0" w:after="0" w:afterAutospacing="0"/>
              <w:rPr>
                <w:rFonts w:ascii="Times New Roman" w:hAnsi="Times New Roman" w:eastAsia="黑体"/>
                <w:kern w:val="2"/>
                <w:sz w:val="21"/>
                <w:szCs w:val="21"/>
              </w:rPr>
            </w:pPr>
            <w:r>
              <w:rPr>
                <w:rFonts w:ascii="Times New Roman" w:hAnsi="Times New Roman" w:eastAsia="黑体"/>
                <w:kern w:val="2"/>
                <w:sz w:val="21"/>
                <w:szCs w:val="21"/>
              </w:rPr>
              <w:t>要素</w:t>
            </w:r>
          </w:p>
        </w:tc>
        <w:tc>
          <w:tcPr>
            <w:tcW w:w="10485" w:type="dxa"/>
            <w:gridSpan w:val="5"/>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施工期</w:t>
            </w:r>
          </w:p>
        </w:tc>
        <w:tc>
          <w:tcPr>
            <w:tcW w:w="2324" w:type="dxa"/>
            <w:gridSpan w:val="2"/>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pPr>
              <w:pStyle w:val="38"/>
              <w:adjustRightInd w:val="0"/>
              <w:snapToGrid w:val="0"/>
              <w:spacing w:before="0" w:beforeAutospacing="0" w:after="0" w:afterAutospacing="0"/>
              <w:jc w:val="center"/>
              <w:rPr>
                <w:rFonts w:ascii="Times New Roman" w:hAnsi="Times New Roman" w:eastAsia="黑体"/>
                <w:kern w:val="2"/>
                <w:sz w:val="21"/>
                <w:szCs w:val="21"/>
              </w:rPr>
            </w:pPr>
          </w:p>
        </w:tc>
        <w:tc>
          <w:tcPr>
            <w:tcW w:w="7110" w:type="dxa"/>
            <w:gridSpan w:val="4"/>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3375" w:type="dxa"/>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158" w:type="dxa"/>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166" w:type="dxa"/>
            <w:vAlign w:val="center"/>
          </w:tcPr>
          <w:p>
            <w:pPr>
              <w:pStyle w:val="38"/>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szCs w:val="21"/>
              </w:rPr>
            </w:pPr>
            <w:r>
              <w:rPr>
                <w:szCs w:val="21"/>
              </w:rPr>
              <w:t>陆生生态</w:t>
            </w:r>
          </w:p>
        </w:tc>
        <w:tc>
          <w:tcPr>
            <w:tcW w:w="2074" w:type="dxa"/>
            <w:gridSpan w:val="2"/>
            <w:vAlign w:val="center"/>
          </w:tcPr>
          <w:p>
            <w:pPr>
              <w:adjustRightInd w:val="0"/>
              <w:snapToGrid w:val="0"/>
              <w:rPr>
                <w:szCs w:val="21"/>
              </w:rPr>
            </w:pPr>
            <w:r>
              <w:rPr>
                <w:szCs w:val="21"/>
              </w:rPr>
              <w:t>减少影响范围、生态恢复</w:t>
            </w:r>
          </w:p>
        </w:tc>
        <w:tc>
          <w:tcPr>
            <w:tcW w:w="5036" w:type="dxa"/>
            <w:gridSpan w:val="2"/>
            <w:vAlign w:val="center"/>
          </w:tcPr>
          <w:p>
            <w:pPr>
              <w:adjustRightInd w:val="0"/>
              <w:snapToGrid w:val="0"/>
              <w:rPr>
                <w:szCs w:val="21"/>
              </w:rPr>
            </w:pPr>
            <w:r>
              <w:rPr>
                <w:szCs w:val="21"/>
              </w:rPr>
              <w:t>场地减少雨水冲刷；场地周围修临时排水沟。</w:t>
            </w:r>
          </w:p>
        </w:tc>
        <w:tc>
          <w:tcPr>
            <w:tcW w:w="3375" w:type="dxa"/>
            <w:vAlign w:val="center"/>
          </w:tcPr>
          <w:p>
            <w:pPr>
              <w:rPr>
                <w:szCs w:val="21"/>
              </w:rPr>
            </w:pPr>
            <w:r>
              <w:rPr>
                <w:szCs w:val="21"/>
              </w:rPr>
              <w:t>满足水土保持验收要求</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2074" w:type="dxa"/>
            <w:gridSpan w:val="2"/>
            <w:vAlign w:val="center"/>
          </w:tcPr>
          <w:p>
            <w:pPr>
              <w:adjustRightInd w:val="0"/>
              <w:snapToGrid w:val="0"/>
              <w:rPr>
                <w:szCs w:val="21"/>
              </w:rPr>
            </w:pPr>
            <w:r>
              <w:rPr>
                <w:szCs w:val="21"/>
              </w:rPr>
              <w:t>临时占地恢复</w:t>
            </w:r>
          </w:p>
        </w:tc>
        <w:tc>
          <w:tcPr>
            <w:tcW w:w="5036" w:type="dxa"/>
            <w:gridSpan w:val="2"/>
            <w:vAlign w:val="center"/>
          </w:tcPr>
          <w:p>
            <w:pPr>
              <w:adjustRightInd w:val="0"/>
              <w:snapToGrid w:val="0"/>
              <w:rPr>
                <w:szCs w:val="21"/>
              </w:rPr>
            </w:pPr>
            <w:r>
              <w:rPr>
                <w:szCs w:val="21"/>
              </w:rPr>
              <w:t>根据《中华人民共和国土地管理法》和相关地方规定对工程永久征地、临时占地进行补偿；施工结束后对放喷池进行拆除，并进行迹地恢复。后期若不再使用，则对</w:t>
            </w:r>
            <w:r>
              <w:rPr>
                <w:rFonts w:hint="eastAsia"/>
                <w:szCs w:val="21"/>
              </w:rPr>
              <w:t>废水池</w:t>
            </w:r>
            <w:r>
              <w:rPr>
                <w:szCs w:val="21"/>
              </w:rPr>
              <w:t>进行拆除回填覆土及生态恢复。</w:t>
            </w:r>
          </w:p>
        </w:tc>
        <w:tc>
          <w:tcPr>
            <w:tcW w:w="3375" w:type="dxa"/>
            <w:vAlign w:val="center"/>
          </w:tcPr>
          <w:p>
            <w:pPr>
              <w:rPr>
                <w:szCs w:val="21"/>
              </w:rPr>
            </w:pPr>
            <w:r>
              <w:rPr>
                <w:szCs w:val="21"/>
              </w:rPr>
              <w:t>占地恢复原有土地利用性质</w:t>
            </w: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2074" w:type="dxa"/>
            <w:gridSpan w:val="2"/>
            <w:vAlign w:val="center"/>
          </w:tcPr>
          <w:p>
            <w:pPr>
              <w:adjustRightInd w:val="0"/>
              <w:snapToGrid w:val="0"/>
              <w:rPr>
                <w:szCs w:val="21"/>
              </w:rPr>
            </w:pPr>
            <w:r>
              <w:rPr>
                <w:szCs w:val="21"/>
              </w:rPr>
              <w:t>植被恢复</w:t>
            </w:r>
          </w:p>
        </w:tc>
        <w:tc>
          <w:tcPr>
            <w:tcW w:w="5036" w:type="dxa"/>
            <w:gridSpan w:val="2"/>
            <w:vAlign w:val="center"/>
          </w:tcPr>
          <w:p>
            <w:pPr>
              <w:adjustRightInd w:val="0"/>
              <w:snapToGrid w:val="0"/>
              <w:rPr>
                <w:szCs w:val="21"/>
              </w:rPr>
            </w:pPr>
            <w:r>
              <w:rPr>
                <w:szCs w:val="21"/>
              </w:rPr>
              <w:t>施工结束后对不再使用的临时占地进行复垦和植被恢复，应满足《土地复垦质里控制标准》（TD/T1036-2013）中规定的要求，满足居民正常耕种要求。</w:t>
            </w:r>
          </w:p>
        </w:tc>
        <w:tc>
          <w:tcPr>
            <w:tcW w:w="3375" w:type="dxa"/>
            <w:vAlign w:val="center"/>
          </w:tcPr>
          <w:p>
            <w:pPr>
              <w:rPr>
                <w:szCs w:val="21"/>
              </w:rPr>
            </w:pPr>
            <w:r>
              <w:rPr>
                <w:szCs w:val="21"/>
              </w:rPr>
              <w:t>土地恢复生产力</w:t>
            </w: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水生生态</w:t>
            </w:r>
          </w:p>
        </w:tc>
        <w:tc>
          <w:tcPr>
            <w:tcW w:w="7110" w:type="dxa"/>
            <w:gridSpan w:val="4"/>
            <w:vAlign w:val="center"/>
          </w:tcPr>
          <w:p>
            <w:pPr>
              <w:adjustRightInd w:val="0"/>
              <w:snapToGrid w:val="0"/>
              <w:rPr>
                <w:szCs w:val="21"/>
              </w:rPr>
            </w:pPr>
            <w:r>
              <w:rPr>
                <w:szCs w:val="21"/>
              </w:rPr>
              <w:t>/</w:t>
            </w:r>
          </w:p>
        </w:tc>
        <w:tc>
          <w:tcPr>
            <w:tcW w:w="3375" w:type="dxa"/>
            <w:vAlign w:val="center"/>
          </w:tcPr>
          <w:p>
            <w:pPr>
              <w:adjustRightInd w:val="0"/>
              <w:snapToGrid w:val="0"/>
              <w:rPr>
                <w:szCs w:val="21"/>
              </w:rPr>
            </w:pPr>
            <w:r>
              <w:rPr>
                <w:szCs w:val="21"/>
              </w:rPr>
              <w:t>/</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szCs w:val="21"/>
              </w:rPr>
            </w:pPr>
            <w:r>
              <w:rPr>
                <w:szCs w:val="21"/>
              </w:rPr>
              <w:t>地表水环境</w:t>
            </w:r>
          </w:p>
        </w:tc>
        <w:tc>
          <w:tcPr>
            <w:tcW w:w="7110" w:type="dxa"/>
            <w:gridSpan w:val="4"/>
            <w:vAlign w:val="center"/>
          </w:tcPr>
          <w:p>
            <w:pPr>
              <w:adjustRightInd w:val="0"/>
              <w:snapToGrid w:val="0"/>
              <w:rPr>
                <w:szCs w:val="21"/>
              </w:rPr>
            </w:pPr>
            <w:r>
              <w:rPr>
                <w:szCs w:val="21"/>
              </w:rPr>
              <w:t>落实清污分流措施；场地雨水集水坑泵入清洁生产操作平台废水罐处理回用。</w:t>
            </w:r>
          </w:p>
        </w:tc>
        <w:tc>
          <w:tcPr>
            <w:tcW w:w="3375" w:type="dxa"/>
            <w:vMerge w:val="restart"/>
            <w:vAlign w:val="center"/>
          </w:tcPr>
          <w:p>
            <w:pPr>
              <w:adjustRightInd w:val="0"/>
              <w:snapToGrid w:val="0"/>
              <w:rPr>
                <w:szCs w:val="21"/>
              </w:rPr>
            </w:pPr>
            <w:r>
              <w:rPr>
                <w:szCs w:val="21"/>
              </w:rPr>
              <w:t>污废水全部按要求处理，钻井、洗井、</w:t>
            </w:r>
            <w:r>
              <w:rPr>
                <w:rFonts w:hint="eastAsia"/>
                <w:szCs w:val="21"/>
              </w:rPr>
              <w:t>压裂</w:t>
            </w:r>
            <w:r>
              <w:rPr>
                <w:szCs w:val="21"/>
              </w:rPr>
              <w:t>废水建立转运五联单，转运及交接等联单手续齐全，现场无污废水遗留及排放；落实生活污水处理措施</w:t>
            </w: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szCs w:val="21"/>
              </w:rPr>
              <w:t>钻井废水经沉淀预处理后回用于钻井补充泥浆配置，完井阶段井废水暂存于废水罐中，回用于配制压裂液，现场无废水外排。</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szCs w:val="21"/>
              </w:rPr>
              <w:t>洗井废水进入清洁生产操作平台的废水罐采用沉淀预处理工艺后临时储存</w:t>
            </w:r>
            <w:r>
              <w:rPr>
                <w:rFonts w:hint="eastAsia"/>
                <w:szCs w:val="21"/>
              </w:rPr>
              <w:t>废水池</w:t>
            </w:r>
            <w:r>
              <w:rPr>
                <w:szCs w:val="21"/>
              </w:rPr>
              <w:t>中，用于配制压裂液。现场无废水外排。</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rFonts w:hint="eastAsia"/>
                <w:szCs w:val="21"/>
              </w:rPr>
              <w:t>储层改造作业废水同</w:t>
            </w:r>
            <w:r>
              <w:rPr>
                <w:szCs w:val="21"/>
              </w:rPr>
              <w:t>压裂返排液暂存于</w:t>
            </w:r>
            <w:r>
              <w:rPr>
                <w:rFonts w:hint="eastAsia"/>
                <w:szCs w:val="21"/>
              </w:rPr>
              <w:t>废水池</w:t>
            </w:r>
            <w:r>
              <w:rPr>
                <w:szCs w:val="21"/>
              </w:rPr>
              <w:t>通过罐车拉运至大湾403污水站处理达标后管输至毛开1井回注站回注，现场无废水外排。</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szCs w:val="21"/>
              </w:rPr>
              <w:t>生活污水经</w:t>
            </w:r>
            <w:r>
              <w:rPr>
                <w:rFonts w:hint="eastAsia"/>
                <w:szCs w:val="21"/>
              </w:rPr>
              <w:t>生态一体化厕所</w:t>
            </w:r>
            <w:r>
              <w:rPr>
                <w:szCs w:val="21"/>
              </w:rPr>
              <w:t>收集后定期由清粪车拉运至</w:t>
            </w:r>
            <w:r>
              <w:rPr>
                <w:rFonts w:hint="eastAsia"/>
                <w:szCs w:val="21"/>
              </w:rPr>
              <w:t>大成镇</w:t>
            </w:r>
            <w:r>
              <w:rPr>
                <w:szCs w:val="21"/>
              </w:rPr>
              <w:t>生活污水处理厂处理。</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地下水及土壤环境</w:t>
            </w:r>
          </w:p>
        </w:tc>
        <w:tc>
          <w:tcPr>
            <w:tcW w:w="7110" w:type="dxa"/>
            <w:gridSpan w:val="4"/>
            <w:vAlign w:val="center"/>
          </w:tcPr>
          <w:p>
            <w:pPr>
              <w:adjustRightInd w:val="0"/>
              <w:snapToGrid w:val="0"/>
              <w:rPr>
                <w:szCs w:val="21"/>
              </w:rPr>
            </w:pPr>
            <w:r>
              <w:rPr>
                <w:szCs w:val="21"/>
              </w:rPr>
              <w:t>落实钻井方案及钻井液方案；落实井场分区防渗情况</w:t>
            </w:r>
          </w:p>
        </w:tc>
        <w:tc>
          <w:tcPr>
            <w:tcW w:w="3375" w:type="dxa"/>
            <w:vAlign w:val="center"/>
          </w:tcPr>
          <w:p>
            <w:pPr>
              <w:adjustRightInd w:val="0"/>
              <w:snapToGrid w:val="0"/>
              <w:rPr>
                <w:szCs w:val="21"/>
              </w:rPr>
            </w:pPr>
            <w:r>
              <w:rPr>
                <w:szCs w:val="21"/>
              </w:rPr>
              <w:t>各防渗区等级满足防渗要求，各污染物均按要求收集及处理处置。</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声环境</w:t>
            </w:r>
          </w:p>
        </w:tc>
        <w:tc>
          <w:tcPr>
            <w:tcW w:w="7110" w:type="dxa"/>
            <w:gridSpan w:val="4"/>
            <w:vAlign w:val="center"/>
          </w:tcPr>
          <w:p>
            <w:pPr>
              <w:adjustRightInd w:val="0"/>
              <w:snapToGrid w:val="0"/>
              <w:rPr>
                <w:szCs w:val="21"/>
              </w:rPr>
            </w:pPr>
            <w:r>
              <w:rPr>
                <w:szCs w:val="21"/>
              </w:rPr>
              <w:t>选用低噪声设备、合理布置噪声设备，并采取相应减噪措施，作业前先发布公告，并告知高噪声作业时间，加强沟通协调。</w:t>
            </w:r>
          </w:p>
        </w:tc>
        <w:tc>
          <w:tcPr>
            <w:tcW w:w="3375" w:type="dxa"/>
            <w:vAlign w:val="center"/>
          </w:tcPr>
          <w:p>
            <w:pPr>
              <w:adjustRightInd w:val="0"/>
              <w:snapToGrid w:val="0"/>
              <w:rPr>
                <w:szCs w:val="21"/>
              </w:rPr>
            </w:pPr>
            <w:r>
              <w:rPr>
                <w:szCs w:val="21"/>
              </w:rPr>
              <w:t>按要求设置相应的噪声控制措施</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振动</w:t>
            </w:r>
          </w:p>
        </w:tc>
        <w:tc>
          <w:tcPr>
            <w:tcW w:w="7110" w:type="dxa"/>
            <w:gridSpan w:val="4"/>
            <w:vAlign w:val="center"/>
          </w:tcPr>
          <w:p>
            <w:pPr>
              <w:adjustRightInd w:val="0"/>
              <w:snapToGrid w:val="0"/>
              <w:rPr>
                <w:szCs w:val="21"/>
              </w:rPr>
            </w:pPr>
            <w:r>
              <w:rPr>
                <w:szCs w:val="21"/>
              </w:rPr>
              <w:t>/</w:t>
            </w:r>
          </w:p>
        </w:tc>
        <w:tc>
          <w:tcPr>
            <w:tcW w:w="3375" w:type="dxa"/>
            <w:vAlign w:val="center"/>
          </w:tcPr>
          <w:p>
            <w:pPr>
              <w:adjustRightInd w:val="0"/>
              <w:snapToGrid w:val="0"/>
              <w:rPr>
                <w:szCs w:val="21"/>
              </w:rPr>
            </w:pPr>
            <w:r>
              <w:rPr>
                <w:szCs w:val="21"/>
              </w:rPr>
              <w:t>/</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大气环境</w:t>
            </w:r>
          </w:p>
        </w:tc>
        <w:tc>
          <w:tcPr>
            <w:tcW w:w="7110" w:type="dxa"/>
            <w:gridSpan w:val="4"/>
            <w:vAlign w:val="center"/>
          </w:tcPr>
          <w:p>
            <w:pPr>
              <w:adjustRightInd w:val="0"/>
              <w:snapToGrid w:val="0"/>
              <w:rPr>
                <w:szCs w:val="21"/>
              </w:rPr>
            </w:pPr>
            <w:r>
              <w:rPr>
                <w:szCs w:val="21"/>
              </w:rPr>
              <w:t>使用符合环保要求的柴油机及燃料，</w:t>
            </w:r>
            <w:r>
              <w:rPr>
                <w:rFonts w:hint="eastAsia"/>
                <w:szCs w:val="21"/>
              </w:rPr>
              <w:t>试气作业</w:t>
            </w:r>
            <w:r>
              <w:rPr>
                <w:szCs w:val="21"/>
              </w:rPr>
              <w:t>废气</w:t>
            </w:r>
            <w:r>
              <w:rPr>
                <w:rFonts w:hint="eastAsia"/>
                <w:szCs w:val="21"/>
              </w:rPr>
              <w:t>满足排放标准。</w:t>
            </w:r>
          </w:p>
        </w:tc>
        <w:tc>
          <w:tcPr>
            <w:tcW w:w="3375" w:type="dxa"/>
            <w:vAlign w:val="center"/>
          </w:tcPr>
          <w:p>
            <w:pPr>
              <w:adjustRightInd w:val="0"/>
              <w:snapToGrid w:val="0"/>
              <w:rPr>
                <w:szCs w:val="21"/>
              </w:rPr>
            </w:pPr>
            <w:r>
              <w:rPr>
                <w:szCs w:val="21"/>
              </w:rPr>
              <w:t>按要求实施，区域环境功能不会发生改变</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szCs w:val="21"/>
              </w:rPr>
            </w:pPr>
            <w:r>
              <w:rPr>
                <w:szCs w:val="21"/>
              </w:rPr>
              <w:t>固体废物</w:t>
            </w:r>
          </w:p>
        </w:tc>
        <w:tc>
          <w:tcPr>
            <w:tcW w:w="7110" w:type="dxa"/>
            <w:gridSpan w:val="4"/>
            <w:vMerge w:val="restart"/>
            <w:vAlign w:val="center"/>
          </w:tcPr>
          <w:p>
            <w:pPr>
              <w:adjustRightInd w:val="0"/>
              <w:snapToGrid w:val="0"/>
              <w:rPr>
                <w:szCs w:val="21"/>
              </w:rPr>
            </w:pPr>
            <w:r>
              <w:rPr>
                <w:szCs w:val="21"/>
              </w:rPr>
              <w:t>落实岩屑堆存区情况，</w:t>
            </w:r>
            <w:r>
              <w:rPr>
                <w:rFonts w:hint="eastAsia"/>
                <w:szCs w:val="21"/>
              </w:rPr>
              <w:t>导眼</w:t>
            </w:r>
            <w:r>
              <w:rPr>
                <w:szCs w:val="21"/>
              </w:rPr>
              <w:t>井段产生的水基岩屑由岩屑收集罐进行收集暂存岩屑堆放区，钻井废弃泥浆收集至清洁生产操作平台内的循环罐暂存，</w:t>
            </w:r>
            <w:r>
              <w:rPr>
                <w:rFonts w:hint="eastAsia"/>
                <w:szCs w:val="21"/>
              </w:rPr>
              <w:t>就近交由有资质单位进行资源化利用</w:t>
            </w:r>
            <w:r>
              <w:rPr>
                <w:szCs w:val="21"/>
              </w:rPr>
              <w:t>。</w:t>
            </w:r>
          </w:p>
        </w:tc>
        <w:tc>
          <w:tcPr>
            <w:tcW w:w="3375" w:type="dxa"/>
            <w:vMerge w:val="restart"/>
            <w:vAlign w:val="center"/>
          </w:tcPr>
          <w:p>
            <w:pPr>
              <w:adjustRightInd w:val="0"/>
              <w:snapToGrid w:val="0"/>
              <w:rPr>
                <w:szCs w:val="21"/>
              </w:rPr>
            </w:pPr>
            <w:r>
              <w:rPr>
                <w:szCs w:val="21"/>
              </w:rPr>
              <w:t>固体废物按要求处置，转运及交接等联单手续齐全，现场无遗留</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Merge w:val="continue"/>
            <w:vAlign w:val="center"/>
          </w:tcPr>
          <w:p>
            <w:pPr>
              <w:adjustRightInd w:val="0"/>
              <w:snapToGrid w:val="0"/>
              <w:rPr>
                <w:szCs w:val="21"/>
              </w:rPr>
            </w:pP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Merge w:val="restart"/>
            <w:vAlign w:val="center"/>
          </w:tcPr>
          <w:p>
            <w:pPr>
              <w:adjustRightInd w:val="0"/>
              <w:snapToGrid w:val="0"/>
              <w:rPr>
                <w:szCs w:val="21"/>
              </w:rPr>
            </w:pPr>
            <w:r>
              <w:rPr>
                <w:szCs w:val="21"/>
              </w:rPr>
              <w:t>废油、废油桶经收集后拟及时交由</w:t>
            </w:r>
            <w:r>
              <w:rPr>
                <w:rFonts w:hint="eastAsia"/>
                <w:szCs w:val="21"/>
              </w:rPr>
              <w:t>有资质单位</w:t>
            </w:r>
            <w:r>
              <w:rPr>
                <w:szCs w:val="21"/>
              </w:rPr>
              <w:t>处置。</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Merge w:val="continue"/>
            <w:vAlign w:val="center"/>
          </w:tcPr>
          <w:p>
            <w:pPr>
              <w:adjustRightInd w:val="0"/>
              <w:snapToGrid w:val="0"/>
              <w:rPr>
                <w:szCs w:val="21"/>
              </w:rPr>
            </w:pP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szCs w:val="21"/>
              </w:rPr>
              <w:t>废包装材料收集后定期运至就近的废品回收站进行处理</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110" w:type="dxa"/>
            <w:gridSpan w:val="4"/>
            <w:vAlign w:val="center"/>
          </w:tcPr>
          <w:p>
            <w:pPr>
              <w:adjustRightInd w:val="0"/>
              <w:snapToGrid w:val="0"/>
              <w:rPr>
                <w:szCs w:val="21"/>
              </w:rPr>
            </w:pPr>
            <w:r>
              <w:rPr>
                <w:szCs w:val="21"/>
              </w:rPr>
              <w:t>生活垃圾由井场区和生活区垃圾箱收集，定期送当地环卫部门收集处置。废包装材料量较少，收集后全部回收利用。</w:t>
            </w:r>
          </w:p>
        </w:tc>
        <w:tc>
          <w:tcPr>
            <w:tcW w:w="3375" w:type="dxa"/>
            <w:vMerge w:val="continue"/>
            <w:vAlign w:val="center"/>
          </w:tcPr>
          <w:p>
            <w:pPr>
              <w:adjustRightInd w:val="0"/>
              <w:snapToGrid w:val="0"/>
              <w:rPr>
                <w:szCs w:val="21"/>
              </w:rPr>
            </w:pPr>
          </w:p>
        </w:tc>
        <w:tc>
          <w:tcPr>
            <w:tcW w:w="1158" w:type="dxa"/>
            <w:vAlign w:val="center"/>
          </w:tcPr>
          <w:p>
            <w:pPr>
              <w:adjustRightInd w:val="0"/>
              <w:snapToGrid w:val="0"/>
              <w:rPr>
                <w:szCs w:val="21"/>
              </w:rPr>
            </w:pPr>
          </w:p>
        </w:tc>
        <w:tc>
          <w:tcPr>
            <w:tcW w:w="1166" w:type="dxa"/>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电磁环境</w:t>
            </w:r>
          </w:p>
        </w:tc>
        <w:tc>
          <w:tcPr>
            <w:tcW w:w="7110" w:type="dxa"/>
            <w:gridSpan w:val="4"/>
            <w:vAlign w:val="center"/>
          </w:tcPr>
          <w:p>
            <w:pPr>
              <w:adjustRightInd w:val="0"/>
              <w:snapToGrid w:val="0"/>
              <w:rPr>
                <w:szCs w:val="21"/>
              </w:rPr>
            </w:pPr>
            <w:r>
              <w:rPr>
                <w:szCs w:val="21"/>
              </w:rPr>
              <w:t>/</w:t>
            </w:r>
          </w:p>
        </w:tc>
        <w:tc>
          <w:tcPr>
            <w:tcW w:w="3375" w:type="dxa"/>
            <w:vAlign w:val="center"/>
          </w:tcPr>
          <w:p>
            <w:pPr>
              <w:adjustRightInd w:val="0"/>
              <w:snapToGrid w:val="0"/>
              <w:rPr>
                <w:szCs w:val="21"/>
              </w:rPr>
            </w:pPr>
            <w:r>
              <w:rPr>
                <w:szCs w:val="21"/>
              </w:rPr>
              <w:t>/</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环境风险</w:t>
            </w:r>
          </w:p>
        </w:tc>
        <w:tc>
          <w:tcPr>
            <w:tcW w:w="7110" w:type="dxa"/>
            <w:gridSpan w:val="4"/>
            <w:vAlign w:val="center"/>
          </w:tcPr>
          <w:p>
            <w:pPr>
              <w:adjustRightInd w:val="0"/>
              <w:snapToGrid w:val="0"/>
              <w:rPr>
                <w:szCs w:val="21"/>
              </w:rPr>
            </w:pPr>
            <w:r>
              <w:rPr>
                <w:rFonts w:hint="eastAsia" w:ascii="宋体" w:hAnsi="宋体" w:cs="宋体"/>
                <w:szCs w:val="21"/>
              </w:rPr>
              <w:t>①</w:t>
            </w:r>
            <w:r>
              <w:rPr>
                <w:szCs w:val="21"/>
              </w:rPr>
              <w:t>水池完好无泄漏，作业废水得到及时转运，加设风险备用废水收集罐，无废水外溢事故发生。</w:t>
            </w:r>
          </w:p>
          <w:p>
            <w:pPr>
              <w:adjustRightInd w:val="0"/>
              <w:snapToGrid w:val="0"/>
              <w:rPr>
                <w:szCs w:val="21"/>
              </w:rPr>
            </w:pP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szCs w:val="21"/>
              </w:rPr>
              <w:t>做好集液池内废水转运工作，确保集液池内废水不外流；</w:t>
            </w:r>
          </w:p>
          <w:p>
            <w:pPr>
              <w:adjustRightInd w:val="0"/>
              <w:snapToGrid w:val="0"/>
              <w:rPr>
                <w:szCs w:val="21"/>
              </w:rPr>
            </w:pPr>
            <w:r>
              <w:rPr>
                <w:szCs w:val="21"/>
              </w:rPr>
              <w:fldChar w:fldCharType="begin"/>
            </w:r>
            <w:r>
              <w:rPr>
                <w:szCs w:val="21"/>
              </w:rPr>
              <w:instrText xml:space="preserve"> = 3 \* GB3 </w:instrText>
            </w:r>
            <w:r>
              <w:rPr>
                <w:szCs w:val="21"/>
              </w:rPr>
              <w:fldChar w:fldCharType="separate"/>
            </w:r>
            <w:r>
              <w:rPr>
                <w:rFonts w:hint="eastAsia" w:ascii="宋体" w:hAnsi="宋体" w:cs="宋体"/>
                <w:szCs w:val="21"/>
              </w:rPr>
              <w:t>③</w:t>
            </w:r>
            <w:r>
              <w:rPr>
                <w:szCs w:val="21"/>
              </w:rPr>
              <w:fldChar w:fldCharType="end"/>
            </w:r>
            <w:r>
              <w:rPr>
                <w:szCs w:val="21"/>
              </w:rPr>
              <w:t>具备符合行业规范和环评要求的环境风险应急预案，应急预案演练档案齐全。</w:t>
            </w:r>
          </w:p>
        </w:tc>
        <w:tc>
          <w:tcPr>
            <w:tcW w:w="3375" w:type="dxa"/>
            <w:vAlign w:val="center"/>
          </w:tcPr>
          <w:p>
            <w:pPr>
              <w:adjustRightInd w:val="0"/>
              <w:snapToGrid w:val="0"/>
              <w:rPr>
                <w:szCs w:val="21"/>
              </w:rPr>
            </w:pPr>
            <w:r>
              <w:rPr>
                <w:szCs w:val="21"/>
              </w:rPr>
              <w:t>不发生环境风险事故</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adjustRightInd w:val="0"/>
              <w:snapToGrid w:val="0"/>
              <w:jc w:val="center"/>
              <w:rPr>
                <w:szCs w:val="21"/>
              </w:rPr>
            </w:pPr>
            <w:r>
              <w:rPr>
                <w:szCs w:val="21"/>
              </w:rPr>
              <w:t>环境监测</w:t>
            </w:r>
          </w:p>
        </w:tc>
        <w:tc>
          <w:tcPr>
            <w:tcW w:w="735" w:type="dxa"/>
            <w:vAlign w:val="center"/>
          </w:tcPr>
          <w:p>
            <w:pPr>
              <w:adjustRightInd w:val="0"/>
              <w:snapToGrid w:val="0"/>
              <w:rPr>
                <w:szCs w:val="21"/>
              </w:rPr>
            </w:pPr>
            <w:r>
              <w:rPr>
                <w:szCs w:val="21"/>
              </w:rPr>
              <w:t>噪声</w:t>
            </w:r>
          </w:p>
        </w:tc>
        <w:tc>
          <w:tcPr>
            <w:tcW w:w="2625" w:type="dxa"/>
            <w:gridSpan w:val="2"/>
            <w:vAlign w:val="center"/>
          </w:tcPr>
          <w:p>
            <w:pPr>
              <w:adjustRightInd w:val="0"/>
              <w:snapToGrid w:val="0"/>
              <w:rPr>
                <w:szCs w:val="21"/>
              </w:rPr>
            </w:pPr>
            <w:r>
              <w:rPr>
                <w:szCs w:val="21"/>
              </w:rPr>
              <w:t>井站外1m处、居民点各设置1个监测点</w:t>
            </w:r>
          </w:p>
        </w:tc>
        <w:tc>
          <w:tcPr>
            <w:tcW w:w="3750" w:type="dxa"/>
            <w:vAlign w:val="center"/>
          </w:tcPr>
          <w:p>
            <w:pPr>
              <w:adjustRightInd w:val="0"/>
              <w:snapToGrid w:val="0"/>
              <w:rPr>
                <w:szCs w:val="21"/>
              </w:rPr>
            </w:pPr>
            <w:r>
              <w:rPr>
                <w:szCs w:val="21"/>
              </w:rPr>
              <w:t>等效连续A声级</w:t>
            </w:r>
          </w:p>
        </w:tc>
        <w:tc>
          <w:tcPr>
            <w:tcW w:w="3375" w:type="dxa"/>
            <w:vAlign w:val="center"/>
          </w:tcPr>
          <w:p>
            <w:pPr>
              <w:adjustRightInd w:val="0"/>
              <w:snapToGrid w:val="0"/>
              <w:rPr>
                <w:szCs w:val="21"/>
              </w:rPr>
            </w:pPr>
            <w:r>
              <w:rPr>
                <w:szCs w:val="21"/>
              </w:rPr>
              <w:t>验收监测1次</w:t>
            </w:r>
          </w:p>
        </w:tc>
        <w:tc>
          <w:tcPr>
            <w:tcW w:w="1158" w:type="dxa"/>
            <w:vMerge w:val="restart"/>
            <w:vAlign w:val="center"/>
          </w:tcPr>
          <w:p>
            <w:pPr>
              <w:adjustRightInd w:val="0"/>
              <w:snapToGrid w:val="0"/>
              <w:rPr>
                <w:szCs w:val="21"/>
              </w:rPr>
            </w:pPr>
          </w:p>
        </w:tc>
        <w:tc>
          <w:tcPr>
            <w:tcW w:w="1166" w:type="dxa"/>
            <w:vMerge w:val="restart"/>
            <w:vAlign w:val="center"/>
          </w:tcPr>
          <w:p>
            <w:pPr>
              <w:adjustRightInd w:val="0"/>
              <w:snapToGrid w:val="0"/>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35" w:type="dxa"/>
            <w:vAlign w:val="center"/>
          </w:tcPr>
          <w:p>
            <w:pPr>
              <w:adjustRightInd w:val="0"/>
              <w:snapToGrid w:val="0"/>
              <w:rPr>
                <w:szCs w:val="21"/>
              </w:rPr>
            </w:pPr>
            <w:r>
              <w:rPr>
                <w:szCs w:val="21"/>
              </w:rPr>
              <w:t>地下水</w:t>
            </w:r>
          </w:p>
        </w:tc>
        <w:tc>
          <w:tcPr>
            <w:tcW w:w="2625" w:type="dxa"/>
            <w:gridSpan w:val="2"/>
            <w:vAlign w:val="center"/>
          </w:tcPr>
          <w:p>
            <w:pPr>
              <w:adjustRightInd w:val="0"/>
              <w:snapToGrid w:val="0"/>
              <w:rPr>
                <w:szCs w:val="21"/>
              </w:rPr>
            </w:pPr>
            <w:r>
              <w:rPr>
                <w:szCs w:val="21"/>
              </w:rPr>
              <w:t>设置</w:t>
            </w:r>
            <w:r>
              <w:rPr>
                <w:rFonts w:hint="eastAsia"/>
                <w:szCs w:val="21"/>
              </w:rPr>
              <w:t>2</w:t>
            </w:r>
            <w:r>
              <w:rPr>
                <w:szCs w:val="21"/>
              </w:rPr>
              <w:t>个监测点位，位于井场上、下游各布设1个，主要为地下水影响跟踪监测及污染扩散监测点</w:t>
            </w:r>
          </w:p>
        </w:tc>
        <w:tc>
          <w:tcPr>
            <w:tcW w:w="3750" w:type="dxa"/>
            <w:vAlign w:val="center"/>
          </w:tcPr>
          <w:p>
            <w:pPr>
              <w:adjustRightInd w:val="0"/>
              <w:snapToGrid w:val="0"/>
              <w:rPr>
                <w:szCs w:val="21"/>
              </w:rPr>
            </w:pPr>
            <w:r>
              <w:rPr>
                <w:szCs w:val="21"/>
              </w:rPr>
              <w:t>pH、石油类、石油烃（C6~C9）、石油烃（C10~C40）、</w:t>
            </w:r>
            <w:r>
              <w:rPr>
                <w:rFonts w:hint="eastAsia"/>
                <w:szCs w:val="21"/>
              </w:rPr>
              <w:t>钡、</w:t>
            </w:r>
            <w:r>
              <w:rPr>
                <w:szCs w:val="21"/>
              </w:rPr>
              <w:t>汞、砷、六价铬</w:t>
            </w:r>
          </w:p>
        </w:tc>
        <w:tc>
          <w:tcPr>
            <w:tcW w:w="3375" w:type="dxa"/>
            <w:vAlign w:val="center"/>
          </w:tcPr>
          <w:p>
            <w:pPr>
              <w:adjustRightInd w:val="0"/>
              <w:snapToGrid w:val="0"/>
              <w:rPr>
                <w:szCs w:val="21"/>
              </w:rPr>
            </w:pPr>
            <w:r>
              <w:rPr>
                <w:szCs w:val="21"/>
              </w:rPr>
              <w:t>验收监测1次，每次连续监测1天，每天监测1次</w:t>
            </w:r>
          </w:p>
        </w:tc>
        <w:tc>
          <w:tcPr>
            <w:tcW w:w="1158" w:type="dxa"/>
            <w:vMerge w:val="continue"/>
            <w:vAlign w:val="center"/>
          </w:tcPr>
          <w:p>
            <w:pPr>
              <w:adjustRightInd w:val="0"/>
              <w:snapToGrid w:val="0"/>
              <w:rPr>
                <w:szCs w:val="21"/>
              </w:rPr>
            </w:pPr>
          </w:p>
        </w:tc>
        <w:tc>
          <w:tcPr>
            <w:tcW w:w="1166"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adjustRightInd w:val="0"/>
              <w:snapToGrid w:val="0"/>
              <w:jc w:val="center"/>
              <w:rPr>
                <w:szCs w:val="21"/>
              </w:rPr>
            </w:pPr>
          </w:p>
        </w:tc>
        <w:tc>
          <w:tcPr>
            <w:tcW w:w="735" w:type="dxa"/>
            <w:vAlign w:val="center"/>
          </w:tcPr>
          <w:p>
            <w:pPr>
              <w:adjustRightInd w:val="0"/>
              <w:snapToGrid w:val="0"/>
              <w:rPr>
                <w:szCs w:val="21"/>
              </w:rPr>
            </w:pPr>
            <w:r>
              <w:rPr>
                <w:szCs w:val="21"/>
              </w:rPr>
              <w:t>土壤</w:t>
            </w:r>
          </w:p>
        </w:tc>
        <w:tc>
          <w:tcPr>
            <w:tcW w:w="2625" w:type="dxa"/>
            <w:gridSpan w:val="2"/>
            <w:vAlign w:val="center"/>
          </w:tcPr>
          <w:p>
            <w:pPr>
              <w:adjustRightInd w:val="0"/>
              <w:snapToGrid w:val="0"/>
              <w:rPr>
                <w:szCs w:val="21"/>
              </w:rPr>
            </w:pPr>
            <w:r>
              <w:rPr>
                <w:szCs w:val="21"/>
              </w:rPr>
              <w:t>设置1个监测点位</w:t>
            </w:r>
          </w:p>
        </w:tc>
        <w:tc>
          <w:tcPr>
            <w:tcW w:w="3750" w:type="dxa"/>
            <w:vAlign w:val="center"/>
          </w:tcPr>
          <w:p>
            <w:pPr>
              <w:adjustRightInd w:val="0"/>
              <w:snapToGrid w:val="0"/>
              <w:rPr>
                <w:rFonts w:hint="default" w:eastAsia="宋体"/>
                <w:szCs w:val="21"/>
                <w:lang w:val="en-US" w:eastAsia="zh-CN"/>
              </w:rPr>
            </w:pPr>
            <w:r>
              <w:rPr>
                <w:rFonts w:hint="eastAsia"/>
                <w:szCs w:val="21"/>
              </w:rPr>
              <w:t>pH、</w:t>
            </w:r>
            <w:r>
              <w:rPr>
                <w:szCs w:val="21"/>
              </w:rPr>
              <w:t>石油类、石油烃（C6~C9）、石油烃（C10~C40）、汞、砷、六价铬</w:t>
            </w:r>
            <w:r>
              <w:rPr>
                <w:rFonts w:hint="eastAsia"/>
                <w:szCs w:val="21"/>
                <w:lang w:eastAsia="zh-CN"/>
              </w:rPr>
              <w:t>、</w:t>
            </w:r>
            <w:r>
              <w:rPr>
                <w:rFonts w:hint="eastAsia"/>
                <w:szCs w:val="21"/>
                <w:lang w:val="en-US" w:eastAsia="zh-CN"/>
              </w:rPr>
              <w:t>钡</w:t>
            </w:r>
          </w:p>
        </w:tc>
        <w:tc>
          <w:tcPr>
            <w:tcW w:w="3375" w:type="dxa"/>
            <w:vAlign w:val="center"/>
          </w:tcPr>
          <w:p>
            <w:pPr>
              <w:adjustRightInd w:val="0"/>
              <w:snapToGrid w:val="0"/>
              <w:rPr>
                <w:szCs w:val="21"/>
              </w:rPr>
            </w:pPr>
            <w:r>
              <w:rPr>
                <w:szCs w:val="21"/>
              </w:rPr>
              <w:t>验收监测1次，每次连续监测1天，每天监测1次</w:t>
            </w:r>
          </w:p>
        </w:tc>
        <w:tc>
          <w:tcPr>
            <w:tcW w:w="1158" w:type="dxa"/>
            <w:vMerge w:val="continue"/>
            <w:vAlign w:val="center"/>
          </w:tcPr>
          <w:p>
            <w:pPr>
              <w:adjustRightInd w:val="0"/>
              <w:snapToGrid w:val="0"/>
              <w:rPr>
                <w:szCs w:val="21"/>
              </w:rPr>
            </w:pPr>
          </w:p>
        </w:tc>
        <w:tc>
          <w:tcPr>
            <w:tcW w:w="1166"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adjustRightInd w:val="0"/>
              <w:snapToGrid w:val="0"/>
              <w:jc w:val="center"/>
              <w:rPr>
                <w:szCs w:val="21"/>
              </w:rPr>
            </w:pPr>
            <w:r>
              <w:rPr>
                <w:szCs w:val="21"/>
              </w:rPr>
              <w:t>其他</w:t>
            </w:r>
          </w:p>
        </w:tc>
        <w:tc>
          <w:tcPr>
            <w:tcW w:w="7110" w:type="dxa"/>
            <w:gridSpan w:val="4"/>
            <w:vAlign w:val="center"/>
          </w:tcPr>
          <w:p>
            <w:pPr>
              <w:adjustRightInd w:val="0"/>
              <w:snapToGrid w:val="0"/>
              <w:rPr>
                <w:szCs w:val="21"/>
              </w:rPr>
            </w:pPr>
            <w:r>
              <w:rPr>
                <w:szCs w:val="21"/>
              </w:rPr>
              <w:t>/</w:t>
            </w:r>
          </w:p>
        </w:tc>
        <w:tc>
          <w:tcPr>
            <w:tcW w:w="3375" w:type="dxa"/>
            <w:vAlign w:val="center"/>
          </w:tcPr>
          <w:p>
            <w:pPr>
              <w:adjustRightInd w:val="0"/>
              <w:snapToGrid w:val="0"/>
              <w:rPr>
                <w:szCs w:val="21"/>
              </w:rPr>
            </w:pPr>
            <w:r>
              <w:rPr>
                <w:szCs w:val="21"/>
              </w:rPr>
              <w:t>项目施工过程中采取的环境保护措施应在场界及时公告，主动接受检查。</w:t>
            </w:r>
          </w:p>
        </w:tc>
        <w:tc>
          <w:tcPr>
            <w:tcW w:w="1158" w:type="dxa"/>
            <w:vAlign w:val="center"/>
          </w:tcPr>
          <w:p>
            <w:pPr>
              <w:adjustRightInd w:val="0"/>
              <w:snapToGrid w:val="0"/>
              <w:rPr>
                <w:szCs w:val="21"/>
              </w:rPr>
            </w:pPr>
            <w:r>
              <w:rPr>
                <w:szCs w:val="21"/>
              </w:rPr>
              <w:t>/</w:t>
            </w:r>
          </w:p>
        </w:tc>
        <w:tc>
          <w:tcPr>
            <w:tcW w:w="1166" w:type="dxa"/>
            <w:vAlign w:val="center"/>
          </w:tcPr>
          <w:p>
            <w:pPr>
              <w:adjustRightInd w:val="0"/>
              <w:snapToGrid w:val="0"/>
              <w:rPr>
                <w:szCs w:val="21"/>
              </w:rPr>
            </w:pPr>
            <w:r>
              <w:rPr>
                <w:szCs w:val="21"/>
              </w:rPr>
              <w:t>/</w:t>
            </w:r>
          </w:p>
        </w:tc>
      </w:tr>
      <w:bookmarkEnd w:id="55"/>
    </w:tbl>
    <w:p>
      <w:pPr>
        <w:pStyle w:val="38"/>
        <w:spacing w:before="0" w:beforeAutospacing="0" w:line="14" w:lineRule="auto"/>
        <w:jc w:val="center"/>
        <w:rPr>
          <w:rFonts w:ascii="Times New Roman" w:hAnsi="Times New Roman" w:eastAsia="黑体"/>
          <w:snapToGrid w:val="0"/>
          <w:sz w:val="21"/>
          <w:szCs w:val="21"/>
        </w:rPr>
      </w:pPr>
    </w:p>
    <w:p>
      <w:pPr>
        <w:pStyle w:val="38"/>
        <w:spacing w:before="192" w:beforeLines="80" w:beforeAutospacing="0"/>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cols w:space="720" w:num="1"/>
          <w:docGrid w:linePitch="312" w:charSpace="0"/>
        </w:sectPr>
      </w:pPr>
    </w:p>
    <w:p>
      <w:pPr>
        <w:pStyle w:val="38"/>
        <w:spacing w:before="192" w:beforeLines="80" w:beforeAutospacing="0"/>
        <w:jc w:val="center"/>
        <w:outlineLvl w:val="0"/>
        <w:rPr>
          <w:rFonts w:ascii="Times New Roman" w:hAnsi="Times New Roman" w:eastAsia="黑体"/>
          <w:snapToGrid w:val="0"/>
          <w:sz w:val="21"/>
          <w:szCs w:val="21"/>
        </w:rPr>
      </w:pPr>
      <w:r>
        <w:rPr>
          <w:rFonts w:ascii="Times New Roman" w:hAnsi="Times New Roman" w:eastAsia="黑体"/>
          <w:snapToGrid w:val="0"/>
          <w:sz w:val="21"/>
          <w:szCs w:val="21"/>
        </w:rPr>
        <w:t>七、结论</w:t>
      </w:r>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adjustRightInd w:val="0"/>
              <w:snapToGrid w:val="0"/>
              <w:spacing w:line="360" w:lineRule="auto"/>
              <w:ind w:firstLine="480" w:firstLineChars="200"/>
              <w:rPr>
                <w:sz w:val="24"/>
              </w:rPr>
            </w:pPr>
            <w:r>
              <w:rPr>
                <w:rFonts w:hint="eastAsia"/>
                <w:sz w:val="24"/>
              </w:rPr>
              <w:t>铁北1侧HF井</w:t>
            </w:r>
            <w:r>
              <w:rPr>
                <w:sz w:val="24"/>
              </w:rPr>
              <w:t>钻井工程位于</w:t>
            </w:r>
            <w:r>
              <w:rPr>
                <w:rFonts w:hint="eastAsia"/>
                <w:sz w:val="24"/>
              </w:rPr>
              <w:t>四川省达州市宣汉县大成镇大地村1组</w:t>
            </w:r>
            <w:r>
              <w:rPr>
                <w:sz w:val="24"/>
              </w:rPr>
              <w:t>，</w:t>
            </w:r>
            <w:r>
              <w:rPr>
                <w:rFonts w:hint="eastAsia"/>
                <w:sz w:val="24"/>
              </w:rPr>
              <w:t>属于</w:t>
            </w:r>
            <w:r>
              <w:rPr>
                <w:sz w:val="24"/>
              </w:rPr>
              <w:t>评价井，目的层为二叠系茅口组（导眼）二叠系龙潭组（水平段）。工程总投资</w:t>
            </w:r>
            <w:r>
              <w:rPr>
                <w:rFonts w:hint="eastAsia"/>
                <w:sz w:val="24"/>
              </w:rPr>
              <w:t>5</w:t>
            </w:r>
            <w:r>
              <w:rPr>
                <w:sz w:val="24"/>
              </w:rPr>
              <w:t>000万元，其中环保投资</w:t>
            </w:r>
            <w:r>
              <w:rPr>
                <w:rFonts w:hint="eastAsia"/>
                <w:sz w:val="24"/>
              </w:rPr>
              <w:t>173</w:t>
            </w:r>
            <w:r>
              <w:rPr>
                <w:sz w:val="24"/>
              </w:rPr>
              <w:t>万元，占比</w:t>
            </w:r>
            <w:r>
              <w:rPr>
                <w:rFonts w:hint="eastAsia"/>
                <w:sz w:val="24"/>
              </w:rPr>
              <w:t>3.46</w:t>
            </w:r>
            <w:r>
              <w:rPr>
                <w:sz w:val="24"/>
              </w:rPr>
              <w:t>%。</w:t>
            </w:r>
          </w:p>
          <w:p>
            <w:pPr>
              <w:adjustRightInd w:val="0"/>
              <w:snapToGrid w:val="0"/>
              <w:spacing w:line="360" w:lineRule="auto"/>
              <w:ind w:firstLine="480" w:firstLineChars="200"/>
              <w:rPr>
                <w:sz w:val="24"/>
              </w:rPr>
            </w:pPr>
            <w:r>
              <w:rPr>
                <w:sz w:val="24"/>
              </w:rPr>
              <w:t>本项目符合相关产业政策，符合相关环境保护政策，总体符合相关规划及规划环保章节要求，不涉及生态红线、生态敏感区。</w:t>
            </w:r>
          </w:p>
          <w:p>
            <w:pPr>
              <w:adjustRightInd w:val="0"/>
              <w:snapToGrid w:val="0"/>
              <w:spacing w:line="360" w:lineRule="auto"/>
              <w:ind w:firstLine="480" w:firstLineChars="200"/>
              <w:rPr>
                <w:szCs w:val="21"/>
              </w:rPr>
            </w:pPr>
            <w:r>
              <w:rPr>
                <w:sz w:val="24"/>
              </w:rPr>
              <w:t>评价区域属于环境空气、声环境、地下水环境、土壤质量现状满足环境功能区要求。通过落实评价提出的污染防治措施，对地表水、地下水、声环境、环境空气、土壤影响小。不改变区域的环境功能，影响可接受；通过严格按照钻井设计和行业规范作业，按照行业规划和环评要求完善相关风险防范和应急措施。</w:t>
            </w:r>
            <w:r>
              <w:rPr>
                <w:rFonts w:hint="eastAsia"/>
                <w:sz w:val="24"/>
              </w:rPr>
              <w:t>铁北1侧HF井</w:t>
            </w:r>
            <w:r>
              <w:rPr>
                <w:sz w:val="24"/>
              </w:rPr>
              <w:t>钻井工程环境风险是可防控的。项目选址布局合理，采用的环保措施可行。从环境保护的角度分析</w:t>
            </w:r>
            <w:r>
              <w:rPr>
                <w:rFonts w:hint="eastAsia"/>
                <w:sz w:val="24"/>
              </w:rPr>
              <w:t>铁北1侧HF井</w:t>
            </w:r>
            <w:r>
              <w:rPr>
                <w:sz w:val="24"/>
              </w:rPr>
              <w:t>钻井工程的建设是可行的。</w:t>
            </w:r>
          </w:p>
        </w:tc>
      </w:tr>
    </w:tbl>
    <w:p>
      <w:pPr>
        <w:pStyle w:val="38"/>
        <w:adjustRightInd w:val="0"/>
        <w:snapToGrid w:val="0"/>
        <w:spacing w:before="0" w:beforeAutospacing="0" w:after="0" w:afterAutospacing="0" w:line="648" w:lineRule="auto"/>
        <w:rPr>
          <w:rFonts w:ascii="Times New Roman" w:hAnsi="Times New Roman"/>
          <w:sz w:val="21"/>
          <w:szCs w:val="21"/>
        </w:rPr>
      </w:pPr>
    </w:p>
    <w:sectPr>
      <w:pgSz w:w="11906" w:h="16838"/>
      <w:pgMar w:top="1417" w:right="1417" w:bottom="1417" w:left="170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outside" w:y="1"/>
      <w:rPr>
        <w:rStyle w:val="48"/>
      </w:rPr>
    </w:pPr>
    <w:r>
      <w:fldChar w:fldCharType="begin"/>
    </w:r>
    <w:r>
      <w:rPr>
        <w:rStyle w:val="48"/>
      </w:rPr>
      <w:instrText xml:space="preserve">PAGE  </w:instrText>
    </w:r>
    <w:r>
      <w:fldChar w:fldCharType="separate"/>
    </w:r>
    <w:r>
      <w:rPr>
        <w:rStyle w:val="48"/>
      </w:rPr>
      <w:t>1</w:t>
    </w:r>
    <w:r>
      <w:fldChar w:fldCharType="end"/>
    </w:r>
  </w:p>
  <w:p>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outside" w:y="1"/>
      <w:rPr>
        <w:rStyle w:val="48"/>
        <w:rFonts w:ascii="宋体" w:hAnsi="宋体"/>
        <w:sz w:val="28"/>
        <w:szCs w:val="28"/>
      </w:rPr>
    </w:pPr>
    <w:r>
      <w:rPr>
        <w:rStyle w:val="48"/>
        <w:rFonts w:hint="eastAsia" w:ascii="宋体" w:hAnsi="宋体"/>
        <w:sz w:val="28"/>
        <w:szCs w:val="28"/>
      </w:rPr>
      <w:t>—</w:t>
    </w:r>
    <w:r>
      <w:rPr>
        <w:rStyle w:val="48"/>
        <w:rFonts w:hint="eastAsia" w:ascii="宋体" w:hAnsi="宋体"/>
        <w:sz w:val="20"/>
        <w:szCs w:val="20"/>
      </w:rPr>
      <w:t xml:space="preserve"> </w:t>
    </w:r>
    <w:r>
      <w:rPr>
        <w:rFonts w:ascii="宋体" w:hAnsi="宋体"/>
        <w:sz w:val="26"/>
        <w:szCs w:val="26"/>
      </w:rPr>
      <w:fldChar w:fldCharType="begin"/>
    </w:r>
    <w:r>
      <w:rPr>
        <w:rStyle w:val="48"/>
        <w:rFonts w:ascii="宋体" w:hAnsi="宋体"/>
        <w:sz w:val="26"/>
        <w:szCs w:val="26"/>
      </w:rPr>
      <w:instrText xml:space="preserve">PAGE  </w:instrText>
    </w:r>
    <w:r>
      <w:rPr>
        <w:rFonts w:ascii="宋体" w:hAnsi="宋体"/>
        <w:sz w:val="26"/>
        <w:szCs w:val="26"/>
      </w:rPr>
      <w:fldChar w:fldCharType="separate"/>
    </w:r>
    <w:r>
      <w:rPr>
        <w:rStyle w:val="48"/>
        <w:rFonts w:ascii="宋体" w:hAnsi="宋体"/>
        <w:sz w:val="26"/>
        <w:szCs w:val="26"/>
      </w:rPr>
      <w:t>49</w:t>
    </w:r>
    <w:r>
      <w:rPr>
        <w:rFonts w:ascii="宋体" w:hAnsi="宋体"/>
        <w:sz w:val="26"/>
        <w:szCs w:val="26"/>
      </w:rPr>
      <w:fldChar w:fldCharType="end"/>
    </w:r>
    <w:r>
      <w:rPr>
        <w:rStyle w:val="48"/>
        <w:rFonts w:hint="eastAsia" w:ascii="宋体" w:hAnsi="宋体"/>
        <w:sz w:val="20"/>
        <w:szCs w:val="20"/>
      </w:rPr>
      <w:t xml:space="preserve"> </w:t>
    </w:r>
    <w:r>
      <w:rPr>
        <w:rStyle w:val="48"/>
        <w:rFonts w:hint="eastAsia" w:ascii="宋体" w:hAnsi="宋体"/>
        <w:sz w:val="28"/>
        <w:szCs w:val="28"/>
      </w:rPr>
      <w:t>—</w:t>
    </w:r>
  </w:p>
  <w:p>
    <w:pPr>
      <w:pStyle w:val="2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1">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2B9F2EFD"/>
    <w:multiLevelType w:val="multilevel"/>
    <w:tmpl w:val="2B9F2EFD"/>
    <w:lvl w:ilvl="0" w:tentative="0">
      <w:start w:val="1"/>
      <w:numFmt w:val="decimal"/>
      <w:pStyle w:val="219"/>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3">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1B21497"/>
    <w:multiLevelType w:val="multilevel"/>
    <w:tmpl w:val="71B21497"/>
    <w:lvl w:ilvl="0" w:tentative="0">
      <w:start w:val="1"/>
      <w:numFmt w:val="decimal"/>
      <w:pStyle w:val="386"/>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08B"/>
    <w:rsid w:val="00226568"/>
    <w:rsid w:val="00226574"/>
    <w:rsid w:val="002278EC"/>
    <w:rsid w:val="002279F8"/>
    <w:rsid w:val="00230892"/>
    <w:rsid w:val="00230E4A"/>
    <w:rsid w:val="00232170"/>
    <w:rsid w:val="00232D9E"/>
    <w:rsid w:val="00234454"/>
    <w:rsid w:val="0023477C"/>
    <w:rsid w:val="00235113"/>
    <w:rsid w:val="002357C7"/>
    <w:rsid w:val="002367C4"/>
    <w:rsid w:val="00237561"/>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5E39"/>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7515"/>
    <w:rsid w:val="00387685"/>
    <w:rsid w:val="0039184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EE9"/>
    <w:rsid w:val="003D62C7"/>
    <w:rsid w:val="003D658D"/>
    <w:rsid w:val="003D6726"/>
    <w:rsid w:val="003D6DD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2A7"/>
    <w:rsid w:val="00604BC8"/>
    <w:rsid w:val="006057EF"/>
    <w:rsid w:val="00607084"/>
    <w:rsid w:val="00607FFE"/>
    <w:rsid w:val="0061295D"/>
    <w:rsid w:val="006131B3"/>
    <w:rsid w:val="0061590C"/>
    <w:rsid w:val="00615B4C"/>
    <w:rsid w:val="00615B5D"/>
    <w:rsid w:val="00615C98"/>
    <w:rsid w:val="00615D29"/>
    <w:rsid w:val="00616999"/>
    <w:rsid w:val="006208BC"/>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248D"/>
    <w:rsid w:val="00823D28"/>
    <w:rsid w:val="0082416C"/>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90011C"/>
    <w:rsid w:val="00901FBC"/>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20A6"/>
    <w:rsid w:val="00AE2587"/>
    <w:rsid w:val="00AE4DCE"/>
    <w:rsid w:val="00AE5D97"/>
    <w:rsid w:val="00AE6794"/>
    <w:rsid w:val="00AE6809"/>
    <w:rsid w:val="00AE7634"/>
    <w:rsid w:val="00AE7DD3"/>
    <w:rsid w:val="00AE7EAC"/>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46D5"/>
    <w:rsid w:val="00BF46FF"/>
    <w:rsid w:val="00BF7676"/>
    <w:rsid w:val="00C0131C"/>
    <w:rsid w:val="00C027D6"/>
    <w:rsid w:val="00C02B22"/>
    <w:rsid w:val="00C04AB3"/>
    <w:rsid w:val="00C05719"/>
    <w:rsid w:val="00C05D1F"/>
    <w:rsid w:val="00C10305"/>
    <w:rsid w:val="00C103FF"/>
    <w:rsid w:val="00C10532"/>
    <w:rsid w:val="00C10578"/>
    <w:rsid w:val="00C10AB6"/>
    <w:rsid w:val="00C10E05"/>
    <w:rsid w:val="00C1139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57"/>
    <w:rsid w:val="00C864EB"/>
    <w:rsid w:val="00C91611"/>
    <w:rsid w:val="00C91D00"/>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2B35"/>
    <w:rsid w:val="00D13FE7"/>
    <w:rsid w:val="00D1511F"/>
    <w:rsid w:val="00D152F3"/>
    <w:rsid w:val="00D15727"/>
    <w:rsid w:val="00D15B39"/>
    <w:rsid w:val="00D16332"/>
    <w:rsid w:val="00D16473"/>
    <w:rsid w:val="00D164CB"/>
    <w:rsid w:val="00D17E3C"/>
    <w:rsid w:val="00D202B0"/>
    <w:rsid w:val="00D20323"/>
    <w:rsid w:val="00D2093F"/>
    <w:rsid w:val="00D21E8D"/>
    <w:rsid w:val="00D23608"/>
    <w:rsid w:val="00D23C9B"/>
    <w:rsid w:val="00D24972"/>
    <w:rsid w:val="00D2515E"/>
    <w:rsid w:val="00D25B51"/>
    <w:rsid w:val="00D262E1"/>
    <w:rsid w:val="00D26309"/>
    <w:rsid w:val="00D30341"/>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5637"/>
    <w:rsid w:val="00EE5638"/>
    <w:rsid w:val="00EE6D22"/>
    <w:rsid w:val="00EE6E01"/>
    <w:rsid w:val="00EE764A"/>
    <w:rsid w:val="00EF04F5"/>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13DE"/>
    <w:rsid w:val="00F22985"/>
    <w:rsid w:val="00F23730"/>
    <w:rsid w:val="00F241AB"/>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ECD"/>
    <w:rsid w:val="00F56367"/>
    <w:rsid w:val="00F56C6E"/>
    <w:rsid w:val="00F61097"/>
    <w:rsid w:val="00F611CA"/>
    <w:rsid w:val="00F62B02"/>
    <w:rsid w:val="00F63309"/>
    <w:rsid w:val="00F63660"/>
    <w:rsid w:val="00F64758"/>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23A"/>
    <w:rsid w:val="00F861B7"/>
    <w:rsid w:val="00F90AA7"/>
    <w:rsid w:val="00F90E41"/>
    <w:rsid w:val="00F9212D"/>
    <w:rsid w:val="00F92A40"/>
    <w:rsid w:val="00F94830"/>
    <w:rsid w:val="00F96A2C"/>
    <w:rsid w:val="00FA0658"/>
    <w:rsid w:val="00FA1787"/>
    <w:rsid w:val="00FA2F95"/>
    <w:rsid w:val="00FA301A"/>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772"/>
    <w:rsid w:val="00FB6DE0"/>
    <w:rsid w:val="00FB6E07"/>
    <w:rsid w:val="00FB7B84"/>
    <w:rsid w:val="00FC0501"/>
    <w:rsid w:val="00FC1656"/>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51B1"/>
    <w:rsid w:val="00FF5C46"/>
    <w:rsid w:val="00FF6FCE"/>
    <w:rsid w:val="00FF7518"/>
    <w:rsid w:val="00FF7FD8"/>
    <w:rsid w:val="01C171EB"/>
    <w:rsid w:val="03162BB0"/>
    <w:rsid w:val="038F0A59"/>
    <w:rsid w:val="04EA4FB8"/>
    <w:rsid w:val="05742AC8"/>
    <w:rsid w:val="06352F05"/>
    <w:rsid w:val="063E7D85"/>
    <w:rsid w:val="070875E0"/>
    <w:rsid w:val="07293586"/>
    <w:rsid w:val="07295285"/>
    <w:rsid w:val="07770C56"/>
    <w:rsid w:val="07D10A07"/>
    <w:rsid w:val="091D49BD"/>
    <w:rsid w:val="092217DD"/>
    <w:rsid w:val="093A7294"/>
    <w:rsid w:val="09C070DB"/>
    <w:rsid w:val="0B735FF3"/>
    <w:rsid w:val="0BAE3E9B"/>
    <w:rsid w:val="0BD27BF6"/>
    <w:rsid w:val="0C2F1549"/>
    <w:rsid w:val="0CB961F5"/>
    <w:rsid w:val="0DCB34F3"/>
    <w:rsid w:val="0E110D06"/>
    <w:rsid w:val="0E30225E"/>
    <w:rsid w:val="0F0C466A"/>
    <w:rsid w:val="0F13775A"/>
    <w:rsid w:val="0F9A112B"/>
    <w:rsid w:val="106D2F64"/>
    <w:rsid w:val="10B63710"/>
    <w:rsid w:val="10C36704"/>
    <w:rsid w:val="111C2F7A"/>
    <w:rsid w:val="113013DE"/>
    <w:rsid w:val="122B06C2"/>
    <w:rsid w:val="12796471"/>
    <w:rsid w:val="13951726"/>
    <w:rsid w:val="14396509"/>
    <w:rsid w:val="1447165C"/>
    <w:rsid w:val="14957C2A"/>
    <w:rsid w:val="14B15984"/>
    <w:rsid w:val="16CC350B"/>
    <w:rsid w:val="16F10FA9"/>
    <w:rsid w:val="17735226"/>
    <w:rsid w:val="17EC6540"/>
    <w:rsid w:val="19E96131"/>
    <w:rsid w:val="1A1C66C0"/>
    <w:rsid w:val="1A42393B"/>
    <w:rsid w:val="1B046F80"/>
    <w:rsid w:val="1B3267B5"/>
    <w:rsid w:val="1BC25DC8"/>
    <w:rsid w:val="1C5E7925"/>
    <w:rsid w:val="1C887FC8"/>
    <w:rsid w:val="1C985047"/>
    <w:rsid w:val="1D5F6196"/>
    <w:rsid w:val="1D6132A5"/>
    <w:rsid w:val="1D8E56D5"/>
    <w:rsid w:val="1DA631EF"/>
    <w:rsid w:val="1E7A43DA"/>
    <w:rsid w:val="1EB277FE"/>
    <w:rsid w:val="1FC77071"/>
    <w:rsid w:val="1FE7539E"/>
    <w:rsid w:val="20963CB8"/>
    <w:rsid w:val="20B07FB6"/>
    <w:rsid w:val="213B74B1"/>
    <w:rsid w:val="215313E0"/>
    <w:rsid w:val="215A2310"/>
    <w:rsid w:val="217355AD"/>
    <w:rsid w:val="21DE318A"/>
    <w:rsid w:val="21E2133E"/>
    <w:rsid w:val="21EF5B80"/>
    <w:rsid w:val="22576990"/>
    <w:rsid w:val="225D5873"/>
    <w:rsid w:val="229C4EAB"/>
    <w:rsid w:val="22FE3670"/>
    <w:rsid w:val="23552F44"/>
    <w:rsid w:val="240F5A90"/>
    <w:rsid w:val="246D18CE"/>
    <w:rsid w:val="24A3267C"/>
    <w:rsid w:val="252D53FE"/>
    <w:rsid w:val="25EC2D81"/>
    <w:rsid w:val="264528BD"/>
    <w:rsid w:val="26895E7B"/>
    <w:rsid w:val="27D15DD1"/>
    <w:rsid w:val="27E3173A"/>
    <w:rsid w:val="27EB0FE8"/>
    <w:rsid w:val="28102647"/>
    <w:rsid w:val="28357A8F"/>
    <w:rsid w:val="284525E3"/>
    <w:rsid w:val="28A67ADA"/>
    <w:rsid w:val="28A76295"/>
    <w:rsid w:val="29206EB8"/>
    <w:rsid w:val="29E325E0"/>
    <w:rsid w:val="2A452503"/>
    <w:rsid w:val="2B8B283E"/>
    <w:rsid w:val="2BA936A8"/>
    <w:rsid w:val="2C315A5A"/>
    <w:rsid w:val="2C626979"/>
    <w:rsid w:val="2C6C0F94"/>
    <w:rsid w:val="2C982FDC"/>
    <w:rsid w:val="2D7C60EC"/>
    <w:rsid w:val="2D9E56F5"/>
    <w:rsid w:val="2E4700B3"/>
    <w:rsid w:val="2E667F96"/>
    <w:rsid w:val="2E7F2588"/>
    <w:rsid w:val="2E8226AB"/>
    <w:rsid w:val="2EF10115"/>
    <w:rsid w:val="2F4A7E19"/>
    <w:rsid w:val="2F832C79"/>
    <w:rsid w:val="2FC40297"/>
    <w:rsid w:val="2FEF2D58"/>
    <w:rsid w:val="30580BC9"/>
    <w:rsid w:val="308B6756"/>
    <w:rsid w:val="311E2ED7"/>
    <w:rsid w:val="315C449C"/>
    <w:rsid w:val="31B82709"/>
    <w:rsid w:val="321E4AA5"/>
    <w:rsid w:val="32400B34"/>
    <w:rsid w:val="328B7D6E"/>
    <w:rsid w:val="329E6876"/>
    <w:rsid w:val="32F52E26"/>
    <w:rsid w:val="33367FB7"/>
    <w:rsid w:val="338E680F"/>
    <w:rsid w:val="33D934D4"/>
    <w:rsid w:val="33FE2F6A"/>
    <w:rsid w:val="34E34DD8"/>
    <w:rsid w:val="350C5BF1"/>
    <w:rsid w:val="353C16C8"/>
    <w:rsid w:val="35696FCA"/>
    <w:rsid w:val="36074A7F"/>
    <w:rsid w:val="36442540"/>
    <w:rsid w:val="36923549"/>
    <w:rsid w:val="36B75FBF"/>
    <w:rsid w:val="36FB4891"/>
    <w:rsid w:val="372666C3"/>
    <w:rsid w:val="38F12CD3"/>
    <w:rsid w:val="38F94775"/>
    <w:rsid w:val="392971ED"/>
    <w:rsid w:val="3B290C77"/>
    <w:rsid w:val="3B3763D1"/>
    <w:rsid w:val="3C2477F8"/>
    <w:rsid w:val="3CDA245A"/>
    <w:rsid w:val="3CEE0A37"/>
    <w:rsid w:val="3E9C7C9C"/>
    <w:rsid w:val="3F660E74"/>
    <w:rsid w:val="3F6F42E2"/>
    <w:rsid w:val="407A6407"/>
    <w:rsid w:val="41322966"/>
    <w:rsid w:val="423A3BCC"/>
    <w:rsid w:val="42542091"/>
    <w:rsid w:val="426B5CC1"/>
    <w:rsid w:val="433A6FE6"/>
    <w:rsid w:val="4350713C"/>
    <w:rsid w:val="436653E0"/>
    <w:rsid w:val="44CD14E0"/>
    <w:rsid w:val="457A74AC"/>
    <w:rsid w:val="458946E9"/>
    <w:rsid w:val="460B1E86"/>
    <w:rsid w:val="46300235"/>
    <w:rsid w:val="46D955A7"/>
    <w:rsid w:val="47133957"/>
    <w:rsid w:val="47412210"/>
    <w:rsid w:val="4779329E"/>
    <w:rsid w:val="47A07E0C"/>
    <w:rsid w:val="4870272E"/>
    <w:rsid w:val="487C6DD3"/>
    <w:rsid w:val="49DC7715"/>
    <w:rsid w:val="4A023139"/>
    <w:rsid w:val="4A7B576F"/>
    <w:rsid w:val="4B8C7DC7"/>
    <w:rsid w:val="4C4A0649"/>
    <w:rsid w:val="4CE470D3"/>
    <w:rsid w:val="4D4D6EA4"/>
    <w:rsid w:val="4DEC4FB0"/>
    <w:rsid w:val="4E075D8A"/>
    <w:rsid w:val="4FC62A8C"/>
    <w:rsid w:val="4FE20F0D"/>
    <w:rsid w:val="50504C4B"/>
    <w:rsid w:val="509C6E7C"/>
    <w:rsid w:val="5162104E"/>
    <w:rsid w:val="51964211"/>
    <w:rsid w:val="53A039CC"/>
    <w:rsid w:val="53A1505A"/>
    <w:rsid w:val="54063E08"/>
    <w:rsid w:val="540A05D4"/>
    <w:rsid w:val="543437E8"/>
    <w:rsid w:val="54616E3A"/>
    <w:rsid w:val="547D4110"/>
    <w:rsid w:val="559B174B"/>
    <w:rsid w:val="55CE0CF4"/>
    <w:rsid w:val="55D92852"/>
    <w:rsid w:val="5619357A"/>
    <w:rsid w:val="56B22A9C"/>
    <w:rsid w:val="57B72A76"/>
    <w:rsid w:val="59874AA8"/>
    <w:rsid w:val="5A125321"/>
    <w:rsid w:val="5A3C747D"/>
    <w:rsid w:val="5ABE2233"/>
    <w:rsid w:val="5B276D18"/>
    <w:rsid w:val="5BDF5D95"/>
    <w:rsid w:val="5CB54D32"/>
    <w:rsid w:val="5CE902D2"/>
    <w:rsid w:val="5DF87A0F"/>
    <w:rsid w:val="5F1A2B43"/>
    <w:rsid w:val="5F3F720C"/>
    <w:rsid w:val="5F7544C8"/>
    <w:rsid w:val="5FB311A0"/>
    <w:rsid w:val="5FB837BB"/>
    <w:rsid w:val="61571C6D"/>
    <w:rsid w:val="61AC52C9"/>
    <w:rsid w:val="62364782"/>
    <w:rsid w:val="62803317"/>
    <w:rsid w:val="639776FD"/>
    <w:rsid w:val="63D40BE9"/>
    <w:rsid w:val="63E0211F"/>
    <w:rsid w:val="63E17E2B"/>
    <w:rsid w:val="64BC44ED"/>
    <w:rsid w:val="65373578"/>
    <w:rsid w:val="668D168B"/>
    <w:rsid w:val="673F2C7A"/>
    <w:rsid w:val="681F6961"/>
    <w:rsid w:val="68420338"/>
    <w:rsid w:val="68610A2F"/>
    <w:rsid w:val="68622EBE"/>
    <w:rsid w:val="68787875"/>
    <w:rsid w:val="68805514"/>
    <w:rsid w:val="691F5B44"/>
    <w:rsid w:val="694E2071"/>
    <w:rsid w:val="697A3B33"/>
    <w:rsid w:val="699E2456"/>
    <w:rsid w:val="6A2E5B11"/>
    <w:rsid w:val="6B322639"/>
    <w:rsid w:val="6C636C38"/>
    <w:rsid w:val="6C93086C"/>
    <w:rsid w:val="6D0112BB"/>
    <w:rsid w:val="6D28709B"/>
    <w:rsid w:val="6DB34098"/>
    <w:rsid w:val="6DB545B6"/>
    <w:rsid w:val="6E4375A0"/>
    <w:rsid w:val="6E514CED"/>
    <w:rsid w:val="6E79491A"/>
    <w:rsid w:val="6EB563D5"/>
    <w:rsid w:val="6EC45E08"/>
    <w:rsid w:val="6F225983"/>
    <w:rsid w:val="6F2B5282"/>
    <w:rsid w:val="6FFC5590"/>
    <w:rsid w:val="70072E06"/>
    <w:rsid w:val="70301DA3"/>
    <w:rsid w:val="706D1DD0"/>
    <w:rsid w:val="70856B87"/>
    <w:rsid w:val="70D527EE"/>
    <w:rsid w:val="71141580"/>
    <w:rsid w:val="714049C9"/>
    <w:rsid w:val="715B5300"/>
    <w:rsid w:val="715F4BD7"/>
    <w:rsid w:val="71D27F8A"/>
    <w:rsid w:val="71F744C6"/>
    <w:rsid w:val="71F960CF"/>
    <w:rsid w:val="720F7FD6"/>
    <w:rsid w:val="72E970FE"/>
    <w:rsid w:val="731F5D5E"/>
    <w:rsid w:val="738E4E64"/>
    <w:rsid w:val="741E793C"/>
    <w:rsid w:val="758D75E2"/>
    <w:rsid w:val="76064652"/>
    <w:rsid w:val="765E336F"/>
    <w:rsid w:val="766964A3"/>
    <w:rsid w:val="77762421"/>
    <w:rsid w:val="77845E66"/>
    <w:rsid w:val="77CA3F60"/>
    <w:rsid w:val="780F09F4"/>
    <w:rsid w:val="7868522C"/>
    <w:rsid w:val="789C4F47"/>
    <w:rsid w:val="78A90480"/>
    <w:rsid w:val="78CC6C21"/>
    <w:rsid w:val="79385B55"/>
    <w:rsid w:val="795030BE"/>
    <w:rsid w:val="79811327"/>
    <w:rsid w:val="7A364017"/>
    <w:rsid w:val="7A8265E1"/>
    <w:rsid w:val="7B100F5A"/>
    <w:rsid w:val="7B3A7406"/>
    <w:rsid w:val="7B686D42"/>
    <w:rsid w:val="7B841746"/>
    <w:rsid w:val="7D0239FF"/>
    <w:rsid w:val="7D1F4613"/>
    <w:rsid w:val="7D5E40CD"/>
    <w:rsid w:val="7D693BED"/>
    <w:rsid w:val="7DA46223"/>
    <w:rsid w:val="7F32536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6"/>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7"/>
    <w:qFormat/>
    <w:locked/>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8"/>
    <w:qFormat/>
    <w:locked/>
    <w:uiPriority w:val="0"/>
    <w:pPr>
      <w:keepNext/>
      <w:keepLines/>
      <w:spacing w:before="260" w:after="260" w:line="416" w:lineRule="auto"/>
      <w:outlineLvl w:val="2"/>
    </w:pPr>
    <w:rPr>
      <w:rFonts w:ascii="Calibri" w:hAnsi="Calibri"/>
      <w:b/>
      <w:bCs/>
      <w:sz w:val="32"/>
      <w:szCs w:val="32"/>
    </w:rPr>
  </w:style>
  <w:style w:type="paragraph" w:styleId="7">
    <w:name w:val="heading 4"/>
    <w:basedOn w:val="1"/>
    <w:next w:val="1"/>
    <w:link w:val="59"/>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link w:val="60"/>
    <w:qFormat/>
    <w:locked/>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1"/>
    <w:qFormat/>
    <w:locked/>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62"/>
    <w:qFormat/>
    <w:locked/>
    <w:uiPriority w:val="0"/>
    <w:pPr>
      <w:keepNext/>
      <w:keepLines/>
      <w:spacing w:before="240" w:after="64" w:line="320" w:lineRule="auto"/>
      <w:outlineLvl w:val="6"/>
    </w:pPr>
    <w:rPr>
      <w:rFonts w:ascii="Calibri" w:hAnsi="Calibri"/>
      <w:b/>
      <w:bCs/>
      <w:sz w:val="24"/>
    </w:rPr>
  </w:style>
  <w:style w:type="paragraph" w:styleId="11">
    <w:name w:val="heading 8"/>
    <w:basedOn w:val="1"/>
    <w:next w:val="1"/>
    <w:link w:val="63"/>
    <w:qFormat/>
    <w:locked/>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64"/>
    <w:qFormat/>
    <w:locked/>
    <w:uiPriority w:val="0"/>
    <w:pPr>
      <w:keepNext/>
      <w:keepLines/>
      <w:spacing w:before="240" w:after="64" w:line="320" w:lineRule="auto"/>
      <w:outlineLvl w:val="8"/>
    </w:pPr>
    <w:rPr>
      <w:rFonts w:ascii="Arial" w:hAnsi="Arial" w:eastAsia="黑体"/>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styleId="3">
    <w:name w:val="macro"/>
    <w:link w:val="5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Note Heading"/>
    <w:basedOn w:val="1"/>
    <w:next w:val="1"/>
    <w:link w:val="65"/>
    <w:qFormat/>
    <w:uiPriority w:val="0"/>
    <w:pPr>
      <w:jc w:val="center"/>
    </w:pPr>
    <w:rPr>
      <w:rFonts w:ascii="Calibri" w:hAnsi="Calibri"/>
    </w:rPr>
  </w:style>
  <w:style w:type="paragraph" w:styleId="14">
    <w:name w:val="Normal Indent"/>
    <w:basedOn w:val="1"/>
    <w:next w:val="7"/>
    <w:link w:val="66"/>
    <w:qFormat/>
    <w:uiPriority w:val="0"/>
    <w:pPr>
      <w:spacing w:line="240" w:lineRule="atLeast"/>
      <w:ind w:firstLine="420"/>
    </w:pPr>
    <w:rPr>
      <w:rFonts w:ascii="Calibri" w:hAnsi="Calibri"/>
      <w:kern w:val="0"/>
      <w:sz w:val="28"/>
      <w:szCs w:val="20"/>
    </w:rPr>
  </w:style>
  <w:style w:type="paragraph" w:styleId="15">
    <w:name w:val="caption"/>
    <w:basedOn w:val="1"/>
    <w:next w:val="1"/>
    <w:qFormat/>
    <w:locked/>
    <w:uiPriority w:val="0"/>
    <w:rPr>
      <w:rFonts w:ascii="Arial" w:hAnsi="Arial" w:eastAsia="黑体" w:cs="Arial"/>
      <w:sz w:val="20"/>
      <w:szCs w:val="20"/>
    </w:rPr>
  </w:style>
  <w:style w:type="paragraph" w:styleId="16">
    <w:name w:val="Document Map"/>
    <w:basedOn w:val="1"/>
    <w:link w:val="67"/>
    <w:qFormat/>
    <w:uiPriority w:val="0"/>
    <w:pPr>
      <w:shd w:val="clear" w:color="auto" w:fill="000080"/>
    </w:pPr>
    <w:rPr>
      <w:rFonts w:ascii="Calibri" w:hAnsi="Calibri"/>
    </w:rPr>
  </w:style>
  <w:style w:type="paragraph" w:styleId="17">
    <w:name w:val="annotation text"/>
    <w:basedOn w:val="1"/>
    <w:link w:val="68"/>
    <w:qFormat/>
    <w:uiPriority w:val="0"/>
    <w:pPr>
      <w:jc w:val="left"/>
    </w:pPr>
    <w:rPr>
      <w:kern w:val="0"/>
      <w:sz w:val="20"/>
    </w:rPr>
  </w:style>
  <w:style w:type="paragraph" w:styleId="18">
    <w:name w:val="Salutation"/>
    <w:basedOn w:val="1"/>
    <w:next w:val="1"/>
    <w:link w:val="69"/>
    <w:qFormat/>
    <w:uiPriority w:val="0"/>
    <w:rPr>
      <w:rFonts w:ascii="Calibri" w:hAnsi="Calibri"/>
    </w:rPr>
  </w:style>
  <w:style w:type="paragraph" w:styleId="19">
    <w:name w:val="Body Text 3"/>
    <w:basedOn w:val="1"/>
    <w:link w:val="70"/>
    <w:qFormat/>
    <w:uiPriority w:val="0"/>
    <w:pPr>
      <w:spacing w:line="440" w:lineRule="exact"/>
    </w:pPr>
    <w:rPr>
      <w:rFonts w:ascii="宋体" w:hAnsi="宋体"/>
      <w:sz w:val="28"/>
    </w:rPr>
  </w:style>
  <w:style w:type="paragraph" w:styleId="20">
    <w:name w:val="Body Text"/>
    <w:basedOn w:val="1"/>
    <w:link w:val="71"/>
    <w:qFormat/>
    <w:uiPriority w:val="0"/>
    <w:pPr>
      <w:widowControl/>
      <w:snapToGrid w:val="0"/>
      <w:spacing w:before="60" w:after="160" w:line="259" w:lineRule="auto"/>
      <w:ind w:right="113"/>
    </w:pPr>
    <w:rPr>
      <w:kern w:val="0"/>
      <w:sz w:val="18"/>
      <w:szCs w:val="18"/>
    </w:rPr>
  </w:style>
  <w:style w:type="paragraph" w:styleId="21">
    <w:name w:val="Body Text Indent"/>
    <w:basedOn w:val="1"/>
    <w:link w:val="72"/>
    <w:qFormat/>
    <w:uiPriority w:val="0"/>
    <w:pPr>
      <w:spacing w:after="120"/>
      <w:ind w:left="420" w:leftChars="200"/>
    </w:pPr>
  </w:style>
  <w:style w:type="paragraph" w:styleId="22">
    <w:name w:val="List 2"/>
    <w:basedOn w:val="1"/>
    <w:qFormat/>
    <w:uiPriority w:val="0"/>
    <w:pPr>
      <w:ind w:left="840" w:hanging="420"/>
    </w:pPr>
    <w:rPr>
      <w:rFonts w:ascii="Calibri" w:hAnsi="Calibri"/>
      <w:sz w:val="26"/>
    </w:rPr>
  </w:style>
  <w:style w:type="paragraph" w:styleId="23">
    <w:name w:val="toc 3"/>
    <w:basedOn w:val="1"/>
    <w:next w:val="1"/>
    <w:qFormat/>
    <w:locked/>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4">
    <w:name w:val="Plain Text"/>
    <w:basedOn w:val="1"/>
    <w:link w:val="73"/>
    <w:qFormat/>
    <w:uiPriority w:val="0"/>
    <w:pPr>
      <w:widowControl/>
      <w:spacing w:before="100" w:beforeAutospacing="1" w:after="100" w:afterAutospacing="1"/>
      <w:jc w:val="left"/>
    </w:pPr>
    <w:rPr>
      <w:rFonts w:ascii="宋体" w:hAnsi="宋体"/>
      <w:kern w:val="0"/>
      <w:sz w:val="24"/>
    </w:rPr>
  </w:style>
  <w:style w:type="paragraph" w:styleId="25">
    <w:name w:val="Date"/>
    <w:basedOn w:val="1"/>
    <w:next w:val="1"/>
    <w:link w:val="74"/>
    <w:qFormat/>
    <w:uiPriority w:val="0"/>
    <w:pPr>
      <w:ind w:left="100" w:leftChars="2500"/>
    </w:pPr>
    <w:rPr>
      <w:kern w:val="0"/>
      <w:sz w:val="20"/>
    </w:rPr>
  </w:style>
  <w:style w:type="paragraph" w:styleId="26">
    <w:name w:val="Body Text Indent 2"/>
    <w:basedOn w:val="1"/>
    <w:next w:val="27"/>
    <w:link w:val="75"/>
    <w:qFormat/>
    <w:uiPriority w:val="0"/>
    <w:pPr>
      <w:spacing w:line="360" w:lineRule="auto"/>
    </w:pPr>
    <w:rPr>
      <w:sz w:val="24"/>
    </w:rPr>
  </w:style>
  <w:style w:type="paragraph" w:customStyle="1" w:styleId="27">
    <w:name w:val="样式 正文文本缩进 2 + 自动设置 行距: 1.5 倍行距"/>
    <w:basedOn w:val="26"/>
    <w:next w:val="1"/>
    <w:unhideWhenUsed/>
    <w:qFormat/>
    <w:uiPriority w:val="0"/>
    <w:rPr>
      <w:rFonts w:hint="eastAsia" w:cs="宋体"/>
      <w:szCs w:val="20"/>
    </w:rPr>
  </w:style>
  <w:style w:type="paragraph" w:styleId="28">
    <w:name w:val="Balloon Text"/>
    <w:basedOn w:val="1"/>
    <w:link w:val="76"/>
    <w:semiHidden/>
    <w:qFormat/>
    <w:uiPriority w:val="0"/>
    <w:rPr>
      <w:sz w:val="18"/>
      <w:szCs w:val="18"/>
    </w:rPr>
  </w:style>
  <w:style w:type="paragraph" w:styleId="29">
    <w:name w:val="footer"/>
    <w:basedOn w:val="1"/>
    <w:link w:val="77"/>
    <w:qFormat/>
    <w:uiPriority w:val="0"/>
    <w:pPr>
      <w:tabs>
        <w:tab w:val="center" w:pos="4153"/>
        <w:tab w:val="right" w:pos="8306"/>
      </w:tabs>
      <w:snapToGrid w:val="0"/>
      <w:jc w:val="left"/>
    </w:pPr>
    <w:rPr>
      <w:sz w:val="18"/>
      <w:szCs w:val="18"/>
    </w:rPr>
  </w:style>
  <w:style w:type="paragraph" w:styleId="30">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locked/>
    <w:uiPriority w:val="0"/>
    <w:pPr>
      <w:adjustRightInd w:val="0"/>
      <w:snapToGrid w:val="0"/>
      <w:spacing w:line="240" w:lineRule="atLeast"/>
      <w:textAlignment w:val="baseline"/>
    </w:pPr>
    <w:rPr>
      <w:rFonts w:ascii="宋体" w:hAnsi="宋体"/>
      <w:kern w:val="0"/>
      <w:szCs w:val="20"/>
    </w:rPr>
  </w:style>
  <w:style w:type="paragraph" w:styleId="32">
    <w:name w:val="Subtitle"/>
    <w:basedOn w:val="1"/>
    <w:next w:val="1"/>
    <w:link w:val="79"/>
    <w:qFormat/>
    <w:locked/>
    <w:uiPriority w:val="0"/>
    <w:pPr>
      <w:jc w:val="center"/>
    </w:pPr>
    <w:rPr>
      <w:rFonts w:ascii="Calibri" w:hAnsi="Calibri"/>
      <w:bCs/>
      <w:kern w:val="28"/>
      <w:sz w:val="20"/>
      <w:szCs w:val="32"/>
    </w:rPr>
  </w:style>
  <w:style w:type="paragraph" w:styleId="33">
    <w:name w:val="List"/>
    <w:basedOn w:val="1"/>
    <w:qFormat/>
    <w:uiPriority w:val="0"/>
    <w:pPr>
      <w:ind w:left="420" w:hanging="420"/>
    </w:pPr>
    <w:rPr>
      <w:sz w:val="28"/>
      <w:szCs w:val="20"/>
    </w:rPr>
  </w:style>
  <w:style w:type="paragraph" w:styleId="34">
    <w:name w:val="Body Text Indent 3"/>
    <w:basedOn w:val="1"/>
    <w:link w:val="80"/>
    <w:qFormat/>
    <w:uiPriority w:val="0"/>
    <w:pPr>
      <w:ind w:firstLine="646"/>
    </w:pPr>
    <w:rPr>
      <w:rFonts w:ascii="仿宋_GB2312" w:hAnsi="Calibri" w:eastAsia="仿宋_GB2312"/>
      <w:sz w:val="28"/>
    </w:rPr>
  </w:style>
  <w:style w:type="paragraph" w:styleId="35">
    <w:name w:val="toc 2"/>
    <w:basedOn w:val="1"/>
    <w:next w:val="1"/>
    <w:qFormat/>
    <w:locked/>
    <w:uiPriority w:val="0"/>
    <w:pPr>
      <w:ind w:left="420" w:leftChars="200"/>
    </w:pPr>
    <w:rPr>
      <w:rFonts w:ascii="Calibri" w:hAnsi="Calibri"/>
    </w:rPr>
  </w:style>
  <w:style w:type="paragraph" w:styleId="36">
    <w:name w:val="Body Text 2"/>
    <w:basedOn w:val="1"/>
    <w:link w:val="81"/>
    <w:qFormat/>
    <w:uiPriority w:val="0"/>
    <w:pPr>
      <w:spacing w:after="120" w:line="480" w:lineRule="auto"/>
    </w:pPr>
    <w:rPr>
      <w:rFonts w:ascii="Calibri" w:hAnsi="Calibri"/>
    </w:rPr>
  </w:style>
  <w:style w:type="paragraph" w:styleId="37">
    <w:name w:val="HTML Preformatted"/>
    <w:basedOn w:val="1"/>
    <w:link w:val="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link w:val="83"/>
    <w:qFormat/>
    <w:uiPriority w:val="0"/>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40">
    <w:name w:val="Title"/>
    <w:basedOn w:val="1"/>
    <w:next w:val="1"/>
    <w:link w:val="84"/>
    <w:qFormat/>
    <w:locked/>
    <w:uiPriority w:val="0"/>
    <w:pPr>
      <w:spacing w:line="360" w:lineRule="auto"/>
      <w:jc w:val="center"/>
    </w:pPr>
    <w:rPr>
      <w:rFonts w:ascii="Calibri" w:hAnsi="Calibri"/>
      <w:b/>
      <w:bCs/>
      <w:kern w:val="0"/>
      <w:sz w:val="20"/>
      <w:szCs w:val="32"/>
    </w:rPr>
  </w:style>
  <w:style w:type="paragraph" w:styleId="41">
    <w:name w:val="annotation subject"/>
    <w:basedOn w:val="17"/>
    <w:next w:val="17"/>
    <w:link w:val="85"/>
    <w:qFormat/>
    <w:uiPriority w:val="0"/>
    <w:rPr>
      <w:b/>
      <w:bCs/>
    </w:rPr>
  </w:style>
  <w:style w:type="paragraph" w:styleId="42">
    <w:name w:val="Body Text First Indent"/>
    <w:basedOn w:val="20"/>
    <w:link w:val="86"/>
    <w:qFormat/>
    <w:uiPriority w:val="0"/>
    <w:pPr>
      <w:widowControl w:val="0"/>
      <w:snapToGrid/>
      <w:spacing w:before="0" w:after="120" w:line="240" w:lineRule="auto"/>
      <w:ind w:right="0" w:firstLine="420" w:firstLineChars="100"/>
    </w:pPr>
    <w:rPr>
      <w:rFonts w:hAnsi="Calibri"/>
      <w:kern w:val="2"/>
      <w:sz w:val="21"/>
      <w:szCs w:val="24"/>
    </w:rPr>
  </w:style>
  <w:style w:type="paragraph" w:styleId="43">
    <w:name w:val="Body Text First Indent 2"/>
    <w:basedOn w:val="21"/>
    <w:link w:val="87"/>
    <w:qFormat/>
    <w:uiPriority w:val="0"/>
    <w:pPr>
      <w:ind w:firstLine="420" w:firstLineChars="200"/>
    </w:pPr>
    <w:rPr>
      <w:rFonts w:ascii="Calibri" w:hAnsi="Calibri"/>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locked/>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Emphasis"/>
    <w:qFormat/>
    <w:locked/>
    <w:uiPriority w:val="0"/>
    <w:rPr>
      <w:color w:val="C60A00"/>
    </w:rPr>
  </w:style>
  <w:style w:type="character" w:styleId="51">
    <w:name w:val="Hyperlink"/>
    <w:qFormat/>
    <w:uiPriority w:val="0"/>
    <w:rPr>
      <w:color w:val="3333FF"/>
      <w:u w:val="single"/>
    </w:rPr>
  </w:style>
  <w:style w:type="character" w:styleId="52">
    <w:name w:val="annotation reference"/>
    <w:qFormat/>
    <w:uiPriority w:val="0"/>
    <w:rPr>
      <w:sz w:val="21"/>
    </w:rPr>
  </w:style>
  <w:style w:type="paragraph" w:customStyle="1" w:styleId="53">
    <w:name w:val="Default"/>
    <w:next w:val="54"/>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4">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5">
    <w:name w:val="宏文本 Char"/>
    <w:link w:val="3"/>
    <w:qFormat/>
    <w:uiPriority w:val="0"/>
    <w:rPr>
      <w:rFonts w:ascii="Courier New" w:hAnsi="Courier New" w:cs="Courier New"/>
      <w:kern w:val="2"/>
      <w:sz w:val="24"/>
      <w:szCs w:val="24"/>
    </w:rPr>
  </w:style>
  <w:style w:type="character" w:customStyle="1" w:styleId="56">
    <w:name w:val="标题 1 Char"/>
    <w:link w:val="4"/>
    <w:qFormat/>
    <w:uiPriority w:val="0"/>
    <w:rPr>
      <w:rFonts w:eastAsia="黑体"/>
      <w:b/>
      <w:bCs/>
      <w:color w:val="000000"/>
      <w:kern w:val="44"/>
      <w:sz w:val="30"/>
      <w:szCs w:val="30"/>
    </w:rPr>
  </w:style>
  <w:style w:type="character" w:customStyle="1" w:styleId="57">
    <w:name w:val="标题 2 Char1"/>
    <w:link w:val="5"/>
    <w:qFormat/>
    <w:uiPriority w:val="0"/>
    <w:rPr>
      <w:rFonts w:ascii="Arial" w:hAnsi="Arial" w:eastAsia="黑体"/>
      <w:b/>
      <w:bCs/>
      <w:kern w:val="2"/>
      <w:sz w:val="32"/>
      <w:szCs w:val="32"/>
    </w:rPr>
  </w:style>
  <w:style w:type="character" w:customStyle="1" w:styleId="58">
    <w:name w:val="标题 3 Char"/>
    <w:link w:val="6"/>
    <w:qFormat/>
    <w:uiPriority w:val="0"/>
    <w:rPr>
      <w:rFonts w:ascii="Calibri" w:hAnsi="Calibri"/>
      <w:b/>
      <w:bCs/>
      <w:kern w:val="2"/>
      <w:sz w:val="32"/>
      <w:szCs w:val="32"/>
    </w:rPr>
  </w:style>
  <w:style w:type="character" w:customStyle="1" w:styleId="59">
    <w:name w:val="标题 4 Char"/>
    <w:link w:val="7"/>
    <w:qFormat/>
    <w:uiPriority w:val="0"/>
    <w:rPr>
      <w:rFonts w:ascii="等线 Light" w:hAnsi="等线 Light" w:eastAsia="等线 Light" w:cs="Times New Roman"/>
      <w:b/>
      <w:bCs/>
      <w:kern w:val="2"/>
      <w:sz w:val="28"/>
      <w:szCs w:val="28"/>
    </w:rPr>
  </w:style>
  <w:style w:type="character" w:customStyle="1" w:styleId="60">
    <w:name w:val="标题 5 Char"/>
    <w:link w:val="8"/>
    <w:qFormat/>
    <w:uiPriority w:val="0"/>
    <w:rPr>
      <w:rFonts w:ascii="Calibri" w:hAnsi="Calibri"/>
      <w:b/>
      <w:bCs/>
      <w:kern w:val="2"/>
      <w:sz w:val="28"/>
      <w:szCs w:val="28"/>
    </w:rPr>
  </w:style>
  <w:style w:type="character" w:customStyle="1" w:styleId="61">
    <w:name w:val="标题 6 Char"/>
    <w:link w:val="9"/>
    <w:qFormat/>
    <w:uiPriority w:val="0"/>
    <w:rPr>
      <w:rFonts w:ascii="Arial" w:hAnsi="Arial" w:eastAsia="黑体"/>
      <w:b/>
      <w:bCs/>
      <w:kern w:val="2"/>
      <w:sz w:val="24"/>
      <w:szCs w:val="24"/>
    </w:rPr>
  </w:style>
  <w:style w:type="character" w:customStyle="1" w:styleId="62">
    <w:name w:val="标题 7 Char"/>
    <w:link w:val="10"/>
    <w:qFormat/>
    <w:uiPriority w:val="0"/>
    <w:rPr>
      <w:rFonts w:ascii="Calibri" w:hAnsi="Calibri"/>
      <w:b/>
      <w:bCs/>
      <w:kern w:val="2"/>
      <w:sz w:val="24"/>
      <w:szCs w:val="24"/>
    </w:rPr>
  </w:style>
  <w:style w:type="character" w:customStyle="1" w:styleId="63">
    <w:name w:val="标题 8 Char"/>
    <w:link w:val="11"/>
    <w:qFormat/>
    <w:uiPriority w:val="0"/>
    <w:rPr>
      <w:rFonts w:ascii="Arial" w:hAnsi="Arial" w:eastAsia="黑体"/>
      <w:kern w:val="2"/>
      <w:sz w:val="24"/>
      <w:szCs w:val="24"/>
    </w:rPr>
  </w:style>
  <w:style w:type="character" w:customStyle="1" w:styleId="64">
    <w:name w:val="标题 9 Char"/>
    <w:link w:val="12"/>
    <w:qFormat/>
    <w:uiPriority w:val="0"/>
    <w:rPr>
      <w:rFonts w:ascii="Arial" w:hAnsi="Arial" w:eastAsia="黑体"/>
      <w:kern w:val="2"/>
      <w:sz w:val="21"/>
      <w:szCs w:val="21"/>
    </w:rPr>
  </w:style>
  <w:style w:type="character" w:customStyle="1" w:styleId="65">
    <w:name w:val="注释标题 Char"/>
    <w:link w:val="13"/>
    <w:qFormat/>
    <w:uiPriority w:val="0"/>
    <w:rPr>
      <w:rFonts w:ascii="Calibri" w:hAnsi="Calibri"/>
      <w:kern w:val="2"/>
      <w:sz w:val="21"/>
      <w:szCs w:val="24"/>
    </w:rPr>
  </w:style>
  <w:style w:type="character" w:customStyle="1" w:styleId="66">
    <w:name w:val="正文缩进 Char1"/>
    <w:link w:val="14"/>
    <w:qFormat/>
    <w:uiPriority w:val="0"/>
    <w:rPr>
      <w:rFonts w:ascii="Calibri" w:hAnsi="Calibri"/>
      <w:sz w:val="28"/>
    </w:rPr>
  </w:style>
  <w:style w:type="character" w:customStyle="1" w:styleId="67">
    <w:name w:val="文档结构图 Char"/>
    <w:link w:val="16"/>
    <w:qFormat/>
    <w:uiPriority w:val="0"/>
    <w:rPr>
      <w:rFonts w:ascii="Calibri" w:hAnsi="Calibri"/>
      <w:kern w:val="2"/>
      <w:sz w:val="21"/>
      <w:szCs w:val="24"/>
      <w:shd w:val="clear" w:color="auto" w:fill="000080"/>
    </w:rPr>
  </w:style>
  <w:style w:type="character" w:customStyle="1" w:styleId="68">
    <w:name w:val="批注文字 Char"/>
    <w:link w:val="17"/>
    <w:qFormat/>
    <w:locked/>
    <w:uiPriority w:val="0"/>
    <w:rPr>
      <w:rFonts w:ascii="Times New Roman" w:hAnsi="Times New Roman" w:eastAsia="宋体"/>
      <w:sz w:val="24"/>
    </w:rPr>
  </w:style>
  <w:style w:type="character" w:customStyle="1" w:styleId="69">
    <w:name w:val="称呼 Char"/>
    <w:link w:val="18"/>
    <w:qFormat/>
    <w:uiPriority w:val="0"/>
    <w:rPr>
      <w:rFonts w:ascii="Calibri" w:hAnsi="Calibri"/>
      <w:kern w:val="2"/>
      <w:sz w:val="21"/>
      <w:szCs w:val="24"/>
    </w:rPr>
  </w:style>
  <w:style w:type="character" w:customStyle="1" w:styleId="70">
    <w:name w:val="正文文本 3 Char"/>
    <w:link w:val="19"/>
    <w:qFormat/>
    <w:uiPriority w:val="0"/>
    <w:rPr>
      <w:rFonts w:ascii="宋体" w:hAnsi="宋体"/>
      <w:kern w:val="2"/>
      <w:sz w:val="28"/>
      <w:szCs w:val="24"/>
    </w:rPr>
  </w:style>
  <w:style w:type="character" w:customStyle="1" w:styleId="71">
    <w:name w:val="正文文本 Char"/>
    <w:link w:val="20"/>
    <w:qFormat/>
    <w:locked/>
    <w:uiPriority w:val="0"/>
    <w:rPr>
      <w:sz w:val="18"/>
    </w:rPr>
  </w:style>
  <w:style w:type="character" w:customStyle="1" w:styleId="72">
    <w:name w:val="正文文本缩进 Char"/>
    <w:link w:val="21"/>
    <w:qFormat/>
    <w:locked/>
    <w:uiPriority w:val="0"/>
    <w:rPr>
      <w:rFonts w:ascii="Times New Roman" w:hAnsi="Times New Roman" w:eastAsia="宋体" w:cs="Times New Roman"/>
      <w:sz w:val="24"/>
      <w:szCs w:val="24"/>
    </w:rPr>
  </w:style>
  <w:style w:type="character" w:customStyle="1" w:styleId="73">
    <w:name w:val="纯文本 Char3"/>
    <w:link w:val="24"/>
    <w:qFormat/>
    <w:uiPriority w:val="0"/>
    <w:rPr>
      <w:rFonts w:ascii="宋体" w:hAnsi="宋体"/>
      <w:sz w:val="24"/>
      <w:szCs w:val="24"/>
    </w:rPr>
  </w:style>
  <w:style w:type="character" w:customStyle="1" w:styleId="74">
    <w:name w:val="日期 Char1"/>
    <w:link w:val="25"/>
    <w:qFormat/>
    <w:locked/>
    <w:uiPriority w:val="0"/>
    <w:rPr>
      <w:rFonts w:ascii="Times New Roman" w:hAnsi="Times New Roman" w:eastAsia="宋体"/>
      <w:sz w:val="24"/>
    </w:rPr>
  </w:style>
  <w:style w:type="character" w:customStyle="1" w:styleId="75">
    <w:name w:val="正文文本缩进 2 Char2"/>
    <w:link w:val="26"/>
    <w:qFormat/>
    <w:uiPriority w:val="0"/>
    <w:rPr>
      <w:rFonts w:eastAsia="宋体"/>
      <w:kern w:val="2"/>
      <w:sz w:val="24"/>
      <w:szCs w:val="24"/>
    </w:rPr>
  </w:style>
  <w:style w:type="character" w:customStyle="1" w:styleId="76">
    <w:name w:val="批注框文本 Char"/>
    <w:link w:val="28"/>
    <w:qFormat/>
    <w:locked/>
    <w:uiPriority w:val="0"/>
    <w:rPr>
      <w:rFonts w:ascii="Times New Roman" w:hAnsi="Times New Roman" w:eastAsia="宋体" w:cs="Times New Roman"/>
      <w:sz w:val="18"/>
      <w:szCs w:val="18"/>
    </w:rPr>
  </w:style>
  <w:style w:type="character" w:customStyle="1" w:styleId="77">
    <w:name w:val="页脚 Char"/>
    <w:link w:val="29"/>
    <w:qFormat/>
    <w:locked/>
    <w:uiPriority w:val="0"/>
    <w:rPr>
      <w:rFonts w:cs="Times New Roman"/>
      <w:sz w:val="18"/>
      <w:szCs w:val="18"/>
    </w:rPr>
  </w:style>
  <w:style w:type="character" w:customStyle="1" w:styleId="78">
    <w:name w:val="页眉 Char"/>
    <w:link w:val="30"/>
    <w:qFormat/>
    <w:locked/>
    <w:uiPriority w:val="99"/>
    <w:rPr>
      <w:rFonts w:cs="Times New Roman"/>
      <w:sz w:val="18"/>
      <w:szCs w:val="18"/>
    </w:rPr>
  </w:style>
  <w:style w:type="character" w:customStyle="1" w:styleId="79">
    <w:name w:val="副标题 Char"/>
    <w:link w:val="32"/>
    <w:qFormat/>
    <w:uiPriority w:val="0"/>
    <w:rPr>
      <w:rFonts w:ascii="Calibri" w:hAnsi="Calibri"/>
      <w:bCs/>
      <w:kern w:val="28"/>
      <w:szCs w:val="32"/>
    </w:rPr>
  </w:style>
  <w:style w:type="character" w:customStyle="1" w:styleId="80">
    <w:name w:val="正文文本缩进 3 Char"/>
    <w:link w:val="34"/>
    <w:qFormat/>
    <w:uiPriority w:val="0"/>
    <w:rPr>
      <w:rFonts w:ascii="仿宋_GB2312" w:hAnsi="Calibri" w:eastAsia="仿宋_GB2312"/>
      <w:kern w:val="2"/>
      <w:sz w:val="28"/>
      <w:szCs w:val="24"/>
    </w:rPr>
  </w:style>
  <w:style w:type="character" w:customStyle="1" w:styleId="81">
    <w:name w:val="正文文本 2 Char"/>
    <w:link w:val="36"/>
    <w:qFormat/>
    <w:uiPriority w:val="0"/>
    <w:rPr>
      <w:rFonts w:ascii="Calibri" w:hAnsi="Calibri"/>
      <w:kern w:val="2"/>
      <w:sz w:val="21"/>
      <w:szCs w:val="24"/>
    </w:rPr>
  </w:style>
  <w:style w:type="character" w:customStyle="1" w:styleId="82">
    <w:name w:val="HTML 预设格式 Char"/>
    <w:link w:val="37"/>
    <w:qFormat/>
    <w:uiPriority w:val="0"/>
    <w:rPr>
      <w:rFonts w:ascii="宋体" w:hAnsi="宋体" w:cs="宋体"/>
      <w:sz w:val="24"/>
      <w:szCs w:val="24"/>
    </w:rPr>
  </w:style>
  <w:style w:type="character" w:customStyle="1" w:styleId="83">
    <w:name w:val="普通(网站) Char1"/>
    <w:link w:val="38"/>
    <w:qFormat/>
    <w:locked/>
    <w:uiPriority w:val="0"/>
    <w:rPr>
      <w:rFonts w:ascii="宋体" w:hAnsi="宋体" w:eastAsia="宋体"/>
      <w:sz w:val="24"/>
    </w:rPr>
  </w:style>
  <w:style w:type="character" w:customStyle="1" w:styleId="84">
    <w:name w:val="标题 Char"/>
    <w:link w:val="40"/>
    <w:qFormat/>
    <w:uiPriority w:val="0"/>
    <w:rPr>
      <w:rFonts w:ascii="Calibri" w:hAnsi="Calibri"/>
      <w:b/>
      <w:bCs/>
      <w:szCs w:val="32"/>
    </w:rPr>
  </w:style>
  <w:style w:type="character" w:customStyle="1" w:styleId="85">
    <w:name w:val="批注主题 Char"/>
    <w:link w:val="41"/>
    <w:qFormat/>
    <w:locked/>
    <w:uiPriority w:val="0"/>
    <w:rPr>
      <w:rFonts w:ascii="Times New Roman" w:hAnsi="Times New Roman" w:eastAsia="宋体" w:cs="Times New Roman"/>
      <w:b/>
      <w:bCs/>
      <w:kern w:val="2"/>
      <w:sz w:val="24"/>
      <w:szCs w:val="24"/>
    </w:rPr>
  </w:style>
  <w:style w:type="character" w:customStyle="1" w:styleId="86">
    <w:name w:val="正文首行缩进 Char"/>
    <w:link w:val="42"/>
    <w:qFormat/>
    <w:uiPriority w:val="0"/>
    <w:rPr>
      <w:rFonts w:hAnsi="Calibri"/>
      <w:kern w:val="2"/>
      <w:sz w:val="21"/>
      <w:szCs w:val="24"/>
    </w:rPr>
  </w:style>
  <w:style w:type="character" w:customStyle="1" w:styleId="87">
    <w:name w:val="正文首行缩进 2 Char"/>
    <w:link w:val="43"/>
    <w:qFormat/>
    <w:uiPriority w:val="0"/>
    <w:rPr>
      <w:rFonts w:ascii="Calibri" w:hAnsi="Calibri" w:eastAsia="宋体" w:cs="Times New Roman"/>
      <w:kern w:val="2"/>
      <w:sz w:val="21"/>
      <w:szCs w:val="24"/>
    </w:rPr>
  </w:style>
  <w:style w:type="character" w:customStyle="1" w:styleId="88">
    <w:name w:val="表格1 Char"/>
    <w:link w:val="89"/>
    <w:qFormat/>
    <w:uiPriority w:val="0"/>
    <w:rPr>
      <w:rFonts w:ascii="宋体" w:hAnsi="Calibri"/>
      <w:sz w:val="24"/>
    </w:rPr>
  </w:style>
  <w:style w:type="paragraph" w:customStyle="1" w:styleId="89">
    <w:name w:val="表格1"/>
    <w:basedOn w:val="1"/>
    <w:link w:val="88"/>
    <w:qFormat/>
    <w:uiPriority w:val="0"/>
    <w:pPr>
      <w:adjustRightInd w:val="0"/>
      <w:jc w:val="center"/>
      <w:textAlignment w:val="baseline"/>
    </w:pPr>
    <w:rPr>
      <w:rFonts w:ascii="宋体" w:hAnsi="Calibri"/>
      <w:kern w:val="0"/>
      <w:sz w:val="24"/>
      <w:szCs w:val="20"/>
    </w:rPr>
  </w:style>
  <w:style w:type="character" w:customStyle="1" w:styleId="90">
    <w:name w:val="表头样式1 Char Char"/>
    <w:qFormat/>
    <w:uiPriority w:val="0"/>
    <w:rPr>
      <w:rFonts w:hint="default" w:ascii="Times New Roman" w:hAnsi="Times New Roman" w:eastAsia="黑体" w:cs="Times New Roman"/>
      <w:b/>
      <w:sz w:val="20"/>
    </w:rPr>
  </w:style>
  <w:style w:type="character" w:customStyle="1" w:styleId="91">
    <w:name w:val="样式 标题ljm + 首行缩进:  2 字符 Char Char"/>
    <w:qFormat/>
    <w:uiPriority w:val="0"/>
    <w:rPr>
      <w:rFonts w:hint="default" w:ascii="Times New Roman" w:hAnsi="Times New Roman" w:cs="Times New Roman"/>
      <w:b/>
    </w:rPr>
  </w:style>
  <w:style w:type="character" w:customStyle="1" w:styleId="92">
    <w:name w:val="样式 表（或图）标题 样式 宋体 五号 居中 SL CON + 非加粗 Char Char"/>
    <w:qFormat/>
    <w:uiPriority w:val="0"/>
    <w:rPr>
      <w:b/>
      <w:sz w:val="21"/>
    </w:rPr>
  </w:style>
  <w:style w:type="character" w:customStyle="1" w:styleId="93">
    <w:name w:val="表格样式 Char"/>
    <w:link w:val="94"/>
    <w:qFormat/>
    <w:uiPriority w:val="0"/>
    <w:rPr>
      <w:kern w:val="2"/>
      <w:sz w:val="21"/>
      <w:szCs w:val="24"/>
    </w:rPr>
  </w:style>
  <w:style w:type="paragraph" w:customStyle="1" w:styleId="94">
    <w:name w:val="表格样式"/>
    <w:basedOn w:val="1"/>
    <w:link w:val="93"/>
    <w:qFormat/>
    <w:uiPriority w:val="0"/>
    <w:pPr>
      <w:spacing w:line="320" w:lineRule="exact"/>
      <w:contextualSpacing/>
      <w:jc w:val="center"/>
    </w:pPr>
  </w:style>
  <w:style w:type="character" w:customStyle="1" w:styleId="95">
    <w:name w:val="title8"/>
    <w:qFormat/>
    <w:uiPriority w:val="0"/>
  </w:style>
  <w:style w:type="character" w:customStyle="1" w:styleId="96">
    <w:name w:val="03表格文字 Char"/>
    <w:link w:val="97"/>
    <w:qFormat/>
    <w:uiPriority w:val="0"/>
    <w:rPr>
      <w:kern w:val="2"/>
      <w:sz w:val="22"/>
      <w:szCs w:val="22"/>
    </w:rPr>
  </w:style>
  <w:style w:type="paragraph" w:customStyle="1" w:styleId="97">
    <w:name w:val="03表格文字"/>
    <w:basedOn w:val="1"/>
    <w:link w:val="96"/>
    <w:qFormat/>
    <w:uiPriority w:val="0"/>
    <w:pPr>
      <w:adjustRightInd w:val="0"/>
      <w:snapToGrid w:val="0"/>
      <w:spacing w:line="360" w:lineRule="exact"/>
      <w:jc w:val="center"/>
    </w:pPr>
    <w:rPr>
      <w:sz w:val="22"/>
      <w:szCs w:val="22"/>
    </w:rPr>
  </w:style>
  <w:style w:type="character" w:customStyle="1" w:styleId="98">
    <w:name w:val="题注 Char"/>
    <w:qFormat/>
    <w:uiPriority w:val="0"/>
    <w:rPr>
      <w:rFonts w:hint="default" w:ascii="Arial" w:hAnsi="Arial" w:eastAsia="黑体" w:cs="Arial"/>
    </w:rPr>
  </w:style>
  <w:style w:type="character" w:customStyle="1" w:styleId="99">
    <w:name w:val="07报告文本 Char"/>
    <w:link w:val="100"/>
    <w:qFormat/>
    <w:uiPriority w:val="0"/>
    <w:rPr>
      <w:kern w:val="2"/>
      <w:sz w:val="24"/>
      <w:szCs w:val="28"/>
    </w:rPr>
  </w:style>
  <w:style w:type="paragraph" w:customStyle="1" w:styleId="100">
    <w:name w:val="07报告文本"/>
    <w:basedOn w:val="1"/>
    <w:link w:val="99"/>
    <w:qFormat/>
    <w:uiPriority w:val="0"/>
    <w:pPr>
      <w:spacing w:line="460" w:lineRule="exact"/>
      <w:ind w:firstLine="200" w:firstLineChars="200"/>
    </w:pPr>
    <w:rPr>
      <w:sz w:val="24"/>
      <w:szCs w:val="28"/>
    </w:rPr>
  </w:style>
  <w:style w:type="character" w:customStyle="1" w:styleId="101">
    <w:name w:val="01表格 Char"/>
    <w:qFormat/>
    <w:uiPriority w:val="0"/>
    <w:rPr>
      <w:rFonts w:hint="default" w:ascii="Arial" w:hAnsi="Arial" w:eastAsia="黑体" w:cs="Arial"/>
      <w:b/>
      <w:sz w:val="21"/>
    </w:rPr>
  </w:style>
  <w:style w:type="character" w:customStyle="1" w:styleId="102">
    <w:name w:val="表内字 Char Char"/>
    <w:link w:val="103"/>
    <w:qFormat/>
    <w:uiPriority w:val="0"/>
    <w:rPr>
      <w:kern w:val="2"/>
      <w:sz w:val="22"/>
      <w:szCs w:val="21"/>
    </w:rPr>
  </w:style>
  <w:style w:type="paragraph" w:customStyle="1" w:styleId="103">
    <w:name w:val="表内字"/>
    <w:basedOn w:val="104"/>
    <w:link w:val="102"/>
    <w:qFormat/>
    <w:uiPriority w:val="0"/>
    <w:pPr>
      <w:adjustRightInd/>
      <w:snapToGrid/>
      <w:spacing w:beforeLines="0" w:afterLines="0" w:line="240" w:lineRule="auto"/>
    </w:pPr>
    <w:rPr>
      <w:rFonts w:ascii="Times New Roman"/>
      <w:kern w:val="2"/>
      <w:sz w:val="22"/>
    </w:rPr>
  </w:style>
  <w:style w:type="paragraph" w:customStyle="1" w:styleId="104">
    <w:name w:val="表格"/>
    <w:basedOn w:val="1"/>
    <w:next w:val="1"/>
    <w:link w:val="105"/>
    <w:qFormat/>
    <w:uiPriority w:val="0"/>
    <w:pPr>
      <w:adjustRightInd w:val="0"/>
      <w:snapToGrid w:val="0"/>
      <w:spacing w:beforeLines="10" w:afterLines="10" w:line="259" w:lineRule="auto"/>
      <w:jc w:val="center"/>
    </w:pPr>
    <w:rPr>
      <w:rFonts w:ascii="宋体"/>
      <w:kern w:val="0"/>
      <w:sz w:val="20"/>
      <w:szCs w:val="21"/>
    </w:rPr>
  </w:style>
  <w:style w:type="character" w:customStyle="1" w:styleId="105">
    <w:name w:val="表格 Char"/>
    <w:link w:val="104"/>
    <w:qFormat/>
    <w:locked/>
    <w:uiPriority w:val="0"/>
    <w:rPr>
      <w:rFonts w:ascii="宋体"/>
      <w:sz w:val="21"/>
    </w:rPr>
  </w:style>
  <w:style w:type="character" w:customStyle="1" w:styleId="106">
    <w:name w:val="表内文字 样式 五号 居中 行距: 单倍行距 SL CON Char"/>
    <w:qFormat/>
    <w:uiPriority w:val="0"/>
    <w:rPr>
      <w:sz w:val="21"/>
    </w:rPr>
  </w:style>
  <w:style w:type="character" w:customStyle="1" w:styleId="107">
    <w:name w:val="正文缩进 Char2"/>
    <w:qFormat/>
    <w:uiPriority w:val="0"/>
    <w:rPr>
      <w:rFonts w:hint="default" w:ascii="Times New Roman" w:hAnsi="Times New Roman" w:cs="Times New Roman"/>
    </w:rPr>
  </w:style>
  <w:style w:type="character" w:customStyle="1" w:styleId="108">
    <w:name w:val="批注文字 字符1"/>
    <w:semiHidden/>
    <w:qFormat/>
    <w:uiPriority w:val="0"/>
    <w:rPr>
      <w:rFonts w:ascii="Times New Roman" w:hAnsi="Times New Roman" w:eastAsia="宋体" w:cs="Times New Roman"/>
      <w:sz w:val="24"/>
      <w:szCs w:val="24"/>
    </w:rPr>
  </w:style>
  <w:style w:type="character" w:customStyle="1" w:styleId="109">
    <w:name w:val="表头样式1 Char"/>
    <w:qFormat/>
    <w:uiPriority w:val="0"/>
    <w:rPr>
      <w:rFonts w:hint="default" w:ascii="Times New Roman" w:hAnsi="Times New Roman" w:eastAsia="黑体" w:cs="Times New Roman"/>
      <w:b/>
    </w:rPr>
  </w:style>
  <w:style w:type="character" w:customStyle="1" w:styleId="110">
    <w:name w:val="font21"/>
    <w:basedOn w:val="46"/>
    <w:qFormat/>
    <w:uiPriority w:val="0"/>
    <w:rPr>
      <w:rFonts w:hint="default" w:ascii="Times New Roman" w:hAnsi="Times New Roman" w:cs="Times New Roman"/>
      <w:b/>
      <w:color w:val="000000"/>
      <w:sz w:val="24"/>
      <w:szCs w:val="24"/>
      <w:u w:val="none"/>
      <w:vertAlign w:val="superscript"/>
    </w:rPr>
  </w:style>
  <w:style w:type="character" w:customStyle="1" w:styleId="111">
    <w:name w:val="我的正文 Char"/>
    <w:qFormat/>
    <w:uiPriority w:val="0"/>
    <w:rPr>
      <w:rFonts w:hint="eastAsia" w:ascii="宋体" w:hAnsi="宋体" w:eastAsia="宋体" w:cs="宋体"/>
      <w:color w:val="000000"/>
      <w:kern w:val="2"/>
      <w:sz w:val="24"/>
    </w:rPr>
  </w:style>
  <w:style w:type="character" w:customStyle="1" w:styleId="112">
    <w:name w:val="正文文本缩进 2 Char1"/>
    <w:qFormat/>
    <w:uiPriority w:val="0"/>
    <w:rPr>
      <w:sz w:val="24"/>
    </w:rPr>
  </w:style>
  <w:style w:type="character" w:customStyle="1" w:styleId="113">
    <w:name w:val="图题 表题 Char"/>
    <w:qFormat/>
    <w:uiPriority w:val="0"/>
    <w:rPr>
      <w:rFonts w:hint="default" w:ascii="Times New Roman" w:hAnsi="Times New Roman" w:cs="Times New Roman"/>
      <w:b/>
      <w:kern w:val="2"/>
      <w:sz w:val="21"/>
    </w:rPr>
  </w:style>
  <w:style w:type="character" w:customStyle="1" w:styleId="114">
    <w:name w:val="表格表格 Char"/>
    <w:link w:val="115"/>
    <w:qFormat/>
    <w:uiPriority w:val="0"/>
    <w:rPr>
      <w:rFonts w:cs="宋体"/>
      <w:color w:val="000000"/>
      <w:sz w:val="21"/>
      <w:szCs w:val="21"/>
    </w:rPr>
  </w:style>
  <w:style w:type="paragraph" w:customStyle="1" w:styleId="115">
    <w:name w:val="表格表格"/>
    <w:basedOn w:val="1"/>
    <w:link w:val="114"/>
    <w:qFormat/>
    <w:uiPriority w:val="0"/>
    <w:pPr>
      <w:jc w:val="left"/>
    </w:pPr>
    <w:rPr>
      <w:rFonts w:cs="宋体"/>
      <w:color w:val="000000"/>
      <w:kern w:val="0"/>
      <w:szCs w:val="21"/>
    </w:rPr>
  </w:style>
  <w:style w:type="character" w:customStyle="1" w:styleId="116">
    <w:name w:val="日期 Char"/>
    <w:qFormat/>
    <w:uiPriority w:val="0"/>
    <w:rPr>
      <w:rFonts w:hint="eastAsia" w:ascii="宋体" w:hAnsi="Courier New" w:eastAsia="宋体" w:cs="宋体"/>
      <w:sz w:val="28"/>
    </w:rPr>
  </w:style>
  <w:style w:type="character" w:customStyle="1" w:styleId="117">
    <w:name w:val="样式9 Char"/>
    <w:qFormat/>
    <w:uiPriority w:val="0"/>
    <w:rPr>
      <w:rFonts w:hint="default" w:ascii="Times New Roman" w:hAnsi="Times New Roman" w:cs="Times New Roman"/>
      <w:sz w:val="26"/>
    </w:rPr>
  </w:style>
  <w:style w:type="character" w:customStyle="1" w:styleId="118">
    <w:name w:val="Heading 2 Char"/>
    <w:qFormat/>
    <w:uiPriority w:val="0"/>
    <w:rPr>
      <w:rFonts w:hint="default" w:ascii="Cambria" w:hAnsi="Cambria" w:eastAsia="宋体" w:cs="Times New Roman"/>
      <w:b/>
      <w:kern w:val="2"/>
      <w:sz w:val="32"/>
      <w:szCs w:val="32"/>
    </w:rPr>
  </w:style>
  <w:style w:type="character" w:customStyle="1" w:styleId="119">
    <w:name w:val="新格式表 Char"/>
    <w:link w:val="120"/>
    <w:qFormat/>
    <w:uiPriority w:val="0"/>
    <w:rPr>
      <w:snapToGrid w:val="0"/>
      <w:color w:val="000000"/>
      <w:kern w:val="2"/>
      <w:sz w:val="21"/>
      <w:szCs w:val="21"/>
      <w:lang w:val="en-GB"/>
    </w:rPr>
  </w:style>
  <w:style w:type="paragraph" w:customStyle="1" w:styleId="120">
    <w:name w:val="新格式表"/>
    <w:basedOn w:val="1"/>
    <w:link w:val="119"/>
    <w:qFormat/>
    <w:uiPriority w:val="0"/>
    <w:pPr>
      <w:jc w:val="center"/>
    </w:pPr>
    <w:rPr>
      <w:color w:val="000000"/>
      <w:szCs w:val="21"/>
      <w:lang w:val="en-GB"/>
    </w:rPr>
  </w:style>
  <w:style w:type="character" w:customStyle="1" w:styleId="121">
    <w:name w:val="02图 Char"/>
    <w:qFormat/>
    <w:uiPriority w:val="0"/>
    <w:rPr>
      <w:rFonts w:hint="default" w:ascii="Arial" w:hAnsi="Arial" w:eastAsia="黑体" w:cs="Arial"/>
      <w:b/>
    </w:rPr>
  </w:style>
  <w:style w:type="character" w:customStyle="1" w:styleId="122">
    <w:name w:val="Char1 Char Char Char Char Char"/>
    <w:qFormat/>
    <w:uiPriority w:val="0"/>
    <w:rPr>
      <w:rFonts w:eastAsia="宋体"/>
      <w:kern w:val="2"/>
      <w:sz w:val="21"/>
      <w:szCs w:val="24"/>
      <w:lang w:val="en-US" w:eastAsia="zh-CN" w:bidi="ar-SA"/>
    </w:rPr>
  </w:style>
  <w:style w:type="character" w:customStyle="1" w:styleId="123">
    <w:name w:val="表名-中煤 Char"/>
    <w:link w:val="124"/>
    <w:qFormat/>
    <w:uiPriority w:val="0"/>
    <w:rPr>
      <w:color w:val="000000"/>
      <w:sz w:val="26"/>
      <w:szCs w:val="21"/>
      <w:lang w:val="zh-CN"/>
    </w:rPr>
  </w:style>
  <w:style w:type="paragraph" w:customStyle="1" w:styleId="124">
    <w:name w:val="表名-中煤"/>
    <w:basedOn w:val="1"/>
    <w:link w:val="123"/>
    <w:qFormat/>
    <w:uiPriority w:val="0"/>
    <w:pPr>
      <w:autoSpaceDE w:val="0"/>
      <w:autoSpaceDN w:val="0"/>
      <w:adjustRightInd w:val="0"/>
      <w:snapToGrid w:val="0"/>
      <w:jc w:val="center"/>
    </w:pPr>
    <w:rPr>
      <w:color w:val="000000"/>
      <w:kern w:val="0"/>
      <w:sz w:val="26"/>
      <w:szCs w:val="21"/>
      <w:lang w:val="zh-CN"/>
    </w:rPr>
  </w:style>
  <w:style w:type="character" w:customStyle="1" w:styleId="125">
    <w:name w:val="h31"/>
    <w:qFormat/>
    <w:uiPriority w:val="0"/>
    <w:rPr>
      <w:sz w:val="21"/>
      <w:szCs w:val="21"/>
    </w:rPr>
  </w:style>
  <w:style w:type="character" w:customStyle="1" w:styleId="126">
    <w:name w:val="环评证文 Char"/>
    <w:link w:val="127"/>
    <w:qFormat/>
    <w:uiPriority w:val="0"/>
    <w:rPr>
      <w:rFonts w:hAnsi="宋体"/>
      <w:color w:val="000000"/>
      <w:sz w:val="24"/>
    </w:rPr>
  </w:style>
  <w:style w:type="paragraph" w:customStyle="1" w:styleId="127">
    <w:name w:val="环评证文"/>
    <w:basedOn w:val="1"/>
    <w:link w:val="126"/>
    <w:qFormat/>
    <w:uiPriority w:val="0"/>
    <w:pPr>
      <w:widowControl/>
      <w:spacing w:line="440" w:lineRule="exact"/>
      <w:ind w:firstLine="480"/>
      <w:jc w:val="left"/>
    </w:pPr>
    <w:rPr>
      <w:rFonts w:hAnsi="宋体"/>
      <w:color w:val="000000"/>
      <w:kern w:val="0"/>
      <w:sz w:val="24"/>
      <w:szCs w:val="20"/>
    </w:rPr>
  </w:style>
  <w:style w:type="character" w:customStyle="1" w:styleId="128">
    <w:name w:val="纯文本 Char"/>
    <w:qFormat/>
    <w:uiPriority w:val="0"/>
    <w:rPr>
      <w:rFonts w:ascii="宋体" w:hAnsi="宋体" w:eastAsia="宋体"/>
      <w:sz w:val="24"/>
      <w:szCs w:val="24"/>
      <w:lang w:val="en-US" w:eastAsia="zh-CN" w:bidi="ar-SA"/>
    </w:rPr>
  </w:style>
  <w:style w:type="character" w:customStyle="1" w:styleId="129">
    <w:name w:val="正文（首行缩进2字） Char"/>
    <w:link w:val="130"/>
    <w:qFormat/>
    <w:uiPriority w:val="0"/>
    <w:rPr>
      <w:rFonts w:ascii="宋体" w:hAnsi="宋体"/>
      <w:kern w:val="2"/>
      <w:sz w:val="24"/>
      <w:szCs w:val="24"/>
    </w:rPr>
  </w:style>
  <w:style w:type="paragraph" w:customStyle="1" w:styleId="130">
    <w:name w:val="正文（首行缩进2字）"/>
    <w:basedOn w:val="1"/>
    <w:link w:val="129"/>
    <w:qFormat/>
    <w:uiPriority w:val="0"/>
    <w:rPr>
      <w:rFonts w:ascii="宋体" w:hAnsi="宋体"/>
      <w:sz w:val="24"/>
    </w:rPr>
  </w:style>
  <w:style w:type="character" w:customStyle="1" w:styleId="131">
    <w:name w:val="style4"/>
    <w:qFormat/>
    <w:uiPriority w:val="0"/>
  </w:style>
  <w:style w:type="character" w:customStyle="1" w:styleId="132">
    <w:name w:val="font11"/>
    <w:basedOn w:val="46"/>
    <w:qFormat/>
    <w:uiPriority w:val="0"/>
    <w:rPr>
      <w:rFonts w:hint="eastAsia" w:ascii="宋体" w:hAnsi="宋体" w:eastAsia="宋体" w:cs="宋体"/>
      <w:b/>
      <w:color w:val="000000"/>
      <w:sz w:val="24"/>
      <w:szCs w:val="24"/>
      <w:u w:val="none"/>
    </w:rPr>
  </w:style>
  <w:style w:type="character" w:customStyle="1" w:styleId="133">
    <w:name w:val="cn"/>
    <w:qFormat/>
    <w:uiPriority w:val="0"/>
  </w:style>
  <w:style w:type="character" w:customStyle="1" w:styleId="134">
    <w:name w:val="Char Char7"/>
    <w:qFormat/>
    <w:uiPriority w:val="0"/>
    <w:rPr>
      <w:rFonts w:ascii="宋体" w:hAnsi="宋体" w:eastAsia="黑体"/>
      <w:bCs/>
      <w:color w:val="FF0000"/>
      <w:kern w:val="2"/>
      <w:sz w:val="28"/>
      <w:szCs w:val="28"/>
    </w:rPr>
  </w:style>
  <w:style w:type="character" w:customStyle="1" w:styleId="135">
    <w:name w:val="纯文本 Char2"/>
    <w:qFormat/>
    <w:uiPriority w:val="0"/>
    <w:rPr>
      <w:rFonts w:hint="eastAsia" w:ascii="宋体" w:hAnsi="Courier New" w:eastAsia="宋体" w:cs="宋体"/>
      <w:kern w:val="2"/>
      <w:sz w:val="21"/>
      <w:lang w:val="en-US" w:eastAsia="zh-CN"/>
    </w:rPr>
  </w:style>
  <w:style w:type="character" w:customStyle="1" w:styleId="136">
    <w:name w:val="表格文字五号 Char"/>
    <w:link w:val="137"/>
    <w:qFormat/>
    <w:locked/>
    <w:uiPriority w:val="0"/>
    <w:rPr>
      <w:sz w:val="21"/>
    </w:rPr>
  </w:style>
  <w:style w:type="paragraph" w:customStyle="1" w:styleId="137">
    <w:name w:val="表格文字五号"/>
    <w:basedOn w:val="1"/>
    <w:next w:val="1"/>
    <w:link w:val="136"/>
    <w:qFormat/>
    <w:uiPriority w:val="0"/>
    <w:pPr>
      <w:adjustRightInd w:val="0"/>
      <w:jc w:val="center"/>
    </w:pPr>
    <w:rPr>
      <w:kern w:val="0"/>
      <w:szCs w:val="20"/>
    </w:rPr>
  </w:style>
  <w:style w:type="character" w:customStyle="1" w:styleId="138">
    <w:name w:val="常用表格样式 Char1"/>
    <w:qFormat/>
    <w:uiPriority w:val="0"/>
    <w:rPr>
      <w:rFonts w:hint="eastAsia" w:ascii="宋体" w:hAnsi="新宋体" w:eastAsia="仿宋_GB2312" w:cs="宋体"/>
      <w:spacing w:val="2"/>
      <w:sz w:val="24"/>
    </w:rPr>
  </w:style>
  <w:style w:type="character" w:customStyle="1" w:styleId="139">
    <w:name w:val="样式 表（或图）标题 样式 宋体 五号 居中 SL CON + 非加粗 Char"/>
    <w:qFormat/>
    <w:uiPriority w:val="0"/>
    <w:rPr>
      <w:rFonts w:hint="eastAsia" w:ascii="宋体" w:hAnsi="宋体" w:eastAsia="宋体" w:cs="宋体"/>
      <w:b/>
    </w:rPr>
  </w:style>
  <w:style w:type="character" w:customStyle="1" w:styleId="140">
    <w:name w:val="Date Char1"/>
    <w:qFormat/>
    <w:uiPriority w:val="0"/>
    <w:rPr>
      <w:rFonts w:hint="default" w:ascii="Times New Roman" w:hAnsi="Times New Roman" w:cs="Times New Roman"/>
      <w:kern w:val="2"/>
      <w:sz w:val="21"/>
      <w:szCs w:val="24"/>
    </w:rPr>
  </w:style>
  <w:style w:type="character" w:customStyle="1" w:styleId="141">
    <w:name w:val="表头 Char1"/>
    <w:qFormat/>
    <w:uiPriority w:val="0"/>
    <w:rPr>
      <w:rFonts w:hint="default" w:ascii="Times New Roman" w:hAnsi="Times New Roman" w:cs="Times New Roman"/>
      <w:spacing w:val="2"/>
    </w:rPr>
  </w:style>
  <w:style w:type="character" w:customStyle="1" w:styleId="142">
    <w:name w:val="样式9 Char Char"/>
    <w:link w:val="143"/>
    <w:qFormat/>
    <w:uiPriority w:val="0"/>
    <w:rPr>
      <w:sz w:val="26"/>
      <w:szCs w:val="26"/>
    </w:rPr>
  </w:style>
  <w:style w:type="paragraph" w:customStyle="1" w:styleId="143">
    <w:name w:val="样式9"/>
    <w:basedOn w:val="1"/>
    <w:link w:val="142"/>
    <w:qFormat/>
    <w:uiPriority w:val="0"/>
    <w:pPr>
      <w:snapToGrid w:val="0"/>
      <w:spacing w:line="480" w:lineRule="atLeast"/>
      <w:ind w:firstLine="200" w:firstLineChars="200"/>
    </w:pPr>
    <w:rPr>
      <w:kern w:val="0"/>
      <w:sz w:val="26"/>
      <w:szCs w:val="26"/>
    </w:rPr>
  </w:style>
  <w:style w:type="character" w:customStyle="1" w:styleId="144">
    <w:name w:val="Body Text Indent 2 Char1"/>
    <w:qFormat/>
    <w:uiPriority w:val="0"/>
    <w:rPr>
      <w:rFonts w:hint="default" w:ascii="Times New Roman" w:hAnsi="Times New Roman" w:cs="Times New Roman"/>
      <w:kern w:val="2"/>
      <w:sz w:val="21"/>
      <w:szCs w:val="24"/>
    </w:rPr>
  </w:style>
  <w:style w:type="character" w:customStyle="1" w:styleId="145">
    <w:name w:val="正文缩进 Char"/>
    <w:qFormat/>
    <w:uiPriority w:val="0"/>
    <w:rPr>
      <w:rFonts w:eastAsia="宋体"/>
      <w:kern w:val="2"/>
      <w:sz w:val="21"/>
      <w:szCs w:val="24"/>
      <w:lang w:val="en-US" w:eastAsia="zh-CN" w:bidi="ar-SA"/>
    </w:rPr>
  </w:style>
  <w:style w:type="character" w:customStyle="1" w:styleId="146">
    <w:name w:val="报告 Char Char"/>
    <w:link w:val="147"/>
    <w:qFormat/>
    <w:uiPriority w:val="0"/>
    <w:rPr>
      <w:rFonts w:ascii="TimesNewRoman" w:hAnsi="TimesNewRoman"/>
      <w:sz w:val="24"/>
    </w:rPr>
  </w:style>
  <w:style w:type="paragraph" w:customStyle="1" w:styleId="147">
    <w:name w:val="报告"/>
    <w:basedOn w:val="1"/>
    <w:link w:val="146"/>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48">
    <w:name w:val="样式 宋体 小四 行距: 1.5 倍行距 Char"/>
    <w:qFormat/>
    <w:uiPriority w:val="0"/>
    <w:rPr>
      <w:rFonts w:hint="eastAsia" w:ascii="宋体" w:hAnsi="宋体" w:eastAsia="宋体" w:cs="宋体"/>
      <w:sz w:val="24"/>
    </w:rPr>
  </w:style>
  <w:style w:type="character" w:customStyle="1" w:styleId="149">
    <w:name w:val="我的报告正文 Char"/>
    <w:qFormat/>
    <w:uiPriority w:val="0"/>
    <w:rPr>
      <w:rFonts w:hint="default" w:ascii="Times New Roman" w:hAnsi="Times New Roman" w:cs="Times New Roman"/>
      <w:sz w:val="24"/>
    </w:rPr>
  </w:style>
  <w:style w:type="character" w:customStyle="1" w:styleId="150">
    <w:name w:val="text1"/>
    <w:qFormat/>
    <w:uiPriority w:val="0"/>
    <w:rPr>
      <w:rFonts w:hint="eastAsia" w:ascii="宋体" w:hAnsi="宋体" w:eastAsia="宋体"/>
      <w:color w:val="999999"/>
      <w:sz w:val="18"/>
      <w:szCs w:val="18"/>
      <w:u w:val="none"/>
    </w:rPr>
  </w:style>
  <w:style w:type="character" w:customStyle="1" w:styleId="151">
    <w:name w:val="Plain Text Char1"/>
    <w:qFormat/>
    <w:uiPriority w:val="0"/>
    <w:rPr>
      <w:rFonts w:hint="eastAsia" w:ascii="宋体" w:hAnsi="Courier New" w:eastAsia="宋体" w:cs="Courier New"/>
      <w:kern w:val="2"/>
      <w:sz w:val="21"/>
      <w:szCs w:val="21"/>
    </w:rPr>
  </w:style>
  <w:style w:type="character" w:customStyle="1" w:styleId="152">
    <w:name w:val="Style1 Char"/>
    <w:link w:val="153"/>
    <w:qFormat/>
    <w:uiPriority w:val="0"/>
    <w:rPr>
      <w:sz w:val="24"/>
    </w:rPr>
  </w:style>
  <w:style w:type="paragraph" w:customStyle="1" w:styleId="153">
    <w:name w:val="Style1"/>
    <w:basedOn w:val="1"/>
    <w:link w:val="152"/>
    <w:qFormat/>
    <w:uiPriority w:val="0"/>
    <w:pPr>
      <w:widowControl/>
      <w:spacing w:line="360" w:lineRule="auto"/>
      <w:ind w:firstLine="200" w:firstLineChars="200"/>
      <w:jc w:val="left"/>
    </w:pPr>
    <w:rPr>
      <w:kern w:val="0"/>
      <w:sz w:val="24"/>
      <w:szCs w:val="20"/>
    </w:rPr>
  </w:style>
  <w:style w:type="character" w:customStyle="1" w:styleId="154">
    <w:name w:val="排版正文 Char Char"/>
    <w:qFormat/>
    <w:uiPriority w:val="0"/>
    <w:rPr>
      <w:rFonts w:hint="default" w:ascii="Times New Roman" w:hAnsi="Times New Roman" w:eastAsia="宋体" w:cs="Times New Roman"/>
      <w:kern w:val="0"/>
      <w:sz w:val="26"/>
    </w:rPr>
  </w:style>
  <w:style w:type="character" w:customStyle="1" w:styleId="155">
    <w:name w:val="zhengwen Char1"/>
    <w:link w:val="156"/>
    <w:qFormat/>
    <w:uiPriority w:val="0"/>
    <w:rPr>
      <w:rFonts w:ascii="Arial" w:hAnsi="Arial" w:cs="Arial"/>
      <w:sz w:val="24"/>
    </w:rPr>
  </w:style>
  <w:style w:type="paragraph" w:customStyle="1" w:styleId="156">
    <w:name w:val="zhengwen"/>
    <w:basedOn w:val="1"/>
    <w:link w:val="155"/>
    <w:qFormat/>
    <w:uiPriority w:val="0"/>
    <w:pPr>
      <w:spacing w:line="360" w:lineRule="auto"/>
      <w:ind w:firstLine="200" w:firstLineChars="200"/>
    </w:pPr>
    <w:rPr>
      <w:rFonts w:ascii="Arial" w:hAnsi="Arial" w:cs="Arial"/>
      <w:kern w:val="0"/>
      <w:sz w:val="24"/>
      <w:szCs w:val="20"/>
    </w:rPr>
  </w:style>
  <w:style w:type="character" w:customStyle="1" w:styleId="157">
    <w:name w:val="标题 3 SL CON Char"/>
    <w:qFormat/>
    <w:uiPriority w:val="0"/>
    <w:rPr>
      <w:rFonts w:hint="default" w:ascii="Times New Roman" w:hAnsi="Times New Roman" w:eastAsia="黑体" w:cs="Times New Roman"/>
      <w:sz w:val="24"/>
    </w:rPr>
  </w:style>
  <w:style w:type="character" w:customStyle="1" w:styleId="158">
    <w:name w:val="样式6 Char"/>
    <w:link w:val="159"/>
    <w:qFormat/>
    <w:uiPriority w:val="0"/>
    <w:rPr>
      <w:rFonts w:ascii="宋体" w:hAnsi="宋体"/>
      <w:kern w:val="2"/>
      <w:sz w:val="24"/>
      <w:szCs w:val="24"/>
    </w:rPr>
  </w:style>
  <w:style w:type="paragraph" w:customStyle="1" w:styleId="159">
    <w:name w:val="样式6"/>
    <w:basedOn w:val="19"/>
    <w:link w:val="158"/>
    <w:qFormat/>
    <w:uiPriority w:val="0"/>
    <w:pPr>
      <w:spacing w:line="500" w:lineRule="exact"/>
      <w:ind w:firstLine="480"/>
    </w:pPr>
    <w:rPr>
      <w:sz w:val="24"/>
    </w:rPr>
  </w:style>
  <w:style w:type="character" w:customStyle="1" w:styleId="160">
    <w:name w:val="样式 正文 首行缩进:  2 字符 SL CON + 首行缩进:  2 字符 Char"/>
    <w:qFormat/>
    <w:uiPriority w:val="0"/>
    <w:rPr>
      <w:rFonts w:hint="eastAsia" w:ascii="宋体" w:hAnsi="宋体" w:eastAsia="宋体" w:cs="宋体"/>
      <w:sz w:val="24"/>
    </w:rPr>
  </w:style>
  <w:style w:type="character" w:customStyle="1" w:styleId="161">
    <w:name w:val="count4"/>
    <w:qFormat/>
    <w:uiPriority w:val="0"/>
  </w:style>
  <w:style w:type="character" w:customStyle="1" w:styleId="162">
    <w:name w:val="纯文本 Char Char Char Char2"/>
    <w:qFormat/>
    <w:uiPriority w:val="0"/>
    <w:rPr>
      <w:rFonts w:ascii="宋体" w:hAnsi="Courier New" w:eastAsia="宋体"/>
      <w:kern w:val="2"/>
      <w:sz w:val="21"/>
      <w:lang w:val="en-US" w:eastAsia="zh-CN" w:bidi="ar-SA"/>
    </w:rPr>
  </w:style>
  <w:style w:type="character" w:customStyle="1" w:styleId="163">
    <w:name w:val="标题1"/>
    <w:qFormat/>
    <w:uiPriority w:val="0"/>
    <w:rPr>
      <w:rFonts w:hint="default" w:ascii="Times New Roman" w:hAnsi="Times New Roman" w:cs="Times New Roman"/>
    </w:rPr>
  </w:style>
  <w:style w:type="character" w:customStyle="1" w:styleId="164">
    <w:name w:val="Bullet - Sub Char"/>
    <w:link w:val="165"/>
    <w:qFormat/>
    <w:uiPriority w:val="0"/>
    <w:rPr>
      <w:spacing w:val="-3"/>
      <w:kern w:val="2"/>
      <w:sz w:val="22"/>
      <w:szCs w:val="22"/>
      <w:lang w:eastAsia="en-US"/>
    </w:rPr>
  </w:style>
  <w:style w:type="paragraph" w:customStyle="1" w:styleId="165">
    <w:name w:val="Bullet - Sub"/>
    <w:basedOn w:val="1"/>
    <w:link w:val="164"/>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6">
    <w:name w:val="apple-converted-space"/>
    <w:qFormat/>
    <w:uiPriority w:val="0"/>
    <w:rPr>
      <w:rFonts w:hint="default" w:ascii="Times New Roman" w:hAnsi="Times New Roman" w:cs="Times New Roman"/>
    </w:rPr>
  </w:style>
  <w:style w:type="character" w:customStyle="1" w:styleId="167">
    <w:name w:val="highlight1"/>
    <w:qFormat/>
    <w:uiPriority w:val="0"/>
    <w:rPr>
      <w:sz w:val="21"/>
      <w:szCs w:val="21"/>
    </w:rPr>
  </w:style>
  <w:style w:type="character" w:customStyle="1" w:styleId="168">
    <w:name w:val="font01"/>
    <w:qFormat/>
    <w:uiPriority w:val="0"/>
    <w:rPr>
      <w:rFonts w:hint="eastAsia" w:ascii="宋体" w:hAnsi="宋体" w:eastAsia="宋体" w:cs="宋体"/>
      <w:color w:val="000000"/>
      <w:sz w:val="24"/>
      <w:szCs w:val="24"/>
      <w:u w:val="none"/>
    </w:rPr>
  </w:style>
  <w:style w:type="character" w:customStyle="1" w:styleId="169">
    <w:name w:val="CJ 文本111 Char Char"/>
    <w:qFormat/>
    <w:uiPriority w:val="0"/>
    <w:rPr>
      <w:rFonts w:hint="default" w:ascii="Times New Roman" w:hAnsi="Times New Roman" w:cs="Times New Roman"/>
      <w:sz w:val="24"/>
    </w:rPr>
  </w:style>
  <w:style w:type="character" w:customStyle="1" w:styleId="170">
    <w:name w:val="环评表格文字 Char"/>
    <w:link w:val="171"/>
    <w:qFormat/>
    <w:locked/>
    <w:uiPriority w:val="0"/>
    <w:rPr>
      <w:rFonts w:ascii="宋体" w:hAnsi="宋体"/>
      <w:kern w:val="2"/>
      <w:sz w:val="21"/>
      <w:szCs w:val="24"/>
    </w:rPr>
  </w:style>
  <w:style w:type="paragraph" w:customStyle="1" w:styleId="171">
    <w:name w:val="环评表格文字"/>
    <w:basedOn w:val="1"/>
    <w:next w:val="1"/>
    <w:link w:val="170"/>
    <w:qFormat/>
    <w:uiPriority w:val="0"/>
    <w:rPr>
      <w:rFonts w:ascii="宋体" w:hAnsi="宋体"/>
    </w:rPr>
  </w:style>
  <w:style w:type="character" w:customStyle="1" w:styleId="172">
    <w:name w:val="样式3 Char Char"/>
    <w:qFormat/>
    <w:uiPriority w:val="0"/>
    <w:rPr>
      <w:rFonts w:hint="eastAsia" w:ascii="宋体" w:hAnsi="宋体" w:eastAsia="宋体" w:cs="宋体"/>
      <w:b/>
      <w:sz w:val="24"/>
    </w:rPr>
  </w:style>
  <w:style w:type="character" w:customStyle="1" w:styleId="173">
    <w:name w:val="已访问的超链接1"/>
    <w:qFormat/>
    <w:uiPriority w:val="0"/>
    <w:rPr>
      <w:color w:val="606420"/>
      <w:u w:val="single"/>
    </w:rPr>
  </w:style>
  <w:style w:type="character" w:customStyle="1" w:styleId="174">
    <w:name w:val="样式 正文 首行缩进:  2 字符 SL CON + 首行缩进:  2 字符 Char Char Char Char"/>
    <w:qFormat/>
    <w:uiPriority w:val="0"/>
    <w:rPr>
      <w:kern w:val="2"/>
      <w:sz w:val="21"/>
    </w:rPr>
  </w:style>
  <w:style w:type="character" w:customStyle="1" w:styleId="175">
    <w:name w:val="普通(网站) Char"/>
    <w:qFormat/>
    <w:locked/>
    <w:uiPriority w:val="0"/>
    <w:rPr>
      <w:rFonts w:ascii="宋体" w:hAnsi="宋体" w:eastAsia="宋体"/>
      <w:sz w:val="24"/>
    </w:rPr>
  </w:style>
  <w:style w:type="character" w:customStyle="1" w:styleId="176">
    <w:name w:val="Char1 Char Char"/>
    <w:qFormat/>
    <w:uiPriority w:val="0"/>
    <w:rPr>
      <w:rFonts w:eastAsia="宋体"/>
      <w:kern w:val="2"/>
      <w:sz w:val="21"/>
      <w:szCs w:val="24"/>
      <w:lang w:val="en-US" w:eastAsia="zh-CN" w:bidi="ar-SA"/>
    </w:rPr>
  </w:style>
  <w:style w:type="character" w:customStyle="1" w:styleId="177">
    <w:name w:val="样式 样式 正文 首行缩进:  2 字符 SL CON + 首行缩进:  2 字符 + 宋体 Char Char"/>
    <w:qFormat/>
    <w:uiPriority w:val="0"/>
    <w:rPr>
      <w:sz w:val="21"/>
    </w:rPr>
  </w:style>
  <w:style w:type="character" w:customStyle="1" w:styleId="178">
    <w:name w:val="表内文字 Char Char"/>
    <w:qFormat/>
    <w:uiPriority w:val="0"/>
  </w:style>
  <w:style w:type="character" w:customStyle="1" w:styleId="179">
    <w:name w:val="报告表正文 Char Char"/>
    <w:link w:val="180"/>
    <w:qFormat/>
    <w:uiPriority w:val="0"/>
    <w:rPr>
      <w:sz w:val="24"/>
    </w:rPr>
  </w:style>
  <w:style w:type="paragraph" w:customStyle="1" w:styleId="180">
    <w:name w:val="报告表正文"/>
    <w:basedOn w:val="1"/>
    <w:link w:val="179"/>
    <w:qFormat/>
    <w:uiPriority w:val="0"/>
    <w:pPr>
      <w:adjustRightInd w:val="0"/>
      <w:spacing w:line="312" w:lineRule="auto"/>
      <w:ind w:left="113" w:right="113" w:firstLine="482"/>
      <w:jc w:val="left"/>
      <w:textAlignment w:val="baseline"/>
    </w:pPr>
    <w:rPr>
      <w:kern w:val="0"/>
      <w:sz w:val="24"/>
      <w:szCs w:val="20"/>
    </w:rPr>
  </w:style>
  <w:style w:type="character" w:customStyle="1" w:styleId="181">
    <w:name w:val="表内文字3 Char Char"/>
    <w:qFormat/>
    <w:uiPriority w:val="0"/>
    <w:rPr>
      <w:sz w:val="21"/>
    </w:rPr>
  </w:style>
  <w:style w:type="character" w:customStyle="1" w:styleId="182">
    <w:name w:val="排版正文 Char"/>
    <w:qFormat/>
    <w:uiPriority w:val="0"/>
    <w:rPr>
      <w:rFonts w:hint="default" w:ascii="Times New Roman" w:hAnsi="Times New Roman" w:cs="Times New Roman"/>
      <w:sz w:val="26"/>
    </w:rPr>
  </w:style>
  <w:style w:type="character" w:customStyle="1" w:styleId="183">
    <w:name w:val="样式2 Char Char Char"/>
    <w:link w:val="184"/>
    <w:qFormat/>
    <w:uiPriority w:val="0"/>
    <w:rPr>
      <w:rFonts w:ascii="黑体" w:hAnsi="宋体" w:eastAsia="黑体"/>
      <w:b/>
      <w:kern w:val="2"/>
      <w:sz w:val="24"/>
      <w:szCs w:val="24"/>
    </w:rPr>
  </w:style>
  <w:style w:type="paragraph" w:customStyle="1" w:styleId="184">
    <w:name w:val="样式2 Char Char"/>
    <w:basedOn w:val="1"/>
    <w:link w:val="183"/>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5">
    <w:name w:val="标题 2 Char"/>
    <w:qFormat/>
    <w:uiPriority w:val="0"/>
    <w:rPr>
      <w:rFonts w:hint="default" w:ascii="Cambria" w:hAnsi="Cambria" w:eastAsia="Cambria" w:cs="Cambria"/>
      <w:b/>
      <w:sz w:val="32"/>
      <w:szCs w:val="32"/>
    </w:rPr>
  </w:style>
  <w:style w:type="character" w:customStyle="1" w:styleId="186">
    <w:name w:val="表文字 Char1"/>
    <w:qFormat/>
    <w:uiPriority w:val="0"/>
    <w:rPr>
      <w:rFonts w:ascii="Times New Roman" w:hAnsi="Times New Roman"/>
      <w:sz w:val="24"/>
    </w:rPr>
  </w:style>
  <w:style w:type="character" w:customStyle="1" w:styleId="187">
    <w:name w:val="样式 样式 正文 首行缩进:  2 字符 SL CON + 首行缩进:  2 字符 + 宋体 Char Char Char"/>
    <w:qFormat/>
    <w:uiPriority w:val="0"/>
    <w:rPr>
      <w:kern w:val="2"/>
      <w:sz w:val="24"/>
      <w:szCs w:val="21"/>
    </w:rPr>
  </w:style>
  <w:style w:type="character" w:customStyle="1" w:styleId="188">
    <w:name w:val="digest1"/>
    <w:qFormat/>
    <w:uiPriority w:val="0"/>
    <w:rPr>
      <w:color w:val="3A4343"/>
      <w:sz w:val="20"/>
      <w:szCs w:val="20"/>
    </w:rPr>
  </w:style>
  <w:style w:type="character" w:customStyle="1" w:styleId="189">
    <w:name w:val="fontstyle01"/>
    <w:qFormat/>
    <w:uiPriority w:val="0"/>
    <w:rPr>
      <w:rFonts w:hint="default" w:ascii="仿宋" w:hAnsi="仿宋"/>
      <w:color w:val="000000"/>
      <w:sz w:val="28"/>
      <w:szCs w:val="28"/>
    </w:rPr>
  </w:style>
  <w:style w:type="character" w:customStyle="1" w:styleId="190">
    <w:name w:val="表内文字 Char"/>
    <w:qFormat/>
    <w:uiPriority w:val="0"/>
    <w:rPr>
      <w:rFonts w:hint="eastAsia" w:ascii="宋体" w:hAnsi="宋体" w:eastAsia="宋体" w:cs="宋体"/>
      <w:kern w:val="2"/>
      <w:sz w:val="21"/>
      <w:lang w:val="en-US" w:eastAsia="zh-CN"/>
    </w:rPr>
  </w:style>
  <w:style w:type="character" w:customStyle="1" w:styleId="191">
    <w:name w:val="纯文本 Char1"/>
    <w:qFormat/>
    <w:uiPriority w:val="0"/>
    <w:rPr>
      <w:rFonts w:hint="eastAsia" w:ascii="宋体" w:hAnsi="Courier New" w:eastAsia="宋体" w:cs="宋体"/>
    </w:rPr>
  </w:style>
  <w:style w:type="character" w:customStyle="1" w:styleId="192">
    <w:name w:val="图题表题 Char"/>
    <w:qFormat/>
    <w:uiPriority w:val="0"/>
    <w:rPr>
      <w:b/>
      <w:kern w:val="2"/>
      <w:sz w:val="21"/>
    </w:rPr>
  </w:style>
  <w:style w:type="character" w:customStyle="1" w:styleId="193">
    <w:name w:val="图名 Char"/>
    <w:link w:val="194"/>
    <w:qFormat/>
    <w:locked/>
    <w:uiPriority w:val="0"/>
    <w:rPr>
      <w:rFonts w:ascii="Wingdings" w:hAnsi="Wingdings" w:eastAsia="Courier New" w:cs="Wingdings"/>
      <w:b/>
      <w:bCs/>
      <w:sz w:val="24"/>
      <w:szCs w:val="24"/>
    </w:rPr>
  </w:style>
  <w:style w:type="paragraph" w:customStyle="1" w:styleId="194">
    <w:name w:val="图名"/>
    <w:basedOn w:val="1"/>
    <w:link w:val="193"/>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5">
    <w:name w:val="样式 标题ljm + 首行缩进:  2 字符 Char"/>
    <w:qFormat/>
    <w:uiPriority w:val="0"/>
    <w:rPr>
      <w:rFonts w:hint="default" w:ascii="Times New Roman" w:hAnsi="Times New Roman" w:eastAsia="宋体" w:cs="Times New Roman"/>
      <w:b/>
      <w:sz w:val="20"/>
    </w:rPr>
  </w:style>
  <w:style w:type="character" w:customStyle="1" w:styleId="196">
    <w:name w:val="Char Char11"/>
    <w:qFormat/>
    <w:uiPriority w:val="0"/>
    <w:rPr>
      <w:rFonts w:eastAsia="宋体"/>
      <w:b/>
      <w:bCs/>
      <w:kern w:val="44"/>
      <w:sz w:val="24"/>
      <w:szCs w:val="44"/>
      <w:lang w:val="en-US" w:eastAsia="zh-CN" w:bidi="ar-SA"/>
    </w:rPr>
  </w:style>
  <w:style w:type="character" w:customStyle="1" w:styleId="197">
    <w:name w:val="表头 Char"/>
    <w:link w:val="198"/>
    <w:qFormat/>
    <w:uiPriority w:val="0"/>
    <w:rPr>
      <w:rFonts w:ascii="Calibri" w:hAnsi="Calibri" w:eastAsia="黑体"/>
      <w:spacing w:val="10"/>
      <w:kern w:val="2"/>
      <w:sz w:val="28"/>
    </w:rPr>
  </w:style>
  <w:style w:type="paragraph" w:customStyle="1" w:styleId="198">
    <w:name w:val="表头"/>
    <w:basedOn w:val="1"/>
    <w:link w:val="197"/>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199">
    <w:name w:val="报告正文 Char Char"/>
    <w:link w:val="200"/>
    <w:qFormat/>
    <w:uiPriority w:val="0"/>
    <w:rPr>
      <w:kern w:val="2"/>
      <w:sz w:val="24"/>
      <w:szCs w:val="24"/>
    </w:rPr>
  </w:style>
  <w:style w:type="paragraph" w:customStyle="1" w:styleId="200">
    <w:name w:val="报告正文"/>
    <w:basedOn w:val="1"/>
    <w:link w:val="199"/>
    <w:qFormat/>
    <w:uiPriority w:val="0"/>
    <w:pPr>
      <w:spacing w:line="360" w:lineRule="auto"/>
      <w:ind w:firstLine="200" w:firstLineChars="200"/>
      <w:jc w:val="left"/>
    </w:pPr>
    <w:rPr>
      <w:sz w:val="24"/>
    </w:rPr>
  </w:style>
  <w:style w:type="character" w:customStyle="1" w:styleId="201">
    <w:name w:val="图题表题 Char Char"/>
    <w:qFormat/>
    <w:uiPriority w:val="0"/>
    <w:rPr>
      <w:rFonts w:hint="default" w:ascii="Times New Roman" w:hAnsi="Times New Roman" w:cs="Times New Roman"/>
      <w:b/>
    </w:rPr>
  </w:style>
  <w:style w:type="character" w:customStyle="1" w:styleId="202">
    <w:name w:val="报告书正文 Char Char"/>
    <w:qFormat/>
    <w:uiPriority w:val="0"/>
    <w:rPr>
      <w:rFonts w:ascii="Arial" w:hAnsi="宋体" w:eastAsia="宋体" w:cs="Arial"/>
      <w:bCs/>
      <w:snapToGrid/>
      <w:sz w:val="24"/>
      <w:szCs w:val="24"/>
      <w:lang w:val="zh-CN" w:eastAsia="zh-CN" w:bidi="ar-SA"/>
    </w:rPr>
  </w:style>
  <w:style w:type="character" w:customStyle="1" w:styleId="203">
    <w:name w:val="样式5 Char Char"/>
    <w:link w:val="204"/>
    <w:qFormat/>
    <w:uiPriority w:val="0"/>
    <w:rPr>
      <w:sz w:val="24"/>
    </w:rPr>
  </w:style>
  <w:style w:type="paragraph" w:customStyle="1" w:styleId="204">
    <w:name w:val="样式5 Char"/>
    <w:basedOn w:val="26"/>
    <w:next w:val="1"/>
    <w:link w:val="203"/>
    <w:qFormat/>
    <w:uiPriority w:val="0"/>
    <w:pPr>
      <w:adjustRightInd w:val="0"/>
      <w:snapToGrid w:val="0"/>
      <w:spacing w:line="500" w:lineRule="exact"/>
      <w:ind w:firstLine="200" w:firstLineChars="200"/>
    </w:pPr>
    <w:rPr>
      <w:kern w:val="0"/>
      <w:szCs w:val="20"/>
    </w:rPr>
  </w:style>
  <w:style w:type="character" w:customStyle="1" w:styleId="205">
    <w:name w:val="表中文字 Char"/>
    <w:link w:val="206"/>
    <w:qFormat/>
    <w:uiPriority w:val="0"/>
    <w:rPr>
      <w:kern w:val="2"/>
      <w:sz w:val="21"/>
      <w:szCs w:val="24"/>
    </w:rPr>
  </w:style>
  <w:style w:type="paragraph" w:customStyle="1" w:styleId="206">
    <w:name w:val="表中文字"/>
    <w:basedOn w:val="1"/>
    <w:link w:val="205"/>
    <w:qFormat/>
    <w:uiPriority w:val="0"/>
    <w:pPr>
      <w:adjustRightInd w:val="0"/>
      <w:snapToGrid w:val="0"/>
      <w:spacing w:line="400" w:lineRule="exact"/>
      <w:jc w:val="center"/>
    </w:pPr>
  </w:style>
  <w:style w:type="character" w:customStyle="1" w:styleId="207">
    <w:name w:val="样式 样式 正文 首行缩进:  2 字符 SL CON + 首行缩进:  2 字符 + 宋体 Char"/>
    <w:qFormat/>
    <w:uiPriority w:val="0"/>
    <w:rPr>
      <w:kern w:val="2"/>
      <w:sz w:val="21"/>
    </w:rPr>
  </w:style>
  <w:style w:type="character" w:customStyle="1" w:styleId="208">
    <w:name w:val="宋体 小四 Char Char"/>
    <w:link w:val="209"/>
    <w:qFormat/>
    <w:uiPriority w:val="0"/>
    <w:rPr>
      <w:rFonts w:hAnsi="宋体"/>
      <w:kern w:val="2"/>
      <w:sz w:val="24"/>
      <w:szCs w:val="24"/>
    </w:rPr>
  </w:style>
  <w:style w:type="paragraph" w:customStyle="1" w:styleId="209">
    <w:name w:val="宋体 小四"/>
    <w:basedOn w:val="1"/>
    <w:link w:val="208"/>
    <w:qFormat/>
    <w:uiPriority w:val="0"/>
    <w:pPr>
      <w:spacing w:line="360" w:lineRule="auto"/>
      <w:ind w:firstLine="200" w:firstLineChars="200"/>
    </w:pPr>
    <w:rPr>
      <w:rFonts w:hAnsi="宋体"/>
      <w:sz w:val="24"/>
    </w:rPr>
  </w:style>
  <w:style w:type="character" w:customStyle="1" w:styleId="210">
    <w:name w:val="日期 字符"/>
    <w:qFormat/>
    <w:uiPriority w:val="0"/>
    <w:rPr>
      <w:rFonts w:ascii="Times New Roman" w:hAnsi="Times New Roman" w:eastAsia="宋体" w:cs="Times New Roman"/>
      <w:sz w:val="24"/>
      <w:szCs w:val="24"/>
    </w:rPr>
  </w:style>
  <w:style w:type="character" w:customStyle="1" w:styleId="211">
    <w:name w:val="fontstyle11"/>
    <w:qFormat/>
    <w:uiPriority w:val="0"/>
    <w:rPr>
      <w:rFonts w:hint="eastAsia" w:ascii="宋体" w:hAnsi="宋体" w:eastAsia="宋体"/>
      <w:color w:val="000000"/>
      <w:sz w:val="22"/>
      <w:szCs w:val="22"/>
    </w:rPr>
  </w:style>
  <w:style w:type="character" w:customStyle="1" w:styleId="212">
    <w:name w:val="样式 正文 首行缩进:  2 字符 SL CON + 首行缩进:  2 字符 Char Char"/>
    <w:link w:val="213"/>
    <w:qFormat/>
    <w:uiPriority w:val="0"/>
    <w:rPr>
      <w:kern w:val="2"/>
      <w:sz w:val="24"/>
      <w:szCs w:val="21"/>
    </w:rPr>
  </w:style>
  <w:style w:type="paragraph" w:customStyle="1" w:styleId="213">
    <w:name w:val="样式 正文 首行缩进:  2 字符 SL CON + 首行缩进:  2 字符"/>
    <w:basedOn w:val="1"/>
    <w:link w:val="212"/>
    <w:qFormat/>
    <w:uiPriority w:val="0"/>
    <w:pPr>
      <w:widowControl/>
      <w:tabs>
        <w:tab w:val="left" w:pos="377"/>
      </w:tabs>
      <w:spacing w:line="360" w:lineRule="auto"/>
      <w:ind w:firstLine="480" w:firstLineChars="200"/>
    </w:pPr>
    <w:rPr>
      <w:sz w:val="24"/>
      <w:szCs w:val="21"/>
    </w:rPr>
  </w:style>
  <w:style w:type="character" w:customStyle="1" w:styleId="214">
    <w:name w:val="表头排版 Char"/>
    <w:qFormat/>
    <w:uiPriority w:val="0"/>
    <w:rPr>
      <w:rFonts w:hint="default" w:ascii="Times New Roman" w:hAnsi="Times New Roman" w:cs="Times New Roman"/>
      <w:sz w:val="21"/>
    </w:rPr>
  </w:style>
  <w:style w:type="character" w:customStyle="1" w:styleId="215">
    <w:name w:val="表 Char"/>
    <w:qFormat/>
    <w:uiPriority w:val="0"/>
    <w:rPr>
      <w:rFonts w:hint="default" w:ascii="Times New Roman" w:hAnsi="Times New Roman" w:cs="Times New Roman"/>
      <w:sz w:val="26"/>
    </w:rPr>
  </w:style>
  <w:style w:type="character" w:customStyle="1" w:styleId="216">
    <w:name w:val="样式18 Char"/>
    <w:link w:val="217"/>
    <w:qFormat/>
    <w:uiPriority w:val="0"/>
    <w:rPr>
      <w:rFonts w:ascii="Calibri" w:hAnsi="Calibri"/>
      <w:sz w:val="26"/>
      <w:szCs w:val="26"/>
    </w:rPr>
  </w:style>
  <w:style w:type="paragraph" w:customStyle="1" w:styleId="217">
    <w:name w:val="样式18"/>
    <w:basedOn w:val="1"/>
    <w:link w:val="216"/>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18">
    <w:name w:val="1号标题 Char Char"/>
    <w:link w:val="219"/>
    <w:qFormat/>
    <w:uiPriority w:val="0"/>
    <w:rPr>
      <w:color w:val="000000"/>
    </w:rPr>
  </w:style>
  <w:style w:type="paragraph" w:customStyle="1" w:styleId="219">
    <w:name w:val="1号标题"/>
    <w:basedOn w:val="200"/>
    <w:link w:val="218"/>
    <w:qFormat/>
    <w:uiPriority w:val="0"/>
    <w:pPr>
      <w:numPr>
        <w:ilvl w:val="0"/>
        <w:numId w:val="1"/>
      </w:numPr>
      <w:ind w:firstLine="182" w:firstLineChars="182"/>
    </w:pPr>
    <w:rPr>
      <w:color w:val="000000"/>
      <w:kern w:val="0"/>
      <w:sz w:val="20"/>
      <w:szCs w:val="20"/>
    </w:rPr>
  </w:style>
  <w:style w:type="character" w:customStyle="1" w:styleId="220">
    <w:name w:val="报告书正文 Char"/>
    <w:link w:val="221"/>
    <w:qFormat/>
    <w:uiPriority w:val="0"/>
    <w:rPr>
      <w:rFonts w:ascii="黑体" w:eastAsia="黑体"/>
      <w:kern w:val="2"/>
      <w:sz w:val="28"/>
      <w:szCs w:val="28"/>
    </w:rPr>
  </w:style>
  <w:style w:type="paragraph" w:customStyle="1" w:styleId="221">
    <w:name w:val="报告书正文"/>
    <w:basedOn w:val="26"/>
    <w:link w:val="220"/>
    <w:qFormat/>
    <w:uiPriority w:val="0"/>
    <w:pPr>
      <w:adjustRightInd w:val="0"/>
      <w:ind w:firstLine="560" w:firstLineChars="200"/>
      <w:jc w:val="center"/>
    </w:pPr>
    <w:rPr>
      <w:rFonts w:ascii="黑体" w:eastAsia="黑体"/>
      <w:sz w:val="28"/>
      <w:szCs w:val="28"/>
    </w:rPr>
  </w:style>
  <w:style w:type="character" w:customStyle="1" w:styleId="222">
    <w:name w:val="titletext1"/>
    <w:qFormat/>
    <w:uiPriority w:val="0"/>
    <w:rPr>
      <w:color w:val="000000"/>
      <w:sz w:val="21"/>
      <w:szCs w:val="21"/>
    </w:rPr>
  </w:style>
  <w:style w:type="character" w:customStyle="1" w:styleId="223">
    <w:name w:val="样式7 Char"/>
    <w:qFormat/>
    <w:uiPriority w:val="0"/>
    <w:rPr>
      <w:rFonts w:hint="default" w:ascii="Times New Roman" w:hAnsi="Times New Roman" w:cs="Times New Roman"/>
      <w:sz w:val="26"/>
    </w:rPr>
  </w:style>
  <w:style w:type="character" w:customStyle="1" w:styleId="224">
    <w:name w:val="Char1 Char1"/>
    <w:link w:val="225"/>
    <w:qFormat/>
    <w:uiPriority w:val="0"/>
    <w:rPr>
      <w:kern w:val="2"/>
      <w:sz w:val="21"/>
      <w:szCs w:val="24"/>
    </w:rPr>
  </w:style>
  <w:style w:type="paragraph" w:customStyle="1" w:styleId="225">
    <w:name w:val="Char1"/>
    <w:basedOn w:val="1"/>
    <w:link w:val="224"/>
    <w:qFormat/>
    <w:uiPriority w:val="0"/>
  </w:style>
  <w:style w:type="character" w:customStyle="1" w:styleId="226">
    <w:name w:val="正文文本 字符1"/>
    <w:qFormat/>
    <w:uiPriority w:val="0"/>
    <w:rPr>
      <w:rFonts w:ascii="Times New Roman" w:hAnsi="Times New Roman" w:eastAsia="宋体" w:cs="Times New Roman"/>
      <w:sz w:val="24"/>
      <w:szCs w:val="24"/>
    </w:rPr>
  </w:style>
  <w:style w:type="paragraph" w:customStyle="1" w:styleId="227">
    <w:name w:val="Char Char Char Char"/>
    <w:basedOn w:val="1"/>
    <w:qFormat/>
    <w:uiPriority w:val="0"/>
    <w:rPr>
      <w:rFonts w:ascii="Calibri" w:hAnsi="Calibri"/>
    </w:rPr>
  </w:style>
  <w:style w:type="paragraph" w:customStyle="1" w:styleId="228">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29">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0">
    <w:name w:val="Char1 Char Char Char"/>
    <w:basedOn w:val="1"/>
    <w:qFormat/>
    <w:uiPriority w:val="0"/>
    <w:rPr>
      <w:rFonts w:ascii="Calibri" w:hAnsi="Calibri"/>
    </w:rPr>
  </w:style>
  <w:style w:type="paragraph" w:customStyle="1" w:styleId="231">
    <w:name w:val="正文A"/>
    <w:basedOn w:val="1"/>
    <w:qFormat/>
    <w:uiPriority w:val="0"/>
    <w:pPr>
      <w:spacing w:line="540" w:lineRule="exact"/>
    </w:pPr>
    <w:rPr>
      <w:rFonts w:ascii="Calibri" w:hAnsi="Calibri" w:cs="宋体"/>
      <w:sz w:val="24"/>
      <w:szCs w:val="20"/>
    </w:rPr>
  </w:style>
  <w:style w:type="paragraph" w:customStyle="1" w:styleId="232">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3">
    <w:name w:val="列出段落1"/>
    <w:basedOn w:val="1"/>
    <w:qFormat/>
    <w:uiPriority w:val="0"/>
    <w:pPr>
      <w:ind w:firstLine="420" w:firstLineChars="200"/>
      <w:jc w:val="left"/>
    </w:pPr>
    <w:rPr>
      <w:rFonts w:ascii="宋体" w:hAnsi="宋体" w:cs="宋体"/>
      <w:color w:val="000000"/>
      <w:kern w:val="0"/>
      <w:sz w:val="24"/>
    </w:rPr>
  </w:style>
  <w:style w:type="paragraph" w:customStyle="1" w:styleId="234">
    <w:name w:val="表标题"/>
    <w:basedOn w:val="1"/>
    <w:qFormat/>
    <w:uiPriority w:val="0"/>
    <w:pPr>
      <w:jc w:val="center"/>
    </w:pPr>
    <w:rPr>
      <w:rFonts w:ascii="宋体" w:hAnsi="宋体"/>
      <w:kern w:val="0"/>
      <w:sz w:val="24"/>
      <w:szCs w:val="20"/>
    </w:rPr>
  </w:style>
  <w:style w:type="paragraph" w:customStyle="1" w:styleId="235">
    <w:name w:val="wislin正文"/>
    <w:basedOn w:val="1"/>
    <w:qFormat/>
    <w:uiPriority w:val="0"/>
    <w:pPr>
      <w:spacing w:line="300" w:lineRule="auto"/>
      <w:ind w:firstLine="454"/>
    </w:pPr>
    <w:rPr>
      <w:rFonts w:ascii="Calibri" w:hAnsi="Calibri"/>
      <w:sz w:val="24"/>
    </w:rPr>
  </w:style>
  <w:style w:type="paragraph" w:customStyle="1" w:styleId="236">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paragraph" w:customStyle="1" w:styleId="237">
    <w:name w:val="环评正文"/>
    <w:basedOn w:val="4"/>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38">
    <w:name w:val="正文表标题"/>
    <w:next w:val="239"/>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0">
    <w:name w:val="01表格"/>
    <w:basedOn w:val="15"/>
    <w:qFormat/>
    <w:uiPriority w:val="0"/>
    <w:pPr>
      <w:keepNext/>
      <w:widowControl/>
      <w:jc w:val="center"/>
    </w:pPr>
    <w:rPr>
      <w:b/>
    </w:rPr>
  </w:style>
  <w:style w:type="paragraph" w:customStyle="1" w:styleId="241">
    <w:name w:val="样式3"/>
    <w:basedOn w:val="1"/>
    <w:qFormat/>
    <w:uiPriority w:val="0"/>
    <w:pPr>
      <w:spacing w:line="440" w:lineRule="exact"/>
      <w:jc w:val="center"/>
    </w:pPr>
    <w:rPr>
      <w:rFonts w:ascii="宋体" w:hAnsi="宋体"/>
      <w:sz w:val="24"/>
      <w:szCs w:val="20"/>
    </w:rPr>
  </w:style>
  <w:style w:type="paragraph" w:customStyle="1" w:styleId="242">
    <w:name w:val="封面正文"/>
    <w:qFormat/>
    <w:uiPriority w:val="0"/>
    <w:pPr>
      <w:jc w:val="both"/>
    </w:pPr>
    <w:rPr>
      <w:rFonts w:ascii="Calibri" w:hAnsi="Calibri" w:eastAsia="宋体" w:cs="Times New Roman"/>
      <w:lang w:val="en-US" w:eastAsia="zh-CN" w:bidi="ar-SA"/>
    </w:rPr>
  </w:style>
  <w:style w:type="paragraph" w:customStyle="1" w:styleId="243">
    <w:name w:val="正文缩进2"/>
    <w:basedOn w:val="1"/>
    <w:qFormat/>
    <w:uiPriority w:val="0"/>
    <w:pPr>
      <w:ind w:firstLine="420"/>
    </w:pPr>
    <w:rPr>
      <w:rFonts w:ascii="Calibri" w:hAnsi="Calibri"/>
      <w:kern w:val="0"/>
      <w:sz w:val="26"/>
      <w:szCs w:val="20"/>
    </w:rPr>
  </w:style>
  <w:style w:type="paragraph" w:customStyle="1" w:styleId="244">
    <w:name w:val="表头样式1"/>
    <w:basedOn w:val="1"/>
    <w:qFormat/>
    <w:uiPriority w:val="0"/>
    <w:pPr>
      <w:jc w:val="center"/>
    </w:pPr>
    <w:rPr>
      <w:rFonts w:ascii="Calibri" w:hAnsi="Calibri" w:eastAsia="黑体"/>
      <w:b/>
      <w:kern w:val="0"/>
      <w:sz w:val="24"/>
      <w:szCs w:val="20"/>
    </w:rPr>
  </w:style>
  <w:style w:type="paragraph" w:customStyle="1" w:styleId="245">
    <w:name w:val="表内文字"/>
    <w:basedOn w:val="1"/>
    <w:qFormat/>
    <w:uiPriority w:val="0"/>
    <w:pPr>
      <w:spacing w:line="0" w:lineRule="atLeast"/>
      <w:jc w:val="center"/>
    </w:pPr>
    <w:rPr>
      <w:rFonts w:ascii="Calibri" w:hAnsi="Calibri"/>
      <w:kern w:val="0"/>
      <w:sz w:val="20"/>
      <w:szCs w:val="20"/>
    </w:rPr>
  </w:style>
  <w:style w:type="paragraph" w:customStyle="1" w:styleId="246">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7">
    <w:name w:val="样式 样式 正文 首行缩进:  2 字符 SL CON + 首行缩进:  2 字符 + 宋体"/>
    <w:basedOn w:val="213"/>
    <w:qFormat/>
    <w:uiPriority w:val="0"/>
    <w:rPr>
      <w:rFonts w:ascii="Calibri" w:hAnsi="Calibri" w:cs="宋体"/>
      <w:kern w:val="0"/>
    </w:rPr>
  </w:style>
  <w:style w:type="paragraph" w:customStyle="1" w:styleId="248">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49">
    <w:name w:val="Char"/>
    <w:basedOn w:val="1"/>
    <w:qFormat/>
    <w:uiPriority w:val="0"/>
    <w:rPr>
      <w:rFonts w:ascii="Calibri" w:hAnsi="Calibri"/>
    </w:rPr>
  </w:style>
  <w:style w:type="paragraph" w:customStyle="1" w:styleId="250">
    <w:name w:val="Char Char Char Char Char Char2"/>
    <w:basedOn w:val="1"/>
    <w:next w:val="3"/>
    <w:qFormat/>
    <w:uiPriority w:val="0"/>
    <w:rPr>
      <w:rFonts w:ascii="Calibri" w:hAnsi="Calibri"/>
      <w:sz w:val="28"/>
      <w:szCs w:val="28"/>
    </w:rPr>
  </w:style>
  <w:style w:type="paragraph" w:customStyle="1" w:styleId="251">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2">
    <w:name w:val="Table Paragraph"/>
    <w:basedOn w:val="1"/>
    <w:qFormat/>
    <w:uiPriority w:val="1"/>
    <w:rPr>
      <w:rFonts w:ascii="Arial" w:hAnsi="Arial" w:eastAsia="Arial" w:cs="Arial"/>
      <w:lang w:val="zh-CN" w:bidi="zh-CN"/>
    </w:rPr>
  </w:style>
  <w:style w:type="paragraph" w:customStyle="1" w:styleId="253">
    <w:name w:val="简单回函地址"/>
    <w:basedOn w:val="1"/>
    <w:qFormat/>
    <w:uiPriority w:val="0"/>
    <w:rPr>
      <w:rFonts w:ascii="Calibri" w:hAnsi="Calibri"/>
      <w:sz w:val="24"/>
      <w:szCs w:val="20"/>
    </w:rPr>
  </w:style>
  <w:style w:type="paragraph" w:customStyle="1" w:styleId="254">
    <w:name w:val="0环评正文"/>
    <w:basedOn w:val="1"/>
    <w:qFormat/>
    <w:uiPriority w:val="0"/>
    <w:pPr>
      <w:spacing w:line="360" w:lineRule="auto"/>
      <w:ind w:firstLine="200" w:firstLineChars="200"/>
    </w:pPr>
    <w:rPr>
      <w:sz w:val="24"/>
      <w:szCs w:val="22"/>
    </w:rPr>
  </w:style>
  <w:style w:type="paragraph" w:customStyle="1" w:styleId="255">
    <w:name w:val="图题表题"/>
    <w:basedOn w:val="1"/>
    <w:qFormat/>
    <w:uiPriority w:val="0"/>
    <w:pPr>
      <w:spacing w:line="360" w:lineRule="auto"/>
      <w:jc w:val="center"/>
    </w:pPr>
    <w:rPr>
      <w:rFonts w:ascii="Calibri" w:hAnsi="Calibri"/>
      <w:b/>
      <w:bCs/>
      <w:kern w:val="0"/>
      <w:sz w:val="20"/>
      <w:szCs w:val="20"/>
    </w:rPr>
  </w:style>
  <w:style w:type="paragraph" w:customStyle="1" w:styleId="256">
    <w:name w:val="大标题（表外部的）"/>
    <w:basedOn w:val="1"/>
    <w:qFormat/>
    <w:uiPriority w:val="0"/>
    <w:pPr>
      <w:keepNext/>
      <w:keepLines/>
    </w:pPr>
    <w:rPr>
      <w:rFonts w:ascii="宋体" w:hAnsi="宋体" w:eastAsia="黑体"/>
      <w:b/>
      <w:sz w:val="30"/>
    </w:rPr>
  </w:style>
  <w:style w:type="paragraph" w:customStyle="1" w:styleId="2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58">
    <w:name w:val="表文"/>
    <w:basedOn w:val="20"/>
    <w:next w:val="14"/>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59">
    <w:name w:val="正文缩进1"/>
    <w:basedOn w:val="1"/>
    <w:qFormat/>
    <w:uiPriority w:val="0"/>
    <w:pPr>
      <w:ind w:firstLine="420" w:firstLineChars="200"/>
    </w:pPr>
    <w:rPr>
      <w:rFonts w:ascii="Calibri" w:hAnsi="Calibri"/>
    </w:rPr>
  </w:style>
  <w:style w:type="paragraph" w:customStyle="1" w:styleId="260">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1">
    <w:name w:val="列表段落1"/>
    <w:basedOn w:val="1"/>
    <w:qFormat/>
    <w:uiPriority w:val="0"/>
    <w:pPr>
      <w:ind w:firstLine="420" w:firstLineChars="200"/>
    </w:pPr>
    <w:rPr>
      <w:rFonts w:ascii="Calibri" w:hAnsi="Calibri"/>
    </w:rPr>
  </w:style>
  <w:style w:type="paragraph" w:customStyle="1" w:styleId="262">
    <w:name w:val="Char Char Char Char Char Char Char Char Char Char Char Char Char"/>
    <w:basedOn w:val="1"/>
    <w:qFormat/>
    <w:uiPriority w:val="0"/>
    <w:rPr>
      <w:rFonts w:ascii="Calibri" w:hAnsi="Calibri"/>
    </w:rPr>
  </w:style>
  <w:style w:type="paragraph" w:customStyle="1" w:styleId="263">
    <w:name w:val="环表头"/>
    <w:next w:val="246"/>
    <w:qFormat/>
    <w:uiPriority w:val="0"/>
    <w:pPr>
      <w:jc w:val="center"/>
    </w:pPr>
    <w:rPr>
      <w:rFonts w:ascii="Calibri" w:hAnsi="Calibri" w:eastAsia="宋体" w:cs="Times New Roman"/>
      <w:kern w:val="2"/>
      <w:sz w:val="24"/>
      <w:szCs w:val="24"/>
      <w:lang w:val="en-US" w:eastAsia="zh-CN" w:bidi="ar-SA"/>
    </w:rPr>
  </w:style>
  <w:style w:type="paragraph" w:customStyle="1" w:styleId="26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Plain Text1"/>
    <w:basedOn w:val="1"/>
    <w:qFormat/>
    <w:uiPriority w:val="0"/>
    <w:rPr>
      <w:rFonts w:ascii="宋体" w:hAnsi="Courier New"/>
      <w:kern w:val="0"/>
      <w:sz w:val="28"/>
    </w:rPr>
  </w:style>
  <w:style w:type="paragraph" w:customStyle="1" w:styleId="266">
    <w:name w:val="报告表 表名、表头、图名"/>
    <w:basedOn w:val="1"/>
    <w:qFormat/>
    <w:uiPriority w:val="0"/>
    <w:pPr>
      <w:adjustRightInd w:val="0"/>
      <w:snapToGrid w:val="0"/>
      <w:jc w:val="center"/>
    </w:pPr>
    <w:rPr>
      <w:rFonts w:eastAsia="Times New Roman"/>
      <w:b/>
      <w:szCs w:val="21"/>
    </w:rPr>
  </w:style>
  <w:style w:type="paragraph" w:customStyle="1" w:styleId="267">
    <w:name w:val="1表格"/>
    <w:basedOn w:val="1"/>
    <w:qFormat/>
    <w:uiPriority w:val="0"/>
    <w:pPr>
      <w:snapToGrid w:val="0"/>
      <w:spacing w:line="160" w:lineRule="atLeast"/>
      <w:jc w:val="center"/>
    </w:pPr>
    <w:rPr>
      <w:rFonts w:ascii="Calibri" w:hAnsi="Calibri" w:eastAsia="仿宋_GB2312"/>
      <w:szCs w:val="20"/>
    </w:rPr>
  </w:style>
  <w:style w:type="paragraph" w:customStyle="1" w:styleId="268">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69">
    <w:name w:val="正文格式"/>
    <w:basedOn w:val="1"/>
    <w:qFormat/>
    <w:uiPriority w:val="0"/>
    <w:pPr>
      <w:spacing w:line="360" w:lineRule="auto"/>
      <w:ind w:firstLine="480" w:firstLineChars="200"/>
    </w:pPr>
    <w:rPr>
      <w:rFonts w:ascii="Calibri" w:hAnsi="Calibri"/>
      <w:kern w:val="0"/>
      <w:sz w:val="24"/>
    </w:rPr>
  </w:style>
  <w:style w:type="paragraph" w:customStyle="1" w:styleId="270">
    <w:name w:val="zw1"/>
    <w:basedOn w:val="1"/>
    <w:qFormat/>
    <w:uiPriority w:val="0"/>
    <w:pPr>
      <w:ind w:firstLine="480"/>
    </w:pPr>
    <w:rPr>
      <w:rFonts w:ascii="Calibri" w:hAnsi="Calibri" w:eastAsia="仿宋_GB2312"/>
      <w:sz w:val="24"/>
    </w:rPr>
  </w:style>
  <w:style w:type="paragraph" w:customStyle="1" w:styleId="271">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2">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3">
    <w:name w:val="Char26"/>
    <w:basedOn w:val="1"/>
    <w:qFormat/>
    <w:uiPriority w:val="99"/>
  </w:style>
  <w:style w:type="paragraph" w:customStyle="1" w:styleId="274">
    <w:name w:val="纯文本1"/>
    <w:basedOn w:val="1"/>
    <w:qFormat/>
    <w:uiPriority w:val="0"/>
    <w:rPr>
      <w:rFonts w:ascii="宋体" w:hAnsi="Courier New"/>
    </w:rPr>
  </w:style>
  <w:style w:type="paragraph" w:customStyle="1" w:styleId="275">
    <w:name w:val="Char Char1 Char Char Char Char Char Char Char Char Char"/>
    <w:basedOn w:val="1"/>
    <w:qFormat/>
    <w:uiPriority w:val="0"/>
    <w:rPr>
      <w:rFonts w:ascii="Calibri" w:hAnsi="Calibri"/>
    </w:rPr>
  </w:style>
  <w:style w:type="paragraph" w:customStyle="1" w:styleId="276">
    <w:name w:val="3"/>
    <w:basedOn w:val="1"/>
    <w:qFormat/>
    <w:uiPriority w:val="0"/>
    <w:rPr>
      <w:rFonts w:ascii="Calibri" w:hAnsi="Calibri"/>
    </w:rPr>
  </w:style>
  <w:style w:type="paragraph" w:customStyle="1" w:styleId="277">
    <w:name w:val="p19"/>
    <w:basedOn w:val="1"/>
    <w:qFormat/>
    <w:uiPriority w:val="0"/>
    <w:pPr>
      <w:widowControl/>
      <w:spacing w:after="120" w:line="480" w:lineRule="auto"/>
      <w:ind w:left="420"/>
    </w:pPr>
    <w:rPr>
      <w:rFonts w:ascii="Calibri" w:hAnsi="Calibri"/>
      <w:kern w:val="0"/>
      <w:szCs w:val="21"/>
    </w:rPr>
  </w:style>
  <w:style w:type="paragraph" w:customStyle="1" w:styleId="278">
    <w:name w:val="表格格式1-2"/>
    <w:basedOn w:val="1"/>
    <w:qFormat/>
    <w:uiPriority w:val="0"/>
    <w:pPr>
      <w:jc w:val="center"/>
    </w:pPr>
    <w:rPr>
      <w:rFonts w:cs="宋体"/>
      <w:szCs w:val="21"/>
    </w:rPr>
  </w:style>
  <w:style w:type="paragraph" w:customStyle="1" w:styleId="279">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0">
    <w:name w:val="默认段落字体 Para Char"/>
    <w:basedOn w:val="1"/>
    <w:qFormat/>
    <w:uiPriority w:val="0"/>
    <w:rPr>
      <w:rFonts w:ascii="Calibri" w:hAnsi="Calibri"/>
      <w:sz w:val="24"/>
    </w:rPr>
  </w:style>
  <w:style w:type="paragraph" w:customStyle="1" w:styleId="281">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2">
    <w:name w:val="纯文本2"/>
    <w:basedOn w:val="1"/>
    <w:qFormat/>
    <w:uiPriority w:val="0"/>
    <w:rPr>
      <w:rFonts w:ascii="宋体" w:hAnsi="Courier New"/>
      <w:kern w:val="0"/>
      <w:sz w:val="28"/>
      <w:szCs w:val="20"/>
    </w:rPr>
  </w:style>
  <w:style w:type="paragraph" w:customStyle="1" w:styleId="283">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4">
    <w:name w:val="表文排版"/>
    <w:basedOn w:val="20"/>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5">
    <w:name w:val="小标题（表内部的）"/>
    <w:basedOn w:val="1"/>
    <w:qFormat/>
    <w:uiPriority w:val="0"/>
    <w:pPr>
      <w:spacing w:line="360" w:lineRule="auto"/>
    </w:pPr>
    <w:rPr>
      <w:rFonts w:ascii="Calibri" w:hAnsi="Calibri" w:eastAsia="黑体"/>
      <w:b/>
      <w:bCs/>
      <w:sz w:val="24"/>
    </w:rPr>
  </w:style>
  <w:style w:type="paragraph" w:customStyle="1" w:styleId="286">
    <w:name w:val="p0"/>
    <w:basedOn w:val="1"/>
    <w:qFormat/>
    <w:uiPriority w:val="0"/>
    <w:pPr>
      <w:widowControl/>
    </w:pPr>
    <w:rPr>
      <w:rFonts w:ascii="Calibri" w:hAnsi="Calibri"/>
      <w:kern w:val="0"/>
      <w:szCs w:val="21"/>
    </w:rPr>
  </w:style>
  <w:style w:type="paragraph" w:customStyle="1" w:styleId="287">
    <w:name w:val="0环评标题2"/>
    <w:basedOn w:val="5"/>
    <w:qFormat/>
    <w:uiPriority w:val="0"/>
    <w:pPr>
      <w:spacing w:before="0" w:after="0" w:line="480" w:lineRule="exact"/>
      <w:ind w:firstLine="200" w:firstLineChars="200"/>
    </w:pPr>
    <w:rPr>
      <w:rFonts w:ascii="Cambria" w:hAnsi="Cambria" w:eastAsia="Times New Roman"/>
      <w:sz w:val="26"/>
    </w:rPr>
  </w:style>
  <w:style w:type="paragraph" w:customStyle="1" w:styleId="288">
    <w:name w:val="纯文本11"/>
    <w:basedOn w:val="1"/>
    <w:qFormat/>
    <w:uiPriority w:val="0"/>
    <w:rPr>
      <w:rFonts w:ascii="Calibri" w:hAnsi="Courier New"/>
      <w:sz w:val="28"/>
      <w:szCs w:val="20"/>
    </w:rPr>
  </w:style>
  <w:style w:type="paragraph" w:customStyle="1" w:styleId="289">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0">
    <w:name w:val="标题2"/>
    <w:basedOn w:val="14"/>
    <w:next w:val="6"/>
    <w:qFormat/>
    <w:uiPriority w:val="0"/>
    <w:pPr>
      <w:spacing w:line="480" w:lineRule="exact"/>
      <w:ind w:firstLine="482"/>
    </w:pPr>
    <w:rPr>
      <w:rFonts w:ascii="仿宋_GB2312" w:hAnsi="宋体" w:eastAsia="仿宋_GB2312"/>
      <w:b/>
      <w:bCs/>
      <w:color w:val="FF0000"/>
      <w:sz w:val="24"/>
    </w:rPr>
  </w:style>
  <w:style w:type="paragraph" w:customStyle="1" w:styleId="291">
    <w:name w:val="样式7"/>
    <w:basedOn w:val="1"/>
    <w:qFormat/>
    <w:uiPriority w:val="0"/>
    <w:pPr>
      <w:spacing w:line="480" w:lineRule="exact"/>
      <w:ind w:firstLine="200" w:firstLineChars="200"/>
    </w:pPr>
    <w:rPr>
      <w:rFonts w:ascii="宋体" w:hAnsi="宋体"/>
      <w:sz w:val="26"/>
      <w:szCs w:val="26"/>
    </w:rPr>
  </w:style>
  <w:style w:type="paragraph" w:customStyle="1" w:styleId="292">
    <w:name w:val="列表段落11"/>
    <w:basedOn w:val="1"/>
    <w:qFormat/>
    <w:uiPriority w:val="0"/>
    <w:pPr>
      <w:ind w:firstLine="420" w:firstLineChars="200"/>
    </w:pPr>
    <w:rPr>
      <w:rFonts w:ascii="Calibri" w:hAnsi="Calibri"/>
    </w:rPr>
  </w:style>
  <w:style w:type="paragraph" w:customStyle="1" w:styleId="293">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4">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5">
    <w:name w:val="表格式"/>
    <w:basedOn w:val="33"/>
    <w:qFormat/>
    <w:uiPriority w:val="0"/>
    <w:pPr>
      <w:spacing w:before="156" w:beforeLines="50" w:after="156" w:afterLines="50" w:line="240" w:lineRule="exact"/>
      <w:ind w:left="0" w:firstLine="0"/>
      <w:jc w:val="center"/>
    </w:pPr>
    <w:rPr>
      <w:sz w:val="21"/>
    </w:rPr>
  </w:style>
  <w:style w:type="paragraph" w:customStyle="1" w:styleId="296">
    <w:name w:val="样式 表（或图）标题 样式 宋体 五号 居中 SL CON + 非加粗"/>
    <w:basedOn w:val="297"/>
    <w:qFormat/>
    <w:uiPriority w:val="0"/>
    <w:pPr>
      <w:tabs>
        <w:tab w:val="left" w:pos="377"/>
      </w:tabs>
      <w:spacing w:before="0" w:beforeAutospacing="0" w:line="240" w:lineRule="auto"/>
    </w:pPr>
    <w:rPr>
      <w:rFonts w:ascii="Times New Roman" w:hAnsi="Times New Roman"/>
    </w:rPr>
  </w:style>
  <w:style w:type="paragraph" w:customStyle="1" w:styleId="297">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298">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299">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0">
    <w:name w:val="正文 首行缩进:  2 字符"/>
    <w:basedOn w:val="1"/>
    <w:qFormat/>
    <w:uiPriority w:val="0"/>
    <w:pPr>
      <w:ind w:firstLine="579" w:firstLineChars="200"/>
    </w:pPr>
    <w:rPr>
      <w:sz w:val="28"/>
      <w:szCs w:val="20"/>
    </w:rPr>
  </w:style>
  <w:style w:type="paragraph" w:customStyle="1" w:styleId="301">
    <w:name w:val="Char2"/>
    <w:basedOn w:val="1"/>
    <w:qFormat/>
    <w:uiPriority w:val="0"/>
    <w:rPr>
      <w:rFonts w:ascii="Calibri" w:hAnsi="Calibri"/>
    </w:rPr>
  </w:style>
  <w:style w:type="paragraph" w:customStyle="1" w:styleId="302">
    <w:name w:val="正文1"/>
    <w:basedOn w:val="1"/>
    <w:next w:val="14"/>
    <w:qFormat/>
    <w:uiPriority w:val="0"/>
    <w:pPr>
      <w:jc w:val="center"/>
    </w:pPr>
    <w:rPr>
      <w:rFonts w:ascii="Calibri" w:hAnsi="Calibri"/>
    </w:rPr>
  </w:style>
  <w:style w:type="paragraph" w:customStyle="1" w:styleId="303">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4">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5">
    <w:name w:val="样式 标题ljm + 首行缩进:  2 字符"/>
    <w:basedOn w:val="1"/>
    <w:link w:val="378"/>
    <w:qFormat/>
    <w:uiPriority w:val="0"/>
    <w:pPr>
      <w:spacing w:line="360" w:lineRule="auto"/>
      <w:ind w:firstLine="482" w:firstLineChars="200"/>
    </w:pPr>
    <w:rPr>
      <w:rFonts w:ascii="Calibri" w:hAnsi="Calibri"/>
      <w:b/>
      <w:bCs/>
      <w:kern w:val="0"/>
      <w:sz w:val="24"/>
      <w:szCs w:val="20"/>
    </w:rPr>
  </w:style>
  <w:style w:type="paragraph" w:customStyle="1" w:styleId="306">
    <w:name w:val="表格填充1"/>
    <w:basedOn w:val="1"/>
    <w:qFormat/>
    <w:uiPriority w:val="0"/>
    <w:pPr>
      <w:adjustRightInd w:val="0"/>
      <w:snapToGrid w:val="0"/>
      <w:spacing w:line="400" w:lineRule="exact"/>
      <w:jc w:val="center"/>
    </w:pPr>
    <w:rPr>
      <w:kern w:val="0"/>
      <w:szCs w:val="18"/>
    </w:rPr>
  </w:style>
  <w:style w:type="paragraph" w:customStyle="1" w:styleId="307">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8">
    <w:name w:val="Char Char Char1 Char Char Char Char"/>
    <w:basedOn w:val="1"/>
    <w:qFormat/>
    <w:uiPriority w:val="0"/>
    <w:pPr>
      <w:adjustRightInd w:val="0"/>
      <w:snapToGrid w:val="0"/>
      <w:spacing w:line="360" w:lineRule="auto"/>
      <w:ind w:firstLine="200" w:firstLineChars="200"/>
    </w:pPr>
  </w:style>
  <w:style w:type="paragraph" w:customStyle="1" w:styleId="309">
    <w:name w:val="默认段落字体 Para Char Char Char Char"/>
    <w:basedOn w:val="1"/>
    <w:qFormat/>
    <w:uiPriority w:val="0"/>
    <w:rPr>
      <w:rFonts w:ascii="Calibri" w:hAnsi="Calibri"/>
      <w:sz w:val="24"/>
    </w:rPr>
  </w:style>
  <w:style w:type="paragraph" w:customStyle="1" w:styleId="310">
    <w:name w:val="表biao"/>
    <w:basedOn w:val="1"/>
    <w:qFormat/>
    <w:uiPriority w:val="0"/>
    <w:pPr>
      <w:jc w:val="center"/>
    </w:pPr>
    <w:rPr>
      <w:rFonts w:ascii="宋体" w:hAnsi="宋体"/>
      <w:sz w:val="24"/>
    </w:rPr>
  </w:style>
  <w:style w:type="paragraph" w:customStyle="1" w:styleId="31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2">
    <w:name w:val="表"/>
    <w:basedOn w:val="20"/>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3">
    <w:name w:val="图名-中煤"/>
    <w:basedOn w:val="20"/>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4">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5">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6">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7">
    <w:name w:val="首行缩进"/>
    <w:basedOn w:val="1"/>
    <w:qFormat/>
    <w:uiPriority w:val="0"/>
    <w:pPr>
      <w:tabs>
        <w:tab w:val="left" w:pos="-238"/>
      </w:tabs>
      <w:spacing w:line="340" w:lineRule="exact"/>
      <w:jc w:val="center"/>
    </w:pPr>
    <w:rPr>
      <w:color w:val="FF0000"/>
      <w:szCs w:val="21"/>
    </w:rPr>
  </w:style>
  <w:style w:type="paragraph" w:customStyle="1" w:styleId="318">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19">
    <w:name w:val="文章正文 Char"/>
    <w:basedOn w:val="1"/>
    <w:qFormat/>
    <w:uiPriority w:val="0"/>
    <w:pPr>
      <w:spacing w:line="600" w:lineRule="exact"/>
      <w:ind w:firstLine="200" w:firstLineChars="200"/>
    </w:pPr>
    <w:rPr>
      <w:rFonts w:eastAsia="仿宋_GB2312"/>
      <w:sz w:val="32"/>
      <w:szCs w:val="32"/>
    </w:rPr>
  </w:style>
  <w:style w:type="paragraph" w:customStyle="1" w:styleId="320">
    <w:name w:val="报告表 表中文字"/>
    <w:basedOn w:val="1"/>
    <w:qFormat/>
    <w:uiPriority w:val="0"/>
    <w:pPr>
      <w:adjustRightInd w:val="0"/>
      <w:snapToGrid w:val="0"/>
      <w:jc w:val="center"/>
    </w:pPr>
    <w:rPr>
      <w:rFonts w:eastAsia="Times New Roman"/>
    </w:rPr>
  </w:style>
  <w:style w:type="paragraph" w:customStyle="1" w:styleId="321">
    <w:name w:val="02图"/>
    <w:basedOn w:val="15"/>
    <w:qFormat/>
    <w:uiPriority w:val="0"/>
    <w:pPr>
      <w:widowControl/>
      <w:jc w:val="center"/>
    </w:pPr>
    <w:rPr>
      <w:rFonts w:eastAsia="宋体"/>
      <w:b/>
      <w:sz w:val="22"/>
      <w:szCs w:val="22"/>
    </w:rPr>
  </w:style>
  <w:style w:type="paragraph" w:customStyle="1" w:styleId="322">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3">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4">
    <w:name w:val="表格-HF"/>
    <w:basedOn w:val="1"/>
    <w:qFormat/>
    <w:uiPriority w:val="2"/>
    <w:pPr>
      <w:jc w:val="center"/>
    </w:pPr>
    <w:rPr>
      <w:rFonts w:cs="宋体"/>
      <w:szCs w:val="21"/>
    </w:rPr>
  </w:style>
  <w:style w:type="paragraph" w:customStyle="1" w:styleId="325">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6">
    <w:name w:val="正文四号"/>
    <w:basedOn w:val="1"/>
    <w:qFormat/>
    <w:uiPriority w:val="0"/>
    <w:pPr>
      <w:spacing w:line="360" w:lineRule="auto"/>
      <w:ind w:firstLine="200" w:firstLineChars="200"/>
    </w:pPr>
    <w:rPr>
      <w:rFonts w:ascii="Calibri" w:hAnsi="Calibri" w:cs="宋体"/>
      <w:sz w:val="24"/>
      <w:szCs w:val="28"/>
    </w:rPr>
  </w:style>
  <w:style w:type="paragraph" w:customStyle="1" w:styleId="327">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8">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29">
    <w:name w:val="样式 标题 2节名节H22nd levelh2Header 2标题 1.1编号标题2head:2#2 hea..."/>
    <w:basedOn w:val="5"/>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0">
    <w:name w:val="lulu表格"/>
    <w:basedOn w:val="1"/>
    <w:qFormat/>
    <w:uiPriority w:val="0"/>
    <w:pPr>
      <w:widowControl/>
      <w:jc w:val="center"/>
    </w:pPr>
    <w:rPr>
      <w:rFonts w:cs="宋体"/>
      <w:kern w:val="0"/>
      <w:sz w:val="22"/>
      <w:szCs w:val="22"/>
    </w:rPr>
  </w:style>
  <w:style w:type="paragraph" w:customStyle="1" w:styleId="331">
    <w:name w:val="Char Char Char Char Char Char Char"/>
    <w:basedOn w:val="1"/>
    <w:qFormat/>
    <w:uiPriority w:val="0"/>
    <w:pPr>
      <w:spacing w:after="160" w:line="240" w:lineRule="exact"/>
    </w:pPr>
    <w:rPr>
      <w:szCs w:val="20"/>
    </w:rPr>
  </w:style>
  <w:style w:type="paragraph" w:styleId="332">
    <w:name w:val="List Paragraph"/>
    <w:basedOn w:val="1"/>
    <w:qFormat/>
    <w:uiPriority w:val="99"/>
    <w:pPr>
      <w:ind w:firstLine="420" w:firstLineChars="200"/>
    </w:pPr>
  </w:style>
  <w:style w:type="paragraph" w:customStyle="1" w:styleId="333">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4">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5">
    <w:name w:val="0环评 表中文字"/>
    <w:basedOn w:val="1"/>
    <w:qFormat/>
    <w:uiPriority w:val="0"/>
    <w:pPr>
      <w:adjustRightInd w:val="0"/>
      <w:snapToGrid w:val="0"/>
      <w:jc w:val="center"/>
    </w:pPr>
  </w:style>
  <w:style w:type="character" w:customStyle="1" w:styleId="336">
    <w:name w:val="样式25 Char"/>
    <w:link w:val="337"/>
    <w:qFormat/>
    <w:locked/>
    <w:uiPriority w:val="0"/>
    <w:rPr>
      <w:color w:val="000000"/>
      <w:kern w:val="2"/>
      <w:sz w:val="26"/>
    </w:rPr>
  </w:style>
  <w:style w:type="paragraph" w:customStyle="1" w:styleId="337">
    <w:name w:val="样式25"/>
    <w:basedOn w:val="1"/>
    <w:link w:val="336"/>
    <w:qFormat/>
    <w:uiPriority w:val="0"/>
    <w:pPr>
      <w:spacing w:line="460" w:lineRule="exact"/>
      <w:ind w:firstLine="520" w:firstLineChars="200"/>
    </w:pPr>
    <w:rPr>
      <w:color w:val="000000"/>
      <w:sz w:val="26"/>
      <w:szCs w:val="20"/>
    </w:rPr>
  </w:style>
  <w:style w:type="character" w:customStyle="1" w:styleId="338">
    <w:name w:val="纯文本 字符1"/>
    <w:semiHidden/>
    <w:qFormat/>
    <w:locked/>
    <w:uiPriority w:val="0"/>
    <w:rPr>
      <w:sz w:val="28"/>
    </w:rPr>
  </w:style>
  <w:style w:type="character" w:customStyle="1" w:styleId="339">
    <w:name w:val="01 大庆环评 正文 字符"/>
    <w:link w:val="340"/>
    <w:qFormat/>
    <w:uiPriority w:val="0"/>
    <w:rPr>
      <w:kern w:val="2"/>
      <w:sz w:val="21"/>
      <w:szCs w:val="28"/>
    </w:rPr>
  </w:style>
  <w:style w:type="paragraph" w:customStyle="1" w:styleId="340">
    <w:name w:val="01 大庆环评 正文"/>
    <w:basedOn w:val="254"/>
    <w:link w:val="339"/>
    <w:qFormat/>
    <w:uiPriority w:val="0"/>
    <w:rPr>
      <w:sz w:val="21"/>
      <w:szCs w:val="28"/>
    </w:rPr>
  </w:style>
  <w:style w:type="paragraph" w:customStyle="1" w:styleId="341">
    <w:name w:val="01大庆环评 表格文字"/>
    <w:basedOn w:val="1"/>
    <w:qFormat/>
    <w:uiPriority w:val="0"/>
    <w:pPr>
      <w:jc w:val="center"/>
    </w:pPr>
    <w:rPr>
      <w:kern w:val="0"/>
    </w:rPr>
  </w:style>
  <w:style w:type="paragraph" w:customStyle="1" w:styleId="342">
    <w:name w:val="02 大庆环评 表格标题"/>
    <w:basedOn w:val="1"/>
    <w:qFormat/>
    <w:uiPriority w:val="0"/>
    <w:pPr>
      <w:widowControl/>
      <w:spacing w:line="360" w:lineRule="auto"/>
      <w:jc w:val="center"/>
    </w:pPr>
    <w:rPr>
      <w:rFonts w:cs="宋体"/>
      <w:b/>
      <w:kern w:val="0"/>
      <w:szCs w:val="22"/>
    </w:rPr>
  </w:style>
  <w:style w:type="character" w:customStyle="1" w:styleId="343">
    <w:name w:val="05 大庆环评 正文 字符"/>
    <w:link w:val="344"/>
    <w:qFormat/>
    <w:uiPriority w:val="0"/>
    <w:rPr>
      <w:rFonts w:eastAsia="宋体"/>
      <w:kern w:val="2"/>
      <w:sz w:val="24"/>
      <w:szCs w:val="26"/>
    </w:rPr>
  </w:style>
  <w:style w:type="paragraph" w:customStyle="1" w:styleId="344">
    <w:name w:val="05 环评 正文"/>
    <w:basedOn w:val="1"/>
    <w:link w:val="343"/>
    <w:qFormat/>
    <w:uiPriority w:val="0"/>
    <w:pPr>
      <w:adjustRightInd w:val="0"/>
      <w:snapToGrid w:val="0"/>
      <w:spacing w:line="360" w:lineRule="auto"/>
      <w:ind w:firstLine="200" w:firstLineChars="200"/>
    </w:pPr>
    <w:rPr>
      <w:sz w:val="24"/>
      <w:szCs w:val="26"/>
    </w:rPr>
  </w:style>
  <w:style w:type="paragraph" w:customStyle="1" w:styleId="345">
    <w:name w:val="07 大庆环评 表格标题"/>
    <w:basedOn w:val="344"/>
    <w:qFormat/>
    <w:uiPriority w:val="0"/>
    <w:pPr>
      <w:ind w:firstLine="0" w:firstLineChars="0"/>
      <w:jc w:val="center"/>
    </w:pPr>
    <w:rPr>
      <w:b/>
      <w:bCs/>
      <w:sz w:val="21"/>
      <w:szCs w:val="28"/>
    </w:rPr>
  </w:style>
  <w:style w:type="character" w:customStyle="1" w:styleId="346">
    <w:name w:val="未处理的提及1"/>
    <w:unhideWhenUsed/>
    <w:qFormat/>
    <w:uiPriority w:val="99"/>
    <w:rPr>
      <w:color w:val="605E5C"/>
      <w:shd w:val="clear" w:color="auto" w:fill="E1DFDD"/>
    </w:rPr>
  </w:style>
  <w:style w:type="paragraph" w:customStyle="1" w:styleId="347">
    <w:name w:val="06 环评 表格问题"/>
    <w:basedOn w:val="344"/>
    <w:qFormat/>
    <w:uiPriority w:val="0"/>
    <w:pPr>
      <w:spacing w:line="240" w:lineRule="auto"/>
      <w:ind w:firstLine="0" w:firstLineChars="0"/>
      <w:jc w:val="center"/>
    </w:pPr>
    <w:rPr>
      <w:sz w:val="21"/>
      <w:szCs w:val="22"/>
    </w:rPr>
  </w:style>
  <w:style w:type="paragraph" w:customStyle="1" w:styleId="348">
    <w:name w:val="ns正文"/>
    <w:basedOn w:val="1"/>
    <w:qFormat/>
    <w:uiPriority w:val="0"/>
    <w:pPr>
      <w:spacing w:line="360" w:lineRule="auto"/>
      <w:ind w:firstLine="200" w:firstLineChars="200"/>
    </w:pPr>
    <w:rPr>
      <w:sz w:val="24"/>
      <w:szCs w:val="22"/>
    </w:rPr>
  </w:style>
  <w:style w:type="table" w:customStyle="1" w:styleId="349">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0">
    <w:name w:val="07大庆环评 报告文本 字符"/>
    <w:link w:val="351"/>
    <w:qFormat/>
    <w:uiPriority w:val="0"/>
    <w:rPr>
      <w:kern w:val="2"/>
      <w:sz w:val="21"/>
      <w:szCs w:val="28"/>
    </w:rPr>
  </w:style>
  <w:style w:type="paragraph" w:customStyle="1" w:styleId="351">
    <w:name w:val="07大庆环评 报告文本"/>
    <w:basedOn w:val="1"/>
    <w:link w:val="350"/>
    <w:qFormat/>
    <w:uiPriority w:val="0"/>
    <w:pPr>
      <w:spacing w:line="360" w:lineRule="auto"/>
      <w:ind w:firstLine="200" w:firstLineChars="200"/>
    </w:pPr>
    <w:rPr>
      <w:szCs w:val="28"/>
    </w:rPr>
  </w:style>
  <w:style w:type="character" w:customStyle="1" w:styleId="352">
    <w:name w:val="Char1 Char Char Char Char Char1"/>
    <w:qFormat/>
    <w:uiPriority w:val="0"/>
    <w:rPr>
      <w:rFonts w:eastAsia="宋体"/>
      <w:kern w:val="2"/>
      <w:sz w:val="21"/>
      <w:szCs w:val="24"/>
      <w:lang w:val="en-US" w:eastAsia="zh-CN" w:bidi="ar-SA"/>
    </w:rPr>
  </w:style>
  <w:style w:type="character" w:customStyle="1" w:styleId="353">
    <w:name w:val="Char Char71"/>
    <w:qFormat/>
    <w:uiPriority w:val="0"/>
    <w:rPr>
      <w:rFonts w:ascii="宋体" w:hAnsi="宋体" w:eastAsia="黑体"/>
      <w:bCs/>
      <w:color w:val="FF0000"/>
      <w:kern w:val="2"/>
      <w:sz w:val="28"/>
      <w:szCs w:val="28"/>
    </w:rPr>
  </w:style>
  <w:style w:type="character" w:customStyle="1" w:styleId="354">
    <w:name w:val="Char1 Char Char1"/>
    <w:qFormat/>
    <w:uiPriority w:val="0"/>
    <w:rPr>
      <w:rFonts w:eastAsia="宋体"/>
      <w:kern w:val="2"/>
      <w:sz w:val="21"/>
      <w:szCs w:val="24"/>
      <w:lang w:val="en-US" w:eastAsia="zh-CN" w:bidi="ar-SA"/>
    </w:rPr>
  </w:style>
  <w:style w:type="character" w:customStyle="1" w:styleId="355">
    <w:name w:val="Char Char1"/>
    <w:qFormat/>
    <w:uiPriority w:val="0"/>
    <w:rPr>
      <w:rFonts w:eastAsia="宋体"/>
      <w:b/>
      <w:bCs/>
      <w:kern w:val="44"/>
      <w:sz w:val="24"/>
      <w:szCs w:val="44"/>
      <w:lang w:val="en-US" w:eastAsia="zh-CN" w:bidi="ar-SA"/>
    </w:rPr>
  </w:style>
  <w:style w:type="character" w:customStyle="1" w:styleId="356">
    <w:name w:val="Char1 Char"/>
    <w:link w:val="357"/>
    <w:qFormat/>
    <w:uiPriority w:val="0"/>
    <w:rPr>
      <w:kern w:val="2"/>
      <w:sz w:val="21"/>
      <w:szCs w:val="24"/>
    </w:rPr>
  </w:style>
  <w:style w:type="paragraph" w:customStyle="1" w:styleId="357">
    <w:name w:val="Char11"/>
    <w:basedOn w:val="1"/>
    <w:link w:val="356"/>
    <w:qFormat/>
    <w:uiPriority w:val="0"/>
  </w:style>
  <w:style w:type="paragraph" w:customStyle="1" w:styleId="358">
    <w:name w:val="Char Char Char Char1"/>
    <w:basedOn w:val="1"/>
    <w:qFormat/>
    <w:uiPriority w:val="0"/>
    <w:rPr>
      <w:rFonts w:ascii="Calibri" w:hAnsi="Calibri"/>
    </w:rPr>
  </w:style>
  <w:style w:type="paragraph" w:customStyle="1" w:styleId="359">
    <w:name w:val="Char1 Char Char Char1"/>
    <w:basedOn w:val="1"/>
    <w:qFormat/>
    <w:uiPriority w:val="0"/>
    <w:rPr>
      <w:rFonts w:ascii="Calibri" w:hAnsi="Calibri"/>
    </w:rPr>
  </w:style>
  <w:style w:type="paragraph" w:customStyle="1" w:styleId="360">
    <w:name w:val="Char3"/>
    <w:basedOn w:val="1"/>
    <w:qFormat/>
    <w:uiPriority w:val="0"/>
    <w:rPr>
      <w:rFonts w:ascii="Calibri" w:hAnsi="Calibri"/>
    </w:rPr>
  </w:style>
  <w:style w:type="paragraph" w:customStyle="1" w:styleId="361">
    <w:name w:val="Char Char Char Char Char Char"/>
    <w:basedOn w:val="1"/>
    <w:next w:val="3"/>
    <w:qFormat/>
    <w:uiPriority w:val="0"/>
    <w:rPr>
      <w:rFonts w:ascii="Calibri" w:hAnsi="Calibri"/>
      <w:sz w:val="28"/>
      <w:szCs w:val="28"/>
    </w:rPr>
  </w:style>
  <w:style w:type="paragraph" w:customStyle="1" w:styleId="362">
    <w:name w:val="07 大庆环评 表格文字"/>
    <w:basedOn w:val="1"/>
    <w:qFormat/>
    <w:uiPriority w:val="0"/>
    <w:pPr>
      <w:jc w:val="center"/>
    </w:pPr>
    <w:rPr>
      <w:szCs w:val="22"/>
    </w:rPr>
  </w:style>
  <w:style w:type="paragraph" w:customStyle="1" w:styleId="363">
    <w:name w:val="正文缩进3"/>
    <w:basedOn w:val="1"/>
    <w:qFormat/>
    <w:uiPriority w:val="0"/>
    <w:pPr>
      <w:ind w:firstLine="420" w:firstLineChars="200"/>
    </w:pPr>
    <w:rPr>
      <w:rFonts w:ascii="Calibri" w:hAnsi="Calibri"/>
    </w:rPr>
  </w:style>
  <w:style w:type="paragraph" w:customStyle="1" w:styleId="364">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5">
    <w:name w:val="列表段落2"/>
    <w:basedOn w:val="1"/>
    <w:qFormat/>
    <w:uiPriority w:val="0"/>
    <w:pPr>
      <w:ind w:firstLine="420" w:firstLineChars="200"/>
    </w:pPr>
    <w:rPr>
      <w:rFonts w:ascii="Calibri" w:hAnsi="Calibri"/>
    </w:rPr>
  </w:style>
  <w:style w:type="paragraph" w:customStyle="1" w:styleId="366">
    <w:name w:val="Char Char Char Char Char Char Char Char Char Char Char Char Char1"/>
    <w:basedOn w:val="1"/>
    <w:qFormat/>
    <w:uiPriority w:val="0"/>
    <w:rPr>
      <w:rFonts w:ascii="Calibri" w:hAnsi="Calibri"/>
    </w:rPr>
  </w:style>
  <w:style w:type="paragraph" w:customStyle="1" w:styleId="367">
    <w:name w:val="纯文本3"/>
    <w:basedOn w:val="1"/>
    <w:qFormat/>
    <w:uiPriority w:val="0"/>
    <w:rPr>
      <w:rFonts w:ascii="宋体" w:hAnsi="Courier New"/>
    </w:rPr>
  </w:style>
  <w:style w:type="paragraph" w:customStyle="1" w:styleId="368">
    <w:name w:val="Char Char1 Char Char Char Char Char Char Char Char Char1"/>
    <w:basedOn w:val="1"/>
    <w:qFormat/>
    <w:uiPriority w:val="0"/>
    <w:rPr>
      <w:rFonts w:ascii="Calibri" w:hAnsi="Calibri"/>
    </w:rPr>
  </w:style>
  <w:style w:type="paragraph" w:customStyle="1" w:styleId="369">
    <w:name w:val="08 大庆环评 表格标题2"/>
    <w:basedOn w:val="5"/>
    <w:qFormat/>
    <w:uiPriority w:val="0"/>
    <w:pPr>
      <w:spacing w:before="0" w:after="0" w:line="360" w:lineRule="auto"/>
      <w:jc w:val="center"/>
      <w:outlineLvl w:val="9"/>
    </w:pPr>
    <w:rPr>
      <w:rFonts w:ascii="Times New Roman" w:hAnsi="Times New Roman" w:eastAsia="宋体"/>
      <w:sz w:val="21"/>
    </w:rPr>
  </w:style>
  <w:style w:type="paragraph" w:customStyle="1" w:styleId="370">
    <w:name w:val="Char Char Char1 Char Char Char Char1"/>
    <w:basedOn w:val="1"/>
    <w:qFormat/>
    <w:uiPriority w:val="0"/>
    <w:pPr>
      <w:adjustRightInd w:val="0"/>
      <w:snapToGrid w:val="0"/>
      <w:spacing w:line="360" w:lineRule="auto"/>
      <w:ind w:firstLine="200" w:firstLineChars="200"/>
    </w:pPr>
  </w:style>
  <w:style w:type="paragraph" w:customStyle="1" w:styleId="371">
    <w:name w:val="05环评 正文"/>
    <w:basedOn w:val="1"/>
    <w:qFormat/>
    <w:uiPriority w:val="0"/>
    <w:pPr>
      <w:spacing w:line="360" w:lineRule="auto"/>
      <w:ind w:firstLine="200" w:firstLineChars="200"/>
    </w:pPr>
    <w:rPr>
      <w:sz w:val="24"/>
      <w:szCs w:val="22"/>
    </w:rPr>
  </w:style>
  <w:style w:type="paragraph" w:customStyle="1" w:styleId="37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3">
    <w:name w:val="Table Grid_0"/>
    <w:basedOn w:val="44"/>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4">
    <w:name w:val="Placeholder Text"/>
    <w:basedOn w:val="46"/>
    <w:unhideWhenUsed/>
    <w:qFormat/>
    <w:uiPriority w:val="99"/>
    <w:rPr>
      <w:color w:val="808080"/>
    </w:rPr>
  </w:style>
  <w:style w:type="character" w:customStyle="1" w:styleId="375">
    <w:name w:val="正文文本缩进 2 Char"/>
    <w:qFormat/>
    <w:uiPriority w:val="0"/>
    <w:rPr>
      <w:kern w:val="2"/>
      <w:sz w:val="21"/>
      <w:szCs w:val="24"/>
    </w:rPr>
  </w:style>
  <w:style w:type="paragraph" w:customStyle="1" w:styleId="376">
    <w:name w:val="_Style 374"/>
    <w:basedOn w:val="1"/>
    <w:next w:val="332"/>
    <w:qFormat/>
    <w:uiPriority w:val="99"/>
    <w:pPr>
      <w:ind w:firstLine="420" w:firstLineChars="200"/>
    </w:pPr>
  </w:style>
  <w:style w:type="character" w:customStyle="1" w:styleId="377">
    <w:name w:val="普通(网站) 字符1"/>
    <w:qFormat/>
    <w:locked/>
    <w:uiPriority w:val="0"/>
    <w:rPr>
      <w:rFonts w:ascii="宋体" w:hAnsi="宋体" w:eastAsia="宋体"/>
      <w:sz w:val="24"/>
    </w:rPr>
  </w:style>
  <w:style w:type="character" w:customStyle="1" w:styleId="378">
    <w:name w:val="样式 标题ljm + 首行缩进:  2 字符 Char Char Char"/>
    <w:basedOn w:val="46"/>
    <w:link w:val="305"/>
    <w:qFormat/>
    <w:uiPriority w:val="0"/>
    <w:rPr>
      <w:rFonts w:ascii="Calibri" w:hAnsi="Calibri"/>
      <w:b/>
      <w:bCs/>
      <w:sz w:val="24"/>
    </w:rPr>
  </w:style>
  <w:style w:type="character" w:customStyle="1" w:styleId="379">
    <w:name w:val="font31"/>
    <w:basedOn w:val="46"/>
    <w:qFormat/>
    <w:uiPriority w:val="0"/>
    <w:rPr>
      <w:rFonts w:hint="eastAsia" w:ascii="宋体" w:hAnsi="宋体" w:eastAsia="宋体" w:cs="宋体"/>
      <w:color w:val="000000"/>
      <w:sz w:val="21"/>
      <w:szCs w:val="21"/>
      <w:u w:val="none"/>
    </w:rPr>
  </w:style>
  <w:style w:type="paragraph" w:customStyle="1" w:styleId="380">
    <w:name w:val="技术图表"/>
    <w:basedOn w:val="1"/>
    <w:qFormat/>
    <w:uiPriority w:val="0"/>
    <w:pPr>
      <w:jc w:val="center"/>
    </w:pPr>
    <w:rPr>
      <w:rFonts w:eastAsia="仿宋"/>
      <w:szCs w:val="22"/>
    </w:rPr>
  </w:style>
  <w:style w:type="paragraph" w:customStyle="1" w:styleId="381">
    <w:name w:val="CCGL表"/>
    <w:basedOn w:val="1"/>
    <w:qFormat/>
    <w:uiPriority w:val="0"/>
    <w:pPr>
      <w:jc w:val="center"/>
    </w:pPr>
    <w:rPr>
      <w:kern w:val="0"/>
      <w:sz w:val="22"/>
      <w:szCs w:val="20"/>
    </w:rPr>
  </w:style>
  <w:style w:type="paragraph" w:customStyle="1" w:styleId="382">
    <w:name w:val="XF-正文"/>
    <w:basedOn w:val="1"/>
    <w:qFormat/>
    <w:uiPriority w:val="0"/>
    <w:pPr>
      <w:spacing w:line="520" w:lineRule="exact"/>
      <w:ind w:firstLine="880" w:firstLineChars="200"/>
    </w:pPr>
    <w:rPr>
      <w:kern w:val="0"/>
      <w:sz w:val="24"/>
      <w:szCs w:val="22"/>
    </w:rPr>
  </w:style>
  <w:style w:type="character" w:customStyle="1" w:styleId="383">
    <w:name w:val="font61"/>
    <w:basedOn w:val="46"/>
    <w:qFormat/>
    <w:uiPriority w:val="0"/>
    <w:rPr>
      <w:rFonts w:hint="eastAsia" w:ascii="宋体" w:hAnsi="宋体" w:eastAsia="宋体" w:cs="宋体"/>
      <w:color w:val="000000"/>
      <w:sz w:val="20"/>
      <w:szCs w:val="20"/>
      <w:u w:val="none"/>
    </w:rPr>
  </w:style>
  <w:style w:type="character" w:customStyle="1" w:styleId="384">
    <w:name w:val="15"/>
    <w:basedOn w:val="46"/>
    <w:qFormat/>
    <w:uiPriority w:val="0"/>
    <w:rPr>
      <w:rFonts w:hint="default" w:ascii="Times New Roman" w:hAnsi="Times New Roman" w:cs="Times New Roman"/>
    </w:rPr>
  </w:style>
  <w:style w:type="paragraph" w:customStyle="1" w:styleId="385">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6">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7">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8">
    <w:name w:val="0正文"/>
    <w:basedOn w:val="38"/>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89">
    <w:name w:val="1、L表名、图名"/>
    <w:basedOn w:val="1"/>
    <w:qFormat/>
    <w:uiPriority w:val="0"/>
    <w:pPr>
      <w:adjustRightInd w:val="0"/>
      <w:snapToGrid w:val="0"/>
      <w:spacing w:line="360" w:lineRule="auto"/>
      <w:jc w:val="center"/>
    </w:pPr>
    <w:rPr>
      <w:b/>
      <w:bCs/>
      <w:szCs w:val="18"/>
    </w:rPr>
  </w:style>
  <w:style w:type="paragraph" w:customStyle="1" w:styleId="390">
    <w:name w:val="1 Char Char Char Char"/>
    <w:basedOn w:val="1"/>
    <w:qFormat/>
    <w:uiPriority w:val="0"/>
  </w:style>
  <w:style w:type="paragraph" w:customStyle="1" w:styleId="391">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2">
    <w:name w:val="11正文"/>
    <w:basedOn w:val="1"/>
    <w:qFormat/>
    <w:uiPriority w:val="0"/>
    <w:pPr>
      <w:spacing w:line="500" w:lineRule="exact"/>
      <w:ind w:firstLine="200" w:firstLineChars="200"/>
    </w:pPr>
    <w:rPr>
      <w:bCs/>
      <w:sz w:val="24"/>
    </w:rPr>
  </w:style>
  <w:style w:type="paragraph" w:customStyle="1" w:styleId="393">
    <w:name w:val="11表格文字"/>
    <w:basedOn w:val="1"/>
    <w:qFormat/>
    <w:uiPriority w:val="0"/>
    <w:pPr>
      <w:jc w:val="center"/>
    </w:pPr>
    <w:rPr>
      <w:szCs w:val="21"/>
    </w:rPr>
  </w:style>
  <w:style w:type="paragraph" w:customStyle="1" w:styleId="394">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5">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2级序号"/>
    <w:basedOn w:val="386"/>
    <w:qFormat/>
    <w:uiPriority w:val="0"/>
    <w:pPr>
      <w:numPr>
        <w:numId w:val="0"/>
      </w:numPr>
      <w:ind w:firstLine="476"/>
    </w:pPr>
  </w:style>
  <w:style w:type="paragraph" w:customStyle="1" w:styleId="397">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8">
    <w:name w:val="表标题名"/>
    <w:basedOn w:val="399"/>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399">
    <w:name w:val="表名"/>
    <w:basedOn w:val="1"/>
    <w:next w:val="15"/>
    <w:qFormat/>
    <w:uiPriority w:val="0"/>
    <w:pPr>
      <w:jc w:val="center"/>
    </w:pPr>
    <w:rPr>
      <w:rFonts w:eastAsia="Times New Roman"/>
      <w:b/>
      <w:sz w:val="20"/>
      <w:szCs w:val="20"/>
    </w:rPr>
  </w:style>
  <w:style w:type="paragraph" w:customStyle="1" w:styleId="400">
    <w:name w:val="正文(首缩进)"/>
    <w:basedOn w:val="1"/>
    <w:qFormat/>
    <w:uiPriority w:val="0"/>
    <w:rPr>
      <w:szCs w:val="20"/>
    </w:rPr>
  </w:style>
  <w:style w:type="paragraph" w:customStyle="1" w:styleId="401">
    <w:name w:val="0大庆环评 正文"/>
    <w:basedOn w:val="1"/>
    <w:qFormat/>
    <w:uiPriority w:val="0"/>
    <w:pPr>
      <w:adjustRightInd w:val="0"/>
      <w:snapToGrid w:val="0"/>
      <w:spacing w:line="360" w:lineRule="auto"/>
      <w:ind w:firstLine="200" w:firstLineChars="200"/>
    </w:pPr>
  </w:style>
  <w:style w:type="paragraph" w:customStyle="1" w:styleId="402">
    <w:name w:val="报告书标题5"/>
    <w:basedOn w:val="8"/>
    <w:next w:val="1"/>
    <w:qFormat/>
    <w:uiPriority w:val="0"/>
    <w:pPr>
      <w:spacing w:before="0" w:after="0" w:line="360" w:lineRule="auto"/>
      <w:ind w:firstLine="0" w:firstLineChars="0"/>
      <w:jc w:val="center"/>
    </w:pPr>
    <w:rPr>
      <w:rFonts w:cs="宋体"/>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88C7B-87B2-426F-87C1-FAF90D977CBC}">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Pages>
  <Words>15743</Words>
  <Characters>89740</Characters>
  <Lines>747</Lines>
  <Paragraphs>210</Paragraphs>
  <TotalTime>16</TotalTime>
  <ScaleCrop>false</ScaleCrop>
  <LinksUpToDate>false</LinksUpToDate>
  <CharactersWithSpaces>105273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Administrator</cp:lastModifiedBy>
  <cp:lastPrinted>2022-06-20T01:49:00Z</cp:lastPrinted>
  <dcterms:modified xsi:type="dcterms:W3CDTF">2023-12-25T08:02:40Z</dcterms:modified>
  <dc:title>建设项目环境影响报告表（生态影响类）</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6BBEB898555C4A42A9ED2E09BB86067F_13</vt:lpwstr>
  </property>
</Properties>
</file>